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DB224E">
      <w:pPr>
        <w:jc w:val="center"/>
        <w:rPr>
          <w:rFonts w:hint="eastAsia" w:eastAsia="仿宋_GB2312"/>
          <w:color w:val="auto"/>
          <w:sz w:val="36"/>
          <w:szCs w:val="36"/>
          <w:highlight w:val="none"/>
        </w:rPr>
      </w:pPr>
    </w:p>
    <w:p w14:paraId="4BB65363">
      <w:pPr>
        <w:jc w:val="center"/>
        <w:rPr>
          <w:rFonts w:eastAsia="仿宋_GB2312"/>
          <w:color w:val="auto"/>
          <w:sz w:val="36"/>
          <w:szCs w:val="36"/>
          <w:highlight w:val="none"/>
        </w:rPr>
      </w:pPr>
    </w:p>
    <w:p w14:paraId="1EE21434">
      <w:pPr>
        <w:jc w:val="center"/>
        <w:rPr>
          <w:rFonts w:eastAsia="仿宋_GB2312"/>
          <w:color w:val="auto"/>
          <w:sz w:val="36"/>
          <w:szCs w:val="36"/>
          <w:highlight w:val="none"/>
        </w:rPr>
      </w:pPr>
    </w:p>
    <w:p w14:paraId="75D68546">
      <w:pPr>
        <w:jc w:val="center"/>
        <w:rPr>
          <w:rFonts w:eastAsia="仿宋_GB2312"/>
          <w:color w:val="auto"/>
          <w:sz w:val="36"/>
          <w:szCs w:val="36"/>
          <w:highlight w:val="none"/>
        </w:rPr>
      </w:pPr>
    </w:p>
    <w:p w14:paraId="4DCA2578">
      <w:pPr>
        <w:jc w:val="center"/>
        <w:rPr>
          <w:rFonts w:eastAsia="仿宋_GB2312"/>
          <w:color w:val="auto"/>
          <w:sz w:val="36"/>
          <w:szCs w:val="36"/>
          <w:highlight w:val="none"/>
        </w:rPr>
      </w:pPr>
    </w:p>
    <w:p w14:paraId="4D649381">
      <w:pPr>
        <w:adjustRightInd w:val="0"/>
        <w:snapToGrid w:val="0"/>
        <w:jc w:val="center"/>
        <w:outlineLvl w:val="0"/>
        <w:rPr>
          <w:rFonts w:eastAsia="方正小标宋_GBK"/>
          <w:bCs/>
          <w:color w:val="auto"/>
          <w:sz w:val="72"/>
          <w:szCs w:val="72"/>
          <w:highlight w:val="none"/>
        </w:rPr>
      </w:pPr>
      <w:bookmarkStart w:id="0" w:name="_Toc9180"/>
      <w:bookmarkStart w:id="1" w:name="_Toc3256"/>
      <w:bookmarkStart w:id="2" w:name="_Toc4556"/>
      <w:bookmarkStart w:id="3" w:name="_Toc30263"/>
      <w:bookmarkStart w:id="4" w:name="_Toc5614"/>
      <w:bookmarkStart w:id="5" w:name="_Toc6600"/>
      <w:bookmarkStart w:id="6" w:name="_Toc30879"/>
      <w:bookmarkStart w:id="7" w:name="_Toc30192"/>
      <w:bookmarkStart w:id="8" w:name="_Toc14807"/>
      <w:bookmarkStart w:id="9" w:name="_Toc16787"/>
      <w:bookmarkStart w:id="10" w:name="_Toc11771"/>
      <w:bookmarkStart w:id="11" w:name="_Toc7109"/>
      <w:bookmarkStart w:id="12" w:name="_Toc5448"/>
      <w:bookmarkStart w:id="13" w:name="_Toc3993"/>
      <w:bookmarkStart w:id="14" w:name="_Toc191"/>
      <w:bookmarkStart w:id="15" w:name="_Toc29662"/>
      <w:bookmarkStart w:id="16" w:name="_Toc27728"/>
      <w:bookmarkStart w:id="17" w:name="_Toc28550"/>
      <w:bookmarkStart w:id="18" w:name="_Toc21780"/>
      <w:bookmarkStart w:id="19" w:name="_Toc23950"/>
      <w:r>
        <w:rPr>
          <w:rFonts w:eastAsia="方正小标宋_GBK"/>
          <w:bCs/>
          <w:color w:val="auto"/>
          <w:sz w:val="72"/>
          <w:szCs w:val="72"/>
          <w:highlight w:val="none"/>
        </w:rPr>
        <w:t>建设项目环境影响报告表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29E34DC4">
      <w:pPr>
        <w:adjustRightInd w:val="0"/>
        <w:snapToGrid w:val="0"/>
        <w:spacing w:before="192" w:beforeLines="80"/>
        <w:jc w:val="center"/>
        <w:rPr>
          <w:rFonts w:ascii="Times New Roman" w:hAnsi="Times New Roman" w:eastAsia="楷体_GB2312" w:cs="Times New Roman"/>
          <w:bCs/>
          <w:color w:val="auto"/>
          <w:sz w:val="48"/>
          <w:szCs w:val="48"/>
          <w:highlight w:val="none"/>
        </w:rPr>
      </w:pPr>
      <w:r>
        <w:rPr>
          <w:rFonts w:ascii="Times New Roman" w:hAnsi="Times New Roman" w:eastAsia="楷体_GB2312" w:cs="Times New Roman"/>
          <w:bCs/>
          <w:color w:val="auto"/>
          <w:sz w:val="48"/>
          <w:szCs w:val="48"/>
          <w:highlight w:val="none"/>
        </w:rPr>
        <w:t>（</w:t>
      </w:r>
      <w:r>
        <w:rPr>
          <w:rFonts w:hint="eastAsia" w:ascii="Times New Roman" w:hAnsi="Times New Roman" w:eastAsia="楷体_GB2312" w:cs="Times New Roman"/>
          <w:bCs/>
          <w:color w:val="auto"/>
          <w:sz w:val="48"/>
          <w:szCs w:val="48"/>
          <w:highlight w:val="none"/>
        </w:rPr>
        <w:t>生态</w:t>
      </w:r>
      <w:r>
        <w:rPr>
          <w:rFonts w:ascii="Times New Roman" w:hAnsi="Times New Roman" w:eastAsia="楷体_GB2312" w:cs="Times New Roman"/>
          <w:bCs/>
          <w:color w:val="auto"/>
          <w:sz w:val="48"/>
          <w:szCs w:val="48"/>
          <w:highlight w:val="none"/>
        </w:rPr>
        <w:t>影响类）</w:t>
      </w:r>
    </w:p>
    <w:p w14:paraId="0B4BCB6E">
      <w:pPr>
        <w:adjustRightInd w:val="0"/>
        <w:snapToGrid w:val="0"/>
        <w:spacing w:before="192" w:beforeLines="80"/>
        <w:jc w:val="center"/>
        <w:rPr>
          <w:rFonts w:hint="eastAsia" w:ascii="Times New Roman" w:hAnsi="Times New Roman" w:eastAsia="楷体_GB2312" w:cs="Times New Roman"/>
          <w:bCs/>
          <w:color w:val="auto"/>
          <w:sz w:val="48"/>
          <w:szCs w:val="48"/>
          <w:highlight w:val="none"/>
          <w:lang w:eastAsia="zh-CN"/>
        </w:rPr>
      </w:pPr>
      <w:r>
        <w:rPr>
          <w:rFonts w:hint="eastAsia" w:ascii="Times New Roman" w:hAnsi="Times New Roman" w:eastAsia="楷体_GB2312" w:cs="Times New Roman"/>
          <w:bCs/>
          <w:color w:val="auto"/>
          <w:sz w:val="48"/>
          <w:szCs w:val="48"/>
          <w:highlight w:val="none"/>
          <w:lang w:eastAsia="zh-CN"/>
        </w:rPr>
        <w:t>（公示本）</w:t>
      </w:r>
    </w:p>
    <w:p w14:paraId="638A22EA">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58F09D05">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700C8357">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3CF3DBF9">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5F0E65B3">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27D8AF33">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6B36F47A">
      <w:pPr>
        <w:adjustRightInd w:val="0"/>
        <w:snapToGrid w:val="0"/>
        <w:spacing w:line="288" w:lineRule="auto"/>
        <w:ind w:left="1440" w:hanging="1440" w:hangingChars="400"/>
        <w:rPr>
          <w:rFonts w:hint="default" w:ascii="仿宋_GB2312" w:hAnsi="Times New Roman" w:eastAsia="仿宋_GB2312" w:cs="Times New Roman"/>
          <w:color w:val="auto"/>
          <w:sz w:val="36"/>
          <w:szCs w:val="36"/>
          <w:highlight w:val="none"/>
          <w:u w:val="single"/>
          <w:lang w:val="en-US" w:eastAsia="zh-CN"/>
        </w:rPr>
      </w:pPr>
      <w:r>
        <w:rPr>
          <w:rFonts w:hint="eastAsia" w:ascii="仿宋_GB2312" w:hAnsi="Times New Roman" w:eastAsia="仿宋_GB2312" w:cs="Times New Roman"/>
          <w:color w:val="auto"/>
          <w:sz w:val="36"/>
          <w:szCs w:val="36"/>
          <w:highlight w:val="none"/>
        </w:rPr>
        <w:t>项目名称：</w:t>
      </w:r>
      <w:r>
        <w:rPr>
          <w:rFonts w:hint="eastAsia" w:ascii="仿宋_GB2312" w:hAnsi="Times New Roman" w:eastAsia="仿宋_GB2312" w:cs="Times New Roman"/>
          <w:color w:val="auto"/>
          <w:sz w:val="36"/>
          <w:szCs w:val="36"/>
          <w:highlight w:val="none"/>
          <w:u w:val="single"/>
        </w:rPr>
        <w:t>钦州港金谷港区金鼓江作业区19#泊位码头</w:t>
      </w:r>
      <w:r>
        <w:rPr>
          <w:rFonts w:hint="eastAsia" w:ascii="仿宋_GB2312" w:hAnsi="Times New Roman" w:eastAsia="仿宋_GB2312" w:cs="Times New Roman"/>
          <w:color w:val="auto"/>
          <w:sz w:val="36"/>
          <w:szCs w:val="36"/>
          <w:highlight w:val="none"/>
          <w:u w:val="single"/>
          <w:lang w:val="en-US" w:eastAsia="zh-CN"/>
        </w:rPr>
        <w:t xml:space="preserve">   </w:t>
      </w:r>
    </w:p>
    <w:p w14:paraId="3E858AB2">
      <w:pPr>
        <w:adjustRightInd w:val="0"/>
        <w:snapToGrid w:val="0"/>
        <w:spacing w:line="288" w:lineRule="auto"/>
        <w:ind w:left="1436" w:leftChars="684" w:firstLine="360" w:firstLineChars="100"/>
        <w:rPr>
          <w:rFonts w:hint="default" w:ascii="仿宋_GB2312" w:hAnsi="Times New Roman" w:eastAsia="仿宋_GB2312" w:cs="Times New Roman"/>
          <w:color w:val="auto"/>
          <w:sz w:val="36"/>
          <w:szCs w:val="36"/>
          <w:highlight w:val="none"/>
          <w:u w:val="single"/>
          <w:lang w:val="en-US"/>
        </w:rPr>
      </w:pPr>
      <w:r>
        <w:rPr>
          <w:rFonts w:hint="eastAsia" w:ascii="仿宋_GB2312" w:hAnsi="Times New Roman" w:eastAsia="仿宋_GB2312" w:cs="Times New Roman"/>
          <w:color w:val="auto"/>
          <w:sz w:val="36"/>
          <w:szCs w:val="36"/>
          <w:highlight w:val="none"/>
          <w:u w:val="single"/>
        </w:rPr>
        <w:t>停泊及回旋水域清淤疏浚项目</w:t>
      </w:r>
      <w:r>
        <w:rPr>
          <w:rFonts w:hint="eastAsia" w:ascii="仿宋_GB2312" w:hAnsi="Times New Roman" w:eastAsia="仿宋_GB2312" w:cs="Times New Roman"/>
          <w:color w:val="auto"/>
          <w:sz w:val="36"/>
          <w:szCs w:val="36"/>
          <w:highlight w:val="none"/>
          <w:u w:val="single"/>
          <w:lang w:val="en-US" w:eastAsia="zh-CN"/>
        </w:rPr>
        <w:t xml:space="preserve">                 </w:t>
      </w:r>
    </w:p>
    <w:p w14:paraId="69F67E8B">
      <w:pPr>
        <w:adjustRightInd w:val="0"/>
        <w:snapToGrid w:val="0"/>
        <w:spacing w:line="288" w:lineRule="auto"/>
        <w:rPr>
          <w:rFonts w:hint="default" w:ascii="仿宋_GB2312" w:eastAsia="仿宋_GB2312"/>
          <w:color w:val="auto"/>
          <w:sz w:val="36"/>
          <w:szCs w:val="36"/>
          <w:highlight w:val="none"/>
          <w:lang w:val="en-US" w:eastAsia="zh-CN"/>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lang w:eastAsia="zh-CN"/>
        </w:rPr>
        <w:t>广西华临码头有限公司</w:t>
      </w:r>
      <w:r>
        <w:rPr>
          <w:rFonts w:hint="eastAsia" w:ascii="仿宋_GB2312" w:eastAsia="仿宋_GB2312"/>
          <w:color w:val="auto"/>
          <w:sz w:val="36"/>
          <w:szCs w:val="36"/>
          <w:highlight w:val="none"/>
          <w:u w:val="single"/>
          <w:lang w:val="en-US" w:eastAsia="zh-CN"/>
        </w:rPr>
        <w:t xml:space="preserve">                  </w:t>
      </w:r>
    </w:p>
    <w:p w14:paraId="25A3C397">
      <w:pPr>
        <w:adjustRightInd w:val="0"/>
        <w:snapToGrid w:val="0"/>
        <w:spacing w:line="288" w:lineRule="auto"/>
        <w:rPr>
          <w:rFonts w:hint="eastAsia"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 xml:space="preserve">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2025年12月</w:t>
      </w:r>
      <w:r>
        <w:rPr>
          <w:rFonts w:hint="eastAsia" w:ascii="仿宋_GB2312" w:eastAsia="仿宋_GB2312"/>
          <w:color w:val="auto"/>
          <w:sz w:val="36"/>
          <w:szCs w:val="36"/>
          <w:highlight w:val="none"/>
          <w:u w:val="single"/>
        </w:rPr>
        <w:t xml:space="preserve">                  </w:t>
      </w:r>
    </w:p>
    <w:p w14:paraId="43BAB7F9">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4DB63899">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bookmarkStart w:id="20" w:name="_Hlk57884087"/>
    </w:p>
    <w:p w14:paraId="13BA5289">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21C06F58">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3883A7D0">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bookmarkEnd w:id="20"/>
    <w:p w14:paraId="50EC1F34">
      <w:pPr>
        <w:adjustRightInd w:val="0"/>
        <w:snapToGrid w:val="0"/>
        <w:spacing w:line="288" w:lineRule="auto"/>
        <w:jc w:val="center"/>
        <w:rPr>
          <w:rFonts w:eastAsia="仿宋_GB2312"/>
          <w:color w:val="auto"/>
          <w:sz w:val="36"/>
          <w:szCs w:val="36"/>
          <w:highlight w:val="none"/>
        </w:rPr>
      </w:pPr>
      <w:r>
        <w:rPr>
          <w:rFonts w:eastAsia="楷体_GB2312"/>
          <w:color w:val="auto"/>
          <w:sz w:val="36"/>
          <w:szCs w:val="36"/>
          <w:highlight w:val="none"/>
        </w:rPr>
        <w:t>中华人民共和国生态环境部制</w:t>
      </w:r>
    </w:p>
    <w:p w14:paraId="2BA09797">
      <w:pPr>
        <w:adjustRightInd w:val="0"/>
        <w:snapToGrid w:val="0"/>
        <w:spacing w:line="288" w:lineRule="auto"/>
        <w:jc w:val="center"/>
        <w:rPr>
          <w:rFonts w:hint="eastAsia" w:ascii="宋体" w:hAnsi="宋体" w:cs="宋体"/>
          <w:b/>
          <w:bCs/>
          <w:color w:val="auto"/>
          <w:sz w:val="36"/>
          <w:szCs w:val="36"/>
          <w:highlight w:val="none"/>
        </w:rPr>
      </w:pPr>
      <w:r>
        <w:rPr>
          <w:rFonts w:hint="eastAsia" w:ascii="宋体" w:hAnsi="宋体" w:cs="宋体"/>
          <w:b/>
          <w:bCs/>
          <w:color w:val="auto"/>
          <w:kern w:val="0"/>
          <w:sz w:val="24"/>
          <w:highlight w:val="none"/>
        </w:rPr>
        <w:br w:type="page"/>
      </w:r>
      <w:r>
        <w:rPr>
          <w:rFonts w:hint="eastAsia" w:ascii="宋体" w:hAnsi="宋体" w:cs="宋体"/>
          <w:b/>
          <w:bCs/>
          <w:color w:val="auto"/>
          <w:sz w:val="36"/>
          <w:szCs w:val="36"/>
          <w:highlight w:val="none"/>
        </w:rPr>
        <w:t>目 录</w:t>
      </w:r>
    </w:p>
    <w:p w14:paraId="5CEA369F">
      <w:pPr>
        <w:pStyle w:val="26"/>
        <w:tabs>
          <w:tab w:val="right" w:leader="dot" w:pos="8844"/>
        </w:tabs>
        <w:rPr>
          <w:color w:val="auto"/>
          <w:highlight w:val="none"/>
        </w:rPr>
      </w:pPr>
      <w:r>
        <w:rPr>
          <w:b/>
          <w:bCs/>
          <w:color w:val="auto"/>
          <w:sz w:val="24"/>
          <w:highlight w:val="none"/>
        </w:rPr>
        <w:fldChar w:fldCharType="begin"/>
      </w:r>
      <w:r>
        <w:rPr>
          <w:b/>
          <w:bCs/>
          <w:color w:val="auto"/>
          <w:sz w:val="24"/>
          <w:highlight w:val="none"/>
        </w:rPr>
        <w:instrText xml:space="preserve">TOC \o "1-2" \h \u </w:instrText>
      </w:r>
      <w:r>
        <w:rPr>
          <w:b/>
          <w:bCs/>
          <w:color w:val="auto"/>
          <w:sz w:val="24"/>
          <w:highlight w:val="none"/>
        </w:rPr>
        <w:fldChar w:fldCharType="separate"/>
      </w:r>
    </w:p>
    <w:p w14:paraId="1AC87687">
      <w:pPr>
        <w:pStyle w:val="26"/>
        <w:tabs>
          <w:tab w:val="right" w:leader="dot" w:pos="8844"/>
        </w:tabs>
        <w:spacing w:line="360" w:lineRule="auto"/>
        <w:rPr>
          <w:color w:val="auto"/>
          <w:sz w:val="24"/>
          <w:highlight w:val="none"/>
        </w:rPr>
      </w:pPr>
      <w:r>
        <w:rPr>
          <w:bCs/>
          <w:color w:val="auto"/>
          <w:sz w:val="24"/>
          <w:highlight w:val="none"/>
        </w:rPr>
        <w:fldChar w:fldCharType="begin"/>
      </w:r>
      <w:r>
        <w:rPr>
          <w:bCs/>
          <w:color w:val="auto"/>
          <w:sz w:val="24"/>
          <w:highlight w:val="none"/>
        </w:rPr>
        <w:instrText xml:space="preserve"> HYPERLINK \l _Toc194 </w:instrText>
      </w:r>
      <w:r>
        <w:rPr>
          <w:bCs/>
          <w:color w:val="auto"/>
          <w:sz w:val="24"/>
          <w:highlight w:val="none"/>
        </w:rPr>
        <w:fldChar w:fldCharType="separate"/>
      </w:r>
      <w:r>
        <w:rPr>
          <w:color w:val="auto"/>
          <w:sz w:val="24"/>
          <w:highlight w:val="none"/>
        </w:rPr>
        <w:t>一、建设项目基本情况</w:t>
      </w:r>
      <w:r>
        <w:rPr>
          <w:color w:val="auto"/>
          <w:sz w:val="24"/>
          <w:highlight w:val="none"/>
        </w:rPr>
        <w:tab/>
      </w:r>
      <w:r>
        <w:rPr>
          <w:color w:val="auto"/>
          <w:sz w:val="24"/>
          <w:highlight w:val="none"/>
        </w:rPr>
        <w:fldChar w:fldCharType="begin"/>
      </w:r>
      <w:r>
        <w:rPr>
          <w:color w:val="auto"/>
          <w:sz w:val="24"/>
          <w:highlight w:val="none"/>
        </w:rPr>
        <w:instrText xml:space="preserve"> PAGEREF _Toc194 </w:instrText>
      </w:r>
      <w:r>
        <w:rPr>
          <w:color w:val="auto"/>
          <w:sz w:val="24"/>
          <w:highlight w:val="none"/>
        </w:rPr>
        <w:fldChar w:fldCharType="separate"/>
      </w:r>
      <w:r>
        <w:rPr>
          <w:color w:val="auto"/>
          <w:sz w:val="24"/>
          <w:highlight w:val="none"/>
        </w:rPr>
        <w:t>1</w:t>
      </w:r>
      <w:r>
        <w:rPr>
          <w:color w:val="auto"/>
          <w:sz w:val="24"/>
          <w:highlight w:val="none"/>
        </w:rPr>
        <w:fldChar w:fldCharType="end"/>
      </w:r>
      <w:r>
        <w:rPr>
          <w:bCs/>
          <w:color w:val="auto"/>
          <w:sz w:val="24"/>
          <w:highlight w:val="none"/>
        </w:rPr>
        <w:fldChar w:fldCharType="end"/>
      </w:r>
    </w:p>
    <w:p w14:paraId="16039228">
      <w:pPr>
        <w:pStyle w:val="26"/>
        <w:tabs>
          <w:tab w:val="right" w:leader="dot" w:pos="8844"/>
        </w:tabs>
        <w:spacing w:line="360" w:lineRule="auto"/>
        <w:rPr>
          <w:color w:val="auto"/>
          <w:sz w:val="24"/>
          <w:highlight w:val="none"/>
        </w:rPr>
      </w:pPr>
      <w:r>
        <w:rPr>
          <w:bCs/>
          <w:color w:val="auto"/>
          <w:sz w:val="24"/>
          <w:highlight w:val="none"/>
        </w:rPr>
        <w:fldChar w:fldCharType="begin"/>
      </w:r>
      <w:r>
        <w:rPr>
          <w:bCs/>
          <w:color w:val="auto"/>
          <w:sz w:val="24"/>
          <w:highlight w:val="none"/>
        </w:rPr>
        <w:instrText xml:space="preserve"> HYPERLINK \l _Toc19013 </w:instrText>
      </w:r>
      <w:r>
        <w:rPr>
          <w:bCs/>
          <w:color w:val="auto"/>
          <w:sz w:val="24"/>
          <w:highlight w:val="none"/>
        </w:rPr>
        <w:fldChar w:fldCharType="separate"/>
      </w:r>
      <w:r>
        <w:rPr>
          <w:color w:val="auto"/>
          <w:sz w:val="24"/>
          <w:highlight w:val="none"/>
        </w:rPr>
        <w:t>二、建设内容</w:t>
      </w:r>
      <w:r>
        <w:rPr>
          <w:color w:val="auto"/>
          <w:sz w:val="24"/>
          <w:highlight w:val="none"/>
        </w:rPr>
        <w:tab/>
      </w:r>
      <w:r>
        <w:rPr>
          <w:color w:val="auto"/>
          <w:sz w:val="24"/>
          <w:highlight w:val="none"/>
        </w:rPr>
        <w:fldChar w:fldCharType="begin"/>
      </w:r>
      <w:r>
        <w:rPr>
          <w:color w:val="auto"/>
          <w:sz w:val="24"/>
          <w:highlight w:val="none"/>
        </w:rPr>
        <w:instrText xml:space="preserve"> PAGEREF _Toc19013 </w:instrText>
      </w:r>
      <w:r>
        <w:rPr>
          <w:color w:val="auto"/>
          <w:sz w:val="24"/>
          <w:highlight w:val="none"/>
        </w:rPr>
        <w:fldChar w:fldCharType="separate"/>
      </w:r>
      <w:r>
        <w:rPr>
          <w:color w:val="auto"/>
          <w:sz w:val="24"/>
          <w:highlight w:val="none"/>
        </w:rPr>
        <w:t>20</w:t>
      </w:r>
      <w:r>
        <w:rPr>
          <w:color w:val="auto"/>
          <w:sz w:val="24"/>
          <w:highlight w:val="none"/>
        </w:rPr>
        <w:fldChar w:fldCharType="end"/>
      </w:r>
      <w:r>
        <w:rPr>
          <w:bCs/>
          <w:color w:val="auto"/>
          <w:sz w:val="24"/>
          <w:highlight w:val="none"/>
        </w:rPr>
        <w:fldChar w:fldCharType="end"/>
      </w:r>
    </w:p>
    <w:p w14:paraId="7A0A534F">
      <w:pPr>
        <w:pStyle w:val="26"/>
        <w:tabs>
          <w:tab w:val="right" w:leader="dot" w:pos="8844"/>
        </w:tabs>
        <w:spacing w:line="360" w:lineRule="auto"/>
        <w:rPr>
          <w:color w:val="auto"/>
          <w:sz w:val="24"/>
          <w:highlight w:val="none"/>
        </w:rPr>
      </w:pPr>
      <w:r>
        <w:rPr>
          <w:bCs/>
          <w:color w:val="auto"/>
          <w:sz w:val="24"/>
          <w:highlight w:val="none"/>
        </w:rPr>
        <w:fldChar w:fldCharType="begin"/>
      </w:r>
      <w:r>
        <w:rPr>
          <w:bCs/>
          <w:color w:val="auto"/>
          <w:sz w:val="24"/>
          <w:highlight w:val="none"/>
        </w:rPr>
        <w:instrText xml:space="preserve"> HYPERLINK \l _Toc15298 </w:instrText>
      </w:r>
      <w:r>
        <w:rPr>
          <w:bCs/>
          <w:color w:val="auto"/>
          <w:sz w:val="24"/>
          <w:highlight w:val="none"/>
        </w:rPr>
        <w:fldChar w:fldCharType="separate"/>
      </w:r>
      <w:r>
        <w:rPr>
          <w:color w:val="auto"/>
          <w:sz w:val="24"/>
          <w:highlight w:val="none"/>
        </w:rPr>
        <w:t>三、生态环境现状、保护目标及评价标准</w:t>
      </w:r>
      <w:r>
        <w:rPr>
          <w:color w:val="auto"/>
          <w:sz w:val="24"/>
          <w:highlight w:val="none"/>
        </w:rPr>
        <w:tab/>
      </w:r>
      <w:r>
        <w:rPr>
          <w:color w:val="auto"/>
          <w:sz w:val="24"/>
          <w:highlight w:val="none"/>
        </w:rPr>
        <w:fldChar w:fldCharType="begin"/>
      </w:r>
      <w:r>
        <w:rPr>
          <w:color w:val="auto"/>
          <w:sz w:val="24"/>
          <w:highlight w:val="none"/>
        </w:rPr>
        <w:instrText xml:space="preserve"> PAGEREF _Toc15298 </w:instrText>
      </w:r>
      <w:r>
        <w:rPr>
          <w:color w:val="auto"/>
          <w:sz w:val="24"/>
          <w:highlight w:val="none"/>
        </w:rPr>
        <w:fldChar w:fldCharType="separate"/>
      </w:r>
      <w:r>
        <w:rPr>
          <w:color w:val="auto"/>
          <w:sz w:val="24"/>
          <w:highlight w:val="none"/>
        </w:rPr>
        <w:t>34</w:t>
      </w:r>
      <w:r>
        <w:rPr>
          <w:color w:val="auto"/>
          <w:sz w:val="24"/>
          <w:highlight w:val="none"/>
        </w:rPr>
        <w:fldChar w:fldCharType="end"/>
      </w:r>
      <w:r>
        <w:rPr>
          <w:bCs/>
          <w:color w:val="auto"/>
          <w:sz w:val="24"/>
          <w:highlight w:val="none"/>
        </w:rPr>
        <w:fldChar w:fldCharType="end"/>
      </w:r>
    </w:p>
    <w:p w14:paraId="33327CD3">
      <w:pPr>
        <w:pStyle w:val="26"/>
        <w:tabs>
          <w:tab w:val="right" w:leader="dot" w:pos="8844"/>
        </w:tabs>
        <w:spacing w:line="360" w:lineRule="auto"/>
        <w:rPr>
          <w:color w:val="auto"/>
          <w:sz w:val="24"/>
          <w:highlight w:val="none"/>
        </w:rPr>
      </w:pPr>
      <w:r>
        <w:rPr>
          <w:bCs/>
          <w:color w:val="auto"/>
          <w:sz w:val="24"/>
          <w:highlight w:val="none"/>
        </w:rPr>
        <w:fldChar w:fldCharType="begin"/>
      </w:r>
      <w:r>
        <w:rPr>
          <w:bCs/>
          <w:color w:val="auto"/>
          <w:sz w:val="24"/>
          <w:highlight w:val="none"/>
        </w:rPr>
        <w:instrText xml:space="preserve"> HYPERLINK \l _Toc31957 </w:instrText>
      </w:r>
      <w:r>
        <w:rPr>
          <w:bCs/>
          <w:color w:val="auto"/>
          <w:sz w:val="24"/>
          <w:highlight w:val="none"/>
        </w:rPr>
        <w:fldChar w:fldCharType="separate"/>
      </w:r>
      <w:r>
        <w:rPr>
          <w:color w:val="auto"/>
          <w:sz w:val="24"/>
          <w:highlight w:val="none"/>
        </w:rPr>
        <w:t>四、生态环境影响分析</w:t>
      </w:r>
      <w:r>
        <w:rPr>
          <w:color w:val="auto"/>
          <w:sz w:val="24"/>
          <w:highlight w:val="none"/>
        </w:rPr>
        <w:tab/>
      </w:r>
      <w:r>
        <w:rPr>
          <w:color w:val="auto"/>
          <w:sz w:val="24"/>
          <w:highlight w:val="none"/>
        </w:rPr>
        <w:fldChar w:fldCharType="begin"/>
      </w:r>
      <w:r>
        <w:rPr>
          <w:color w:val="auto"/>
          <w:sz w:val="24"/>
          <w:highlight w:val="none"/>
        </w:rPr>
        <w:instrText xml:space="preserve"> PAGEREF _Toc31957 </w:instrText>
      </w:r>
      <w:r>
        <w:rPr>
          <w:color w:val="auto"/>
          <w:sz w:val="24"/>
          <w:highlight w:val="none"/>
        </w:rPr>
        <w:fldChar w:fldCharType="separate"/>
      </w:r>
      <w:r>
        <w:rPr>
          <w:color w:val="auto"/>
          <w:sz w:val="24"/>
          <w:highlight w:val="none"/>
        </w:rPr>
        <w:t>66</w:t>
      </w:r>
      <w:r>
        <w:rPr>
          <w:color w:val="auto"/>
          <w:sz w:val="24"/>
          <w:highlight w:val="none"/>
        </w:rPr>
        <w:fldChar w:fldCharType="end"/>
      </w:r>
      <w:r>
        <w:rPr>
          <w:bCs/>
          <w:color w:val="auto"/>
          <w:sz w:val="24"/>
          <w:highlight w:val="none"/>
        </w:rPr>
        <w:fldChar w:fldCharType="end"/>
      </w:r>
    </w:p>
    <w:p w14:paraId="67E652F8">
      <w:pPr>
        <w:pStyle w:val="26"/>
        <w:tabs>
          <w:tab w:val="right" w:leader="dot" w:pos="8844"/>
        </w:tabs>
        <w:spacing w:line="360" w:lineRule="auto"/>
        <w:rPr>
          <w:color w:val="auto"/>
          <w:sz w:val="24"/>
          <w:highlight w:val="none"/>
        </w:rPr>
      </w:pPr>
      <w:r>
        <w:rPr>
          <w:bCs/>
          <w:color w:val="auto"/>
          <w:sz w:val="24"/>
          <w:highlight w:val="none"/>
        </w:rPr>
        <w:fldChar w:fldCharType="begin"/>
      </w:r>
      <w:r>
        <w:rPr>
          <w:bCs/>
          <w:color w:val="auto"/>
          <w:sz w:val="24"/>
          <w:highlight w:val="none"/>
        </w:rPr>
        <w:instrText xml:space="preserve"> HYPERLINK \l _Toc22675 </w:instrText>
      </w:r>
      <w:r>
        <w:rPr>
          <w:bCs/>
          <w:color w:val="auto"/>
          <w:sz w:val="24"/>
          <w:highlight w:val="none"/>
        </w:rPr>
        <w:fldChar w:fldCharType="separate"/>
      </w:r>
      <w:r>
        <w:rPr>
          <w:color w:val="auto"/>
          <w:sz w:val="24"/>
          <w:highlight w:val="none"/>
        </w:rPr>
        <w:t>五、主要生态环境保护措施</w:t>
      </w:r>
      <w:r>
        <w:rPr>
          <w:color w:val="auto"/>
          <w:sz w:val="24"/>
          <w:highlight w:val="none"/>
        </w:rPr>
        <w:tab/>
      </w:r>
      <w:r>
        <w:rPr>
          <w:color w:val="auto"/>
          <w:sz w:val="24"/>
          <w:highlight w:val="none"/>
        </w:rPr>
        <w:fldChar w:fldCharType="begin"/>
      </w:r>
      <w:r>
        <w:rPr>
          <w:color w:val="auto"/>
          <w:sz w:val="24"/>
          <w:highlight w:val="none"/>
        </w:rPr>
        <w:instrText xml:space="preserve"> PAGEREF _Toc22675 </w:instrText>
      </w:r>
      <w:r>
        <w:rPr>
          <w:color w:val="auto"/>
          <w:sz w:val="24"/>
          <w:highlight w:val="none"/>
        </w:rPr>
        <w:fldChar w:fldCharType="separate"/>
      </w:r>
      <w:r>
        <w:rPr>
          <w:color w:val="auto"/>
          <w:sz w:val="24"/>
          <w:highlight w:val="none"/>
        </w:rPr>
        <w:t>102</w:t>
      </w:r>
      <w:r>
        <w:rPr>
          <w:color w:val="auto"/>
          <w:sz w:val="24"/>
          <w:highlight w:val="none"/>
        </w:rPr>
        <w:fldChar w:fldCharType="end"/>
      </w:r>
      <w:r>
        <w:rPr>
          <w:bCs/>
          <w:color w:val="auto"/>
          <w:sz w:val="24"/>
          <w:highlight w:val="none"/>
        </w:rPr>
        <w:fldChar w:fldCharType="end"/>
      </w:r>
    </w:p>
    <w:p w14:paraId="65549B69">
      <w:pPr>
        <w:pStyle w:val="26"/>
        <w:tabs>
          <w:tab w:val="right" w:leader="dot" w:pos="8844"/>
        </w:tabs>
        <w:spacing w:line="360" w:lineRule="auto"/>
        <w:rPr>
          <w:color w:val="auto"/>
          <w:sz w:val="24"/>
          <w:highlight w:val="none"/>
        </w:rPr>
      </w:pPr>
      <w:r>
        <w:rPr>
          <w:bCs/>
          <w:color w:val="auto"/>
          <w:sz w:val="24"/>
          <w:highlight w:val="none"/>
        </w:rPr>
        <w:fldChar w:fldCharType="begin"/>
      </w:r>
      <w:r>
        <w:rPr>
          <w:bCs/>
          <w:color w:val="auto"/>
          <w:sz w:val="24"/>
          <w:highlight w:val="none"/>
        </w:rPr>
        <w:instrText xml:space="preserve"> HYPERLINK \l _Toc5837 </w:instrText>
      </w:r>
      <w:r>
        <w:rPr>
          <w:bCs/>
          <w:color w:val="auto"/>
          <w:sz w:val="24"/>
          <w:highlight w:val="none"/>
        </w:rPr>
        <w:fldChar w:fldCharType="separate"/>
      </w:r>
      <w:r>
        <w:rPr>
          <w:color w:val="auto"/>
          <w:sz w:val="24"/>
          <w:highlight w:val="none"/>
        </w:rPr>
        <w:t>六、生态环境保护措施监督检查清单</w:t>
      </w:r>
      <w:r>
        <w:rPr>
          <w:color w:val="auto"/>
          <w:sz w:val="24"/>
          <w:highlight w:val="none"/>
        </w:rPr>
        <w:tab/>
      </w:r>
      <w:r>
        <w:rPr>
          <w:color w:val="auto"/>
          <w:sz w:val="24"/>
          <w:highlight w:val="none"/>
        </w:rPr>
        <w:fldChar w:fldCharType="begin"/>
      </w:r>
      <w:r>
        <w:rPr>
          <w:color w:val="auto"/>
          <w:sz w:val="24"/>
          <w:highlight w:val="none"/>
        </w:rPr>
        <w:instrText xml:space="preserve"> PAGEREF _Toc5837 </w:instrText>
      </w:r>
      <w:r>
        <w:rPr>
          <w:color w:val="auto"/>
          <w:sz w:val="24"/>
          <w:highlight w:val="none"/>
        </w:rPr>
        <w:fldChar w:fldCharType="separate"/>
      </w:r>
      <w:r>
        <w:rPr>
          <w:color w:val="auto"/>
          <w:sz w:val="24"/>
          <w:highlight w:val="none"/>
        </w:rPr>
        <w:t>113</w:t>
      </w:r>
      <w:r>
        <w:rPr>
          <w:color w:val="auto"/>
          <w:sz w:val="24"/>
          <w:highlight w:val="none"/>
        </w:rPr>
        <w:fldChar w:fldCharType="end"/>
      </w:r>
      <w:r>
        <w:rPr>
          <w:bCs/>
          <w:color w:val="auto"/>
          <w:sz w:val="24"/>
          <w:highlight w:val="none"/>
        </w:rPr>
        <w:fldChar w:fldCharType="end"/>
      </w:r>
    </w:p>
    <w:p w14:paraId="2AD1139C">
      <w:pPr>
        <w:pStyle w:val="26"/>
        <w:tabs>
          <w:tab w:val="right" w:leader="dot" w:pos="8844"/>
        </w:tabs>
        <w:spacing w:line="360" w:lineRule="auto"/>
        <w:rPr>
          <w:color w:val="auto"/>
          <w:highlight w:val="none"/>
        </w:rPr>
      </w:pPr>
      <w:r>
        <w:rPr>
          <w:bCs/>
          <w:color w:val="auto"/>
          <w:sz w:val="24"/>
          <w:highlight w:val="none"/>
        </w:rPr>
        <w:fldChar w:fldCharType="begin"/>
      </w:r>
      <w:r>
        <w:rPr>
          <w:bCs/>
          <w:color w:val="auto"/>
          <w:sz w:val="24"/>
          <w:highlight w:val="none"/>
        </w:rPr>
        <w:instrText xml:space="preserve"> HYPERLINK \l _Toc5324 </w:instrText>
      </w:r>
      <w:r>
        <w:rPr>
          <w:bCs/>
          <w:color w:val="auto"/>
          <w:sz w:val="24"/>
          <w:highlight w:val="none"/>
        </w:rPr>
        <w:fldChar w:fldCharType="separate"/>
      </w:r>
      <w:r>
        <w:rPr>
          <w:color w:val="auto"/>
          <w:sz w:val="24"/>
          <w:highlight w:val="none"/>
        </w:rPr>
        <w:t>七、结论</w:t>
      </w:r>
      <w:r>
        <w:rPr>
          <w:color w:val="auto"/>
          <w:sz w:val="24"/>
          <w:highlight w:val="none"/>
        </w:rPr>
        <w:tab/>
      </w:r>
      <w:r>
        <w:rPr>
          <w:color w:val="auto"/>
          <w:sz w:val="24"/>
          <w:highlight w:val="none"/>
        </w:rPr>
        <w:fldChar w:fldCharType="begin"/>
      </w:r>
      <w:r>
        <w:rPr>
          <w:color w:val="auto"/>
          <w:sz w:val="24"/>
          <w:highlight w:val="none"/>
        </w:rPr>
        <w:instrText xml:space="preserve"> PAGEREF _Toc5324 </w:instrText>
      </w:r>
      <w:r>
        <w:rPr>
          <w:color w:val="auto"/>
          <w:sz w:val="24"/>
          <w:highlight w:val="none"/>
        </w:rPr>
        <w:fldChar w:fldCharType="separate"/>
      </w:r>
      <w:r>
        <w:rPr>
          <w:color w:val="auto"/>
          <w:sz w:val="24"/>
          <w:highlight w:val="none"/>
        </w:rPr>
        <w:t>114</w:t>
      </w:r>
      <w:r>
        <w:rPr>
          <w:color w:val="auto"/>
          <w:sz w:val="24"/>
          <w:highlight w:val="none"/>
        </w:rPr>
        <w:fldChar w:fldCharType="end"/>
      </w:r>
      <w:r>
        <w:rPr>
          <w:bCs/>
          <w:color w:val="auto"/>
          <w:sz w:val="24"/>
          <w:highlight w:val="none"/>
        </w:rPr>
        <w:fldChar w:fldCharType="end"/>
      </w:r>
    </w:p>
    <w:p w14:paraId="45EA7316">
      <w:pPr>
        <w:pStyle w:val="26"/>
        <w:tabs>
          <w:tab w:val="right" w:leader="dot" w:pos="8844"/>
        </w:tabs>
        <w:spacing w:line="360" w:lineRule="auto"/>
        <w:rPr>
          <w:b/>
          <w:bCs/>
          <w:color w:val="auto"/>
          <w:sz w:val="24"/>
          <w:highlight w:val="none"/>
        </w:rPr>
      </w:pPr>
      <w:r>
        <w:rPr>
          <w:bCs/>
          <w:color w:val="auto"/>
          <w:highlight w:val="none"/>
        </w:rPr>
        <w:fldChar w:fldCharType="end"/>
      </w:r>
      <w:r>
        <w:rPr>
          <w:b/>
          <w:bCs/>
          <w:color w:val="auto"/>
          <w:sz w:val="24"/>
          <w:highlight w:val="none"/>
        </w:rPr>
        <w:t>附图</w:t>
      </w:r>
      <w:r>
        <w:rPr>
          <w:rFonts w:hint="eastAsia"/>
          <w:b/>
          <w:bCs/>
          <w:color w:val="auto"/>
          <w:sz w:val="24"/>
          <w:highlight w:val="none"/>
        </w:rPr>
        <w:t>：</w:t>
      </w:r>
    </w:p>
    <w:p w14:paraId="14AD8BC5">
      <w:pPr>
        <w:spacing w:line="360" w:lineRule="auto"/>
        <w:ind w:firstLine="480"/>
        <w:rPr>
          <w:color w:val="auto"/>
          <w:sz w:val="24"/>
          <w:highlight w:val="none"/>
        </w:rPr>
      </w:pPr>
      <w:r>
        <w:rPr>
          <w:rFonts w:hint="eastAsia"/>
          <w:color w:val="auto"/>
          <w:sz w:val="24"/>
          <w:highlight w:val="none"/>
        </w:rPr>
        <w:t>附图</w:t>
      </w:r>
      <w:r>
        <w:rPr>
          <w:color w:val="auto"/>
          <w:sz w:val="24"/>
          <w:highlight w:val="none"/>
        </w:rPr>
        <w:t xml:space="preserve">1  </w:t>
      </w:r>
      <w:r>
        <w:rPr>
          <w:rFonts w:hint="eastAsia"/>
          <w:color w:val="auto"/>
          <w:sz w:val="24"/>
          <w:highlight w:val="none"/>
        </w:rPr>
        <w:t>项目地理位置图</w:t>
      </w:r>
    </w:p>
    <w:p w14:paraId="04610AE2">
      <w:pPr>
        <w:spacing w:line="360" w:lineRule="auto"/>
        <w:ind w:firstLine="480"/>
        <w:jc w:val="left"/>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附图2  项目疏浚范围示意图</w:t>
      </w:r>
    </w:p>
    <w:p w14:paraId="4FDD7C71">
      <w:pPr>
        <w:spacing w:line="360" w:lineRule="auto"/>
        <w:ind w:firstLine="480"/>
        <w:jc w:val="left"/>
        <w:rPr>
          <w:rFonts w:hint="default"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附图3  项目评价范围及保护目标分布示意图</w:t>
      </w:r>
    </w:p>
    <w:p w14:paraId="2C2ADF71">
      <w:pPr>
        <w:spacing w:line="360" w:lineRule="auto"/>
        <w:ind w:firstLine="480"/>
        <w:rPr>
          <w:rFonts w:hint="eastAsia"/>
          <w:color w:val="auto"/>
          <w:sz w:val="24"/>
          <w:szCs w:val="24"/>
          <w:highlight w:val="none"/>
          <w:u w:val="none"/>
        </w:rPr>
      </w:pPr>
      <w:r>
        <w:rPr>
          <w:rFonts w:hint="eastAsia"/>
          <w:color w:val="auto"/>
          <w:sz w:val="24"/>
          <w:highlight w:val="none"/>
        </w:rPr>
        <w:t xml:space="preserve">附图4  </w:t>
      </w:r>
      <w:r>
        <w:rPr>
          <w:rFonts w:hint="eastAsia"/>
          <w:color w:val="auto"/>
          <w:sz w:val="24"/>
          <w:szCs w:val="24"/>
          <w:highlight w:val="none"/>
          <w:u w:val="none"/>
        </w:rPr>
        <w:t>项目与</w:t>
      </w:r>
      <w:r>
        <w:rPr>
          <w:rFonts w:hint="eastAsia"/>
          <w:color w:val="auto"/>
          <w:sz w:val="24"/>
          <w:szCs w:val="24"/>
          <w:highlight w:val="none"/>
          <w:u w:val="none"/>
          <w:lang w:eastAsia="zh-CN"/>
        </w:rPr>
        <w:t>钦州市近岸海域</w:t>
      </w:r>
      <w:r>
        <w:rPr>
          <w:rFonts w:hint="eastAsia"/>
          <w:color w:val="auto"/>
          <w:sz w:val="24"/>
          <w:szCs w:val="24"/>
          <w:highlight w:val="none"/>
          <w:u w:val="none"/>
        </w:rPr>
        <w:t>环境管控单元分类位置关系图</w:t>
      </w:r>
    </w:p>
    <w:p w14:paraId="4DB7BCB6">
      <w:pPr>
        <w:spacing w:line="360" w:lineRule="auto"/>
        <w:ind w:firstLine="480"/>
        <w:rPr>
          <w:rFonts w:hint="eastAsia" w:ascii="Times New Roman" w:hAnsi="Times New Roman" w:eastAsia="宋体" w:cs="Times New Roman"/>
          <w:color w:val="auto"/>
          <w:sz w:val="24"/>
          <w:highlight w:val="none"/>
          <w:u w:val="none"/>
        </w:rPr>
      </w:pPr>
      <w:r>
        <w:rPr>
          <w:rFonts w:hint="eastAsia" w:ascii="Times New Roman" w:hAnsi="Times New Roman" w:eastAsia="宋体" w:cs="Times New Roman"/>
          <w:color w:val="auto"/>
          <w:sz w:val="24"/>
          <w:highlight w:val="none"/>
          <w:u w:val="none"/>
          <w:lang w:val="en-US" w:eastAsia="zh-CN"/>
        </w:rPr>
        <w:t xml:space="preserve">附图5  </w:t>
      </w:r>
      <w:r>
        <w:rPr>
          <w:rFonts w:hint="eastAsia" w:ascii="Times New Roman" w:hAnsi="Times New Roman" w:eastAsia="宋体" w:cs="Times New Roman"/>
          <w:color w:val="auto"/>
          <w:sz w:val="24"/>
          <w:highlight w:val="none"/>
          <w:u w:val="none"/>
        </w:rPr>
        <w:t>项目与钦州市中心城区声环境功能区划关系示意图</w:t>
      </w:r>
    </w:p>
    <w:p w14:paraId="36DE2C13">
      <w:pPr>
        <w:spacing w:line="360" w:lineRule="auto"/>
        <w:ind w:firstLine="48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eastAsia="zh-CN"/>
        </w:rPr>
        <w:t>附图</w:t>
      </w:r>
      <w:r>
        <w:rPr>
          <w:rFonts w:hint="eastAsia" w:ascii="Times New Roman" w:hAnsi="Times New Roman" w:eastAsia="宋体" w:cs="Times New Roman"/>
          <w:color w:val="auto"/>
          <w:sz w:val="24"/>
          <w:highlight w:val="none"/>
          <w:u w:val="none"/>
          <w:lang w:val="en-US" w:eastAsia="zh-CN"/>
        </w:rPr>
        <w:t>6  项目与广西壮族自治区近岸海域环境功能区划位置关系示意图</w:t>
      </w:r>
    </w:p>
    <w:p w14:paraId="7F06761A">
      <w:pPr>
        <w:spacing w:line="360" w:lineRule="auto"/>
        <w:ind w:firstLine="48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附图7  项目与红树林资源现状关系图</w:t>
      </w:r>
    </w:p>
    <w:p w14:paraId="20952556">
      <w:pPr>
        <w:spacing w:line="360" w:lineRule="auto"/>
        <w:ind w:firstLine="480"/>
        <w:rPr>
          <w:rFonts w:hint="default"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附图8 项目与海洋“两空间内部一红线”分布位置关系示意图</w:t>
      </w:r>
    </w:p>
    <w:p w14:paraId="3B502EC8">
      <w:pPr>
        <w:spacing w:line="360" w:lineRule="auto"/>
        <w:ind w:firstLine="48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附图9  海洋生态环境监测点位图（秋季）</w:t>
      </w:r>
    </w:p>
    <w:p w14:paraId="2FB799F6">
      <w:pPr>
        <w:spacing w:line="360" w:lineRule="auto"/>
        <w:ind w:firstLine="480"/>
        <w:jc w:val="left"/>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附图10 项目与钦州市国土空间规划（2021-2035年）位置关系示意图</w:t>
      </w:r>
    </w:p>
    <w:p w14:paraId="53CD1F9A">
      <w:pPr>
        <w:spacing w:line="360" w:lineRule="auto"/>
        <w:ind w:firstLine="480"/>
        <w:jc w:val="left"/>
        <w:rPr>
          <w:rFonts w:hint="default"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附图11 项目与广西重要湿地图位置关系示意图</w:t>
      </w:r>
    </w:p>
    <w:p w14:paraId="70A49FD5">
      <w:pPr>
        <w:spacing w:line="360" w:lineRule="auto"/>
        <w:ind w:firstLine="48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附图12  项目现状照片</w:t>
      </w:r>
    </w:p>
    <w:p w14:paraId="021E05EF">
      <w:pPr>
        <w:spacing w:line="360" w:lineRule="auto"/>
        <w:ind w:firstLine="480"/>
        <w:rPr>
          <w:rFonts w:hint="default" w:ascii="Times New Roman" w:hAnsi="Times New Roman" w:eastAsia="宋体" w:cs="Times New Roman"/>
          <w:color w:val="auto"/>
          <w:sz w:val="24"/>
          <w:highlight w:val="none"/>
          <w:u w:val="none"/>
          <w:lang w:val="en-US" w:eastAsia="zh-CN"/>
        </w:rPr>
      </w:pPr>
    </w:p>
    <w:p w14:paraId="79DAC587">
      <w:pPr>
        <w:spacing w:line="360" w:lineRule="auto"/>
        <w:rPr>
          <w:b/>
          <w:bCs/>
          <w:color w:val="auto"/>
          <w:sz w:val="24"/>
          <w:highlight w:val="none"/>
        </w:rPr>
      </w:pPr>
      <w:r>
        <w:rPr>
          <w:b/>
          <w:bCs/>
          <w:color w:val="auto"/>
          <w:sz w:val="24"/>
          <w:highlight w:val="none"/>
        </w:rPr>
        <w:t>附件</w:t>
      </w:r>
      <w:r>
        <w:rPr>
          <w:rFonts w:hint="eastAsia"/>
          <w:b/>
          <w:bCs/>
          <w:color w:val="auto"/>
          <w:sz w:val="24"/>
          <w:highlight w:val="none"/>
        </w:rPr>
        <w:t>：</w:t>
      </w:r>
    </w:p>
    <w:p w14:paraId="33EDC62D">
      <w:pPr>
        <w:spacing w:line="360" w:lineRule="auto"/>
        <w:ind w:firstLine="480"/>
        <w:rPr>
          <w:color w:val="auto"/>
          <w:sz w:val="24"/>
          <w:highlight w:val="none"/>
        </w:rPr>
      </w:pPr>
      <w:r>
        <w:rPr>
          <w:color w:val="auto"/>
          <w:sz w:val="24"/>
          <w:highlight w:val="none"/>
        </w:rPr>
        <w:t xml:space="preserve">附件1 </w:t>
      </w:r>
      <w:r>
        <w:rPr>
          <w:rFonts w:hint="eastAsia"/>
          <w:color w:val="auto"/>
          <w:sz w:val="24"/>
          <w:highlight w:val="none"/>
        </w:rPr>
        <w:t>环评</w:t>
      </w:r>
      <w:r>
        <w:rPr>
          <w:color w:val="auto"/>
          <w:sz w:val="24"/>
          <w:highlight w:val="none"/>
        </w:rPr>
        <w:t>委托书</w:t>
      </w:r>
    </w:p>
    <w:p w14:paraId="543EB68E">
      <w:pPr>
        <w:spacing w:line="360" w:lineRule="auto"/>
        <w:ind w:firstLine="480"/>
        <w:jc w:val="left"/>
        <w:rPr>
          <w:rFonts w:hint="eastAsia"/>
          <w:color w:val="auto"/>
          <w:sz w:val="24"/>
          <w:highlight w:val="none"/>
        </w:rPr>
      </w:pPr>
      <w:r>
        <w:rPr>
          <w:rFonts w:hint="eastAsia"/>
          <w:color w:val="auto"/>
          <w:sz w:val="24"/>
          <w:highlight w:val="none"/>
        </w:rPr>
        <w:t>附件2 项目备案证明</w:t>
      </w:r>
    </w:p>
    <w:p w14:paraId="6A79A22F">
      <w:pPr>
        <w:spacing w:line="360" w:lineRule="auto"/>
        <w:ind w:firstLine="480"/>
        <w:jc w:val="left"/>
        <w:rPr>
          <w:rFonts w:hint="eastAsia"/>
          <w:color w:val="auto"/>
          <w:sz w:val="24"/>
          <w:highlight w:val="none"/>
        </w:rPr>
      </w:pPr>
      <w:r>
        <w:rPr>
          <w:color w:val="auto"/>
          <w:sz w:val="24"/>
          <w:highlight w:val="none"/>
        </w:rPr>
        <w:t>附件</w:t>
      </w:r>
      <w:r>
        <w:rPr>
          <w:rFonts w:hint="eastAsia"/>
          <w:color w:val="auto"/>
          <w:sz w:val="24"/>
          <w:highlight w:val="none"/>
        </w:rPr>
        <w:t>3</w:t>
      </w:r>
      <w:r>
        <w:rPr>
          <w:color w:val="auto"/>
          <w:sz w:val="24"/>
          <w:highlight w:val="none"/>
        </w:rPr>
        <w:t xml:space="preserve"> </w:t>
      </w:r>
      <w:r>
        <w:rPr>
          <w:rFonts w:hint="eastAsia"/>
          <w:color w:val="auto"/>
          <w:sz w:val="24"/>
          <w:highlight w:val="none"/>
        </w:rPr>
        <w:t>关于</w:t>
      </w:r>
      <w:r>
        <w:rPr>
          <w:rFonts w:hint="eastAsia"/>
          <w:color w:val="auto"/>
          <w:sz w:val="24"/>
          <w:highlight w:val="none"/>
          <w:lang w:eastAsia="zh-CN"/>
        </w:rPr>
        <w:t>钦州港金谷港区金鼓江作业区19#泊位码头停泊及回旋水域清淤疏浚项目</w:t>
      </w:r>
      <w:r>
        <w:rPr>
          <w:rFonts w:hint="eastAsia"/>
          <w:color w:val="auto"/>
          <w:sz w:val="24"/>
          <w:highlight w:val="none"/>
        </w:rPr>
        <w:t>研判初步结论</w:t>
      </w:r>
    </w:p>
    <w:p w14:paraId="468A4E1D">
      <w:pPr>
        <w:spacing w:line="360" w:lineRule="auto"/>
        <w:ind w:firstLine="480"/>
        <w:jc w:val="left"/>
        <w:rPr>
          <w:rFonts w:hint="eastAsia"/>
          <w:color w:val="auto"/>
          <w:sz w:val="24"/>
          <w:highlight w:val="none"/>
          <w:u w:val="single"/>
          <w:lang w:val="en-US" w:eastAsia="zh-CN"/>
        </w:rPr>
      </w:pPr>
      <w:r>
        <w:rPr>
          <w:rFonts w:hint="eastAsia"/>
          <w:color w:val="auto"/>
          <w:sz w:val="24"/>
          <w:highlight w:val="none"/>
          <w:u w:val="single"/>
          <w:lang w:val="en-US" w:eastAsia="zh-CN"/>
        </w:rPr>
        <w:t>附件4 海域使用不动产权证</w:t>
      </w:r>
    </w:p>
    <w:p w14:paraId="4D152433">
      <w:pPr>
        <w:spacing w:line="360" w:lineRule="auto"/>
        <w:ind w:firstLine="480"/>
        <w:jc w:val="left"/>
        <w:rPr>
          <w:rFonts w:hint="eastAsia"/>
          <w:color w:val="auto"/>
          <w:sz w:val="24"/>
          <w:highlight w:val="none"/>
        </w:rPr>
      </w:pPr>
      <w:r>
        <w:rPr>
          <w:rFonts w:hint="eastAsia"/>
          <w:color w:val="auto"/>
          <w:sz w:val="24"/>
          <w:highlight w:val="none"/>
          <w:u w:val="single"/>
          <w:lang w:val="en-US" w:eastAsia="zh-CN"/>
        </w:rPr>
        <w:t>附件5《钦州港金谷港区金鼓江作业区19#泊位码头停泊及回旋水域清淤疏浚项目疏浚物海洋倾倒检测报告》</w:t>
      </w:r>
    </w:p>
    <w:p w14:paraId="46CABE3A">
      <w:pPr>
        <w:spacing w:line="360" w:lineRule="auto"/>
        <w:rPr>
          <w:rFonts w:hint="eastAsia" w:ascii="宋体" w:hAnsi="宋体" w:cs="宋体"/>
          <w:color w:val="auto"/>
          <w:sz w:val="24"/>
          <w:highlight w:val="none"/>
          <w:u w:val="single"/>
        </w:rPr>
        <w:sectPr>
          <w:headerReference r:id="rId3" w:type="default"/>
          <w:footerReference r:id="rId4" w:type="default"/>
          <w:pgSz w:w="11906" w:h="16838"/>
          <w:pgMar w:top="1701" w:right="1531" w:bottom="1701" w:left="1531" w:header="851" w:footer="1077" w:gutter="0"/>
          <w:cols w:space="720" w:num="1"/>
          <w:docGrid w:linePitch="312" w:charSpace="0"/>
        </w:sectPr>
      </w:pPr>
    </w:p>
    <w:p w14:paraId="39408631">
      <w:pPr>
        <w:pStyle w:val="2"/>
        <w:snapToGrid/>
        <w:spacing w:before="0" w:after="0" w:line="360" w:lineRule="auto"/>
        <w:jc w:val="center"/>
        <w:rPr>
          <w:color w:val="auto"/>
          <w:highlight w:val="none"/>
        </w:rPr>
      </w:pPr>
      <w:bookmarkStart w:id="21" w:name="_Toc2309"/>
      <w:bookmarkStart w:id="22" w:name="_Toc15250"/>
      <w:bookmarkStart w:id="23" w:name="_Toc194"/>
      <w:bookmarkStart w:id="24" w:name="_Toc14319"/>
      <w:r>
        <w:rPr>
          <w:color w:val="auto"/>
          <w:highlight w:val="none"/>
        </w:rPr>
        <w:t>一、建设项目基本情况</w:t>
      </w:r>
      <w:bookmarkEnd w:id="21"/>
      <w:bookmarkEnd w:id="22"/>
      <w:bookmarkEnd w:id="23"/>
      <w:bookmarkEnd w:id="24"/>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32"/>
        <w:gridCol w:w="1987"/>
        <w:gridCol w:w="1930"/>
        <w:gridCol w:w="2921"/>
      </w:tblGrid>
      <w:tr w14:paraId="47007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2032" w:type="dxa"/>
            <w:noWrap w:val="0"/>
            <w:tcMar>
              <w:top w:w="16" w:type="dxa"/>
              <w:left w:w="16" w:type="dxa"/>
              <w:right w:w="16" w:type="dxa"/>
            </w:tcMar>
            <w:vAlign w:val="center"/>
          </w:tcPr>
          <w:p w14:paraId="0A2D99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color w:val="auto"/>
                <w:sz w:val="24"/>
                <w:highlight w:val="none"/>
              </w:rPr>
              <w:t>建设项目名称</w:t>
            </w:r>
          </w:p>
        </w:tc>
        <w:tc>
          <w:tcPr>
            <w:tcW w:w="6838" w:type="dxa"/>
            <w:gridSpan w:val="3"/>
            <w:noWrap w:val="0"/>
            <w:vAlign w:val="center"/>
          </w:tcPr>
          <w:p w14:paraId="2AF163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4"/>
                <w:highlight w:val="none"/>
                <w:lang w:eastAsia="zh-CN"/>
              </w:rPr>
            </w:pPr>
            <w:r>
              <w:rPr>
                <w:rFonts w:hint="eastAsia"/>
                <w:color w:val="auto"/>
                <w:sz w:val="24"/>
                <w:highlight w:val="none"/>
                <w:lang w:eastAsia="zh-CN"/>
              </w:rPr>
              <w:t>钦州港金谷港区金鼓江作业区19#泊位码头停泊及回旋水域清淤疏浚项目</w:t>
            </w:r>
          </w:p>
        </w:tc>
      </w:tr>
      <w:tr w14:paraId="36719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253ED2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color w:val="auto"/>
                <w:sz w:val="24"/>
                <w:highlight w:val="none"/>
              </w:rPr>
              <w:t>项目代码</w:t>
            </w:r>
          </w:p>
        </w:tc>
        <w:tc>
          <w:tcPr>
            <w:tcW w:w="6838" w:type="dxa"/>
            <w:gridSpan w:val="3"/>
            <w:noWrap w:val="0"/>
            <w:vAlign w:val="center"/>
          </w:tcPr>
          <w:p w14:paraId="3E6D74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4"/>
                <w:highlight w:val="none"/>
                <w:lang w:eastAsia="zh-CN"/>
              </w:rPr>
            </w:pPr>
            <w:r>
              <w:rPr>
                <w:rFonts w:hint="eastAsia"/>
                <w:color w:val="auto"/>
                <w:sz w:val="24"/>
                <w:highlight w:val="none"/>
                <w:lang w:eastAsia="zh-CN"/>
              </w:rPr>
              <w:t>2511-450704-04-05-565704</w:t>
            </w:r>
          </w:p>
        </w:tc>
      </w:tr>
      <w:tr w14:paraId="3073E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25738F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color w:val="auto"/>
                <w:sz w:val="24"/>
                <w:highlight w:val="none"/>
              </w:rPr>
              <w:t>建设单位联系人</w:t>
            </w:r>
          </w:p>
        </w:tc>
        <w:tc>
          <w:tcPr>
            <w:tcW w:w="1987" w:type="dxa"/>
            <w:noWrap w:val="0"/>
            <w:vAlign w:val="center"/>
          </w:tcPr>
          <w:p w14:paraId="66DAE5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4"/>
                <w:highlight w:val="none"/>
              </w:rPr>
            </w:pPr>
            <w:r>
              <w:rPr>
                <w:rFonts w:hint="eastAsia" w:ascii="Times New Roman" w:hAnsi="Times New Roman" w:eastAsia="宋体" w:cs="Times New Roman"/>
                <w:color w:val="auto"/>
                <w:sz w:val="24"/>
                <w:highlight w:val="none"/>
                <w:lang w:val="en-US" w:eastAsia="zh-CN"/>
              </w:rPr>
              <w:t>***</w:t>
            </w:r>
          </w:p>
        </w:tc>
        <w:tc>
          <w:tcPr>
            <w:tcW w:w="1930" w:type="dxa"/>
            <w:noWrap w:val="0"/>
            <w:vAlign w:val="center"/>
          </w:tcPr>
          <w:p w14:paraId="475274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color w:val="auto"/>
                <w:sz w:val="24"/>
                <w:highlight w:val="none"/>
              </w:rPr>
              <w:t>联系方式</w:t>
            </w:r>
          </w:p>
        </w:tc>
        <w:tc>
          <w:tcPr>
            <w:tcW w:w="2921" w:type="dxa"/>
            <w:noWrap w:val="0"/>
            <w:vAlign w:val="center"/>
          </w:tcPr>
          <w:p w14:paraId="6CC6D8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rFonts w:hint="eastAsia" w:ascii="Times New Roman" w:hAnsi="Times New Roman" w:eastAsia="宋体" w:cs="Times New Roman"/>
                <w:color w:val="auto"/>
                <w:sz w:val="24"/>
                <w:highlight w:val="none"/>
                <w:lang w:val="en-US" w:eastAsia="zh-CN"/>
              </w:rPr>
              <w:t>***</w:t>
            </w:r>
          </w:p>
        </w:tc>
      </w:tr>
      <w:tr w14:paraId="61B62C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3FB266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color w:val="auto"/>
                <w:sz w:val="24"/>
                <w:highlight w:val="none"/>
              </w:rPr>
              <w:t>建设地点</w:t>
            </w:r>
          </w:p>
        </w:tc>
        <w:tc>
          <w:tcPr>
            <w:tcW w:w="6838" w:type="dxa"/>
            <w:gridSpan w:val="3"/>
            <w:noWrap w:val="0"/>
            <w:vAlign w:val="center"/>
          </w:tcPr>
          <w:p w14:paraId="658949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rFonts w:hint="eastAsia" w:ascii="Times New Roman" w:hAnsi="Times New Roman" w:eastAsia="宋体" w:cs="Times New Roman"/>
                <w:color w:val="auto"/>
                <w:sz w:val="24"/>
                <w:highlight w:val="none"/>
                <w:lang w:val="en-US" w:eastAsia="zh-CN"/>
              </w:rPr>
              <w:t>广西壮族自治区钦州市中国（广西）自由贸易试验区钦州港片区钦州港金谷港区金鼓江作业区19#泊位码头停泊及回旋水域</w:t>
            </w:r>
          </w:p>
        </w:tc>
      </w:tr>
      <w:tr w14:paraId="3E4DC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5E2975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color w:val="auto"/>
                <w:sz w:val="24"/>
                <w:highlight w:val="none"/>
              </w:rPr>
              <w:t>地理坐标</w:t>
            </w:r>
          </w:p>
        </w:tc>
        <w:tc>
          <w:tcPr>
            <w:tcW w:w="6838" w:type="dxa"/>
            <w:gridSpan w:val="3"/>
            <w:noWrap w:val="0"/>
            <w:vAlign w:val="center"/>
          </w:tcPr>
          <w:p w14:paraId="3025E9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u w:val="single"/>
              </w:rPr>
            </w:pPr>
            <w:r>
              <w:rPr>
                <w:rFonts w:hint="eastAsia"/>
                <w:color w:val="auto"/>
                <w:sz w:val="24"/>
                <w:highlight w:val="none"/>
                <w:u w:val="none"/>
              </w:rPr>
              <w:t>（经度：108.630581°，纬度：21.703280°）</w:t>
            </w:r>
          </w:p>
        </w:tc>
      </w:tr>
      <w:tr w14:paraId="27065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7FAD183E">
            <w:pPr>
              <w:spacing w:line="240" w:lineRule="auto"/>
              <w:jc w:val="center"/>
              <w:rPr>
                <w:color w:val="auto"/>
                <w:sz w:val="24"/>
                <w:highlight w:val="none"/>
              </w:rPr>
            </w:pPr>
            <w:r>
              <w:rPr>
                <w:color w:val="auto"/>
                <w:sz w:val="24"/>
                <w:highlight w:val="none"/>
              </w:rPr>
              <w:t>建设项目行业类别</w:t>
            </w:r>
          </w:p>
        </w:tc>
        <w:tc>
          <w:tcPr>
            <w:tcW w:w="1987" w:type="dxa"/>
            <w:noWrap w:val="0"/>
            <w:vAlign w:val="center"/>
          </w:tcPr>
          <w:p w14:paraId="25C34FC0">
            <w:pPr>
              <w:spacing w:line="240" w:lineRule="auto"/>
              <w:jc w:val="cente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五十</w:t>
            </w:r>
            <w:r>
              <w:rPr>
                <w:rFonts w:hint="eastAsia" w:ascii="Times New Roman" w:hAnsi="Times New Roman" w:eastAsia="宋体" w:cs="Times New Roman"/>
                <w:color w:val="auto"/>
                <w:sz w:val="24"/>
                <w:highlight w:val="none"/>
                <w:lang w:eastAsia="zh-CN"/>
              </w:rPr>
              <w:t>四、海洋工程</w:t>
            </w:r>
            <w:r>
              <w:rPr>
                <w:rFonts w:hint="eastAsia" w:ascii="Times New Roman" w:hAnsi="Times New Roman" w:eastAsia="宋体" w:cs="Times New Roman"/>
                <w:color w:val="auto"/>
                <w:sz w:val="24"/>
                <w:highlight w:val="none"/>
                <w:lang w:val="en-US" w:eastAsia="zh-CN"/>
              </w:rPr>
              <w:t>-160.其他海洋工程</w:t>
            </w:r>
          </w:p>
          <w:p w14:paraId="0E3D7185">
            <w:pPr>
              <w:spacing w:line="240" w:lineRule="auto"/>
              <w:jc w:val="center"/>
              <w:rPr>
                <w:color w:val="auto"/>
                <w:sz w:val="24"/>
                <w:highlight w:val="none"/>
              </w:rPr>
            </w:pPr>
            <w:r>
              <w:rPr>
                <w:rFonts w:hint="eastAsia" w:ascii="Times New Roman" w:hAnsi="Times New Roman" w:eastAsia="宋体" w:cs="Times New Roman"/>
                <w:color w:val="auto"/>
                <w:sz w:val="24"/>
                <w:highlight w:val="none"/>
                <w:lang w:val="en-US" w:eastAsia="zh-CN"/>
              </w:rPr>
              <w:t>-其他</w:t>
            </w:r>
          </w:p>
        </w:tc>
        <w:tc>
          <w:tcPr>
            <w:tcW w:w="1930" w:type="dxa"/>
            <w:noWrap w:val="0"/>
            <w:vAlign w:val="center"/>
          </w:tcPr>
          <w:p w14:paraId="625DDE56">
            <w:pPr>
              <w:spacing w:line="240" w:lineRule="auto"/>
              <w:jc w:val="center"/>
              <w:rPr>
                <w:color w:val="auto"/>
                <w:sz w:val="24"/>
                <w:highlight w:val="none"/>
              </w:rPr>
            </w:pPr>
            <w:r>
              <w:rPr>
                <w:color w:val="auto"/>
                <w:sz w:val="24"/>
                <w:highlight w:val="none"/>
              </w:rPr>
              <w:t>用地面积（m</w:t>
            </w:r>
            <w:r>
              <w:rPr>
                <w:color w:val="auto"/>
                <w:sz w:val="24"/>
                <w:highlight w:val="none"/>
                <w:vertAlign w:val="superscript"/>
              </w:rPr>
              <w:t>2</w:t>
            </w:r>
            <w:r>
              <w:rPr>
                <w:color w:val="auto"/>
                <w:sz w:val="24"/>
                <w:highlight w:val="none"/>
              </w:rPr>
              <w:t>）</w:t>
            </w:r>
          </w:p>
        </w:tc>
        <w:tc>
          <w:tcPr>
            <w:tcW w:w="2921" w:type="dxa"/>
            <w:noWrap w:val="0"/>
            <w:vAlign w:val="center"/>
          </w:tcPr>
          <w:p w14:paraId="1F8B583B">
            <w:pPr>
              <w:spacing w:line="240" w:lineRule="auto"/>
              <w:jc w:val="center"/>
              <w:rPr>
                <w:rFonts w:hint="eastAsia"/>
                <w:color w:val="auto"/>
                <w:sz w:val="24"/>
                <w:highlight w:val="none"/>
              </w:rPr>
            </w:pPr>
            <w:r>
              <w:rPr>
                <w:rFonts w:hint="eastAsia"/>
                <w:color w:val="auto"/>
                <w:sz w:val="24"/>
                <w:highlight w:val="none"/>
                <w:lang w:eastAsia="zh-CN"/>
              </w:rPr>
              <w:t>临时用海面积</w:t>
            </w:r>
            <w:r>
              <w:rPr>
                <w:rFonts w:hint="eastAsia"/>
                <w:color w:val="auto"/>
                <w:sz w:val="24"/>
                <w:highlight w:val="none"/>
                <w:lang w:val="en-US" w:eastAsia="zh-CN"/>
              </w:rPr>
              <w:t>141466.66</w:t>
            </w:r>
            <w:r>
              <w:rPr>
                <w:rFonts w:hint="eastAsia"/>
                <w:color w:val="auto"/>
                <w:sz w:val="24"/>
                <w:highlight w:val="none"/>
              </w:rPr>
              <w:t>m</w:t>
            </w:r>
            <w:r>
              <w:rPr>
                <w:rFonts w:hint="eastAsia"/>
                <w:color w:val="auto"/>
                <w:sz w:val="24"/>
                <w:highlight w:val="none"/>
                <w:vertAlign w:val="superscript"/>
              </w:rPr>
              <w:t>2</w:t>
            </w:r>
          </w:p>
        </w:tc>
      </w:tr>
      <w:tr w14:paraId="4CCEC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795A4E08">
            <w:pPr>
              <w:adjustRightInd w:val="0"/>
              <w:snapToGrid w:val="0"/>
              <w:spacing w:line="240" w:lineRule="auto"/>
              <w:jc w:val="center"/>
              <w:rPr>
                <w:rFonts w:hint="eastAsia" w:ascii="宋体" w:hAnsi="宋体" w:cs="宋体"/>
                <w:color w:val="auto"/>
                <w:sz w:val="24"/>
                <w:highlight w:val="none"/>
              </w:rPr>
            </w:pPr>
            <w:r>
              <w:rPr>
                <w:rFonts w:hint="eastAsia" w:ascii="宋体" w:hAnsi="宋体" w:cs="宋体"/>
                <w:color w:val="auto"/>
                <w:sz w:val="24"/>
                <w:highlight w:val="none"/>
              </w:rPr>
              <w:t>建设性质</w:t>
            </w:r>
          </w:p>
        </w:tc>
        <w:tc>
          <w:tcPr>
            <w:tcW w:w="1987" w:type="dxa"/>
            <w:noWrap w:val="0"/>
            <w:vAlign w:val="center"/>
          </w:tcPr>
          <w:p w14:paraId="551DD8DB">
            <w:pPr>
              <w:spacing w:line="240" w:lineRule="auto"/>
              <w:jc w:val="left"/>
              <w:rPr>
                <w:color w:val="auto"/>
                <w:sz w:val="24"/>
                <w:highlight w:val="none"/>
              </w:rPr>
            </w:pPr>
            <w:r>
              <w:rPr>
                <w:color w:val="auto"/>
                <w:sz w:val="24"/>
                <w:highlight w:val="none"/>
              </w:rPr>
              <w:sym w:font="Wingdings 2" w:char="0052"/>
            </w:r>
            <w:r>
              <w:rPr>
                <w:color w:val="auto"/>
                <w:sz w:val="24"/>
                <w:highlight w:val="none"/>
              </w:rPr>
              <w:t>新建（迁建）</w:t>
            </w:r>
          </w:p>
          <w:p w14:paraId="3C0E9CB7">
            <w:pPr>
              <w:spacing w:line="240" w:lineRule="auto"/>
              <w:jc w:val="left"/>
              <w:rPr>
                <w:color w:val="auto"/>
                <w:sz w:val="24"/>
                <w:highlight w:val="none"/>
              </w:rPr>
            </w:pPr>
            <w:r>
              <w:rPr>
                <w:color w:val="auto"/>
                <w:sz w:val="24"/>
                <w:highlight w:val="none"/>
              </w:rPr>
              <w:sym w:font="Wingdings 2" w:char="00A3"/>
            </w:r>
            <w:r>
              <w:rPr>
                <w:color w:val="auto"/>
                <w:sz w:val="24"/>
                <w:highlight w:val="none"/>
              </w:rPr>
              <w:t>改建</w:t>
            </w:r>
          </w:p>
          <w:p w14:paraId="0867C1D1">
            <w:pPr>
              <w:spacing w:line="240" w:lineRule="auto"/>
              <w:jc w:val="left"/>
              <w:rPr>
                <w:color w:val="auto"/>
                <w:sz w:val="24"/>
                <w:highlight w:val="none"/>
              </w:rPr>
            </w:pPr>
            <w:r>
              <w:rPr>
                <w:color w:val="auto"/>
                <w:sz w:val="24"/>
                <w:highlight w:val="none"/>
              </w:rPr>
              <w:sym w:font="Wingdings 2" w:char="00A3"/>
            </w:r>
            <w:r>
              <w:rPr>
                <w:color w:val="auto"/>
                <w:sz w:val="24"/>
                <w:highlight w:val="none"/>
              </w:rPr>
              <w:t>扩建</w:t>
            </w:r>
          </w:p>
          <w:p w14:paraId="755AA74F">
            <w:pPr>
              <w:spacing w:line="240" w:lineRule="auto"/>
              <w:jc w:val="left"/>
              <w:rPr>
                <w:color w:val="auto"/>
                <w:sz w:val="24"/>
                <w:highlight w:val="none"/>
              </w:rPr>
            </w:pPr>
            <w:r>
              <w:rPr>
                <w:color w:val="auto"/>
                <w:sz w:val="24"/>
                <w:highlight w:val="none"/>
              </w:rPr>
              <w:sym w:font="Wingdings 2" w:char="00A3"/>
            </w:r>
            <w:r>
              <w:rPr>
                <w:color w:val="auto"/>
                <w:sz w:val="24"/>
                <w:highlight w:val="none"/>
              </w:rPr>
              <w:t>技术改造</w:t>
            </w:r>
          </w:p>
        </w:tc>
        <w:tc>
          <w:tcPr>
            <w:tcW w:w="1930" w:type="dxa"/>
            <w:noWrap w:val="0"/>
            <w:vAlign w:val="center"/>
          </w:tcPr>
          <w:p w14:paraId="45EDFAE7">
            <w:pPr>
              <w:adjustRightInd w:val="0"/>
              <w:snapToGrid w:val="0"/>
              <w:spacing w:line="240" w:lineRule="auto"/>
              <w:jc w:val="center"/>
              <w:rPr>
                <w:rFonts w:hint="default" w:eastAsia="宋体"/>
                <w:color w:val="auto"/>
                <w:highlight w:val="none"/>
                <w:lang w:val="en-US" w:eastAsia="zh-CN"/>
              </w:rPr>
            </w:pPr>
            <w:r>
              <w:rPr>
                <w:rFonts w:hint="eastAsia" w:ascii="宋体" w:hAnsi="宋体" w:cs="宋体"/>
                <w:color w:val="auto"/>
                <w:sz w:val="24"/>
                <w:highlight w:val="none"/>
              </w:rPr>
              <w:t>建设项目</w:t>
            </w:r>
          </w:p>
          <w:p w14:paraId="47E137DF">
            <w:pPr>
              <w:adjustRightInd w:val="0"/>
              <w:snapToGrid w:val="0"/>
              <w:spacing w:line="240" w:lineRule="auto"/>
              <w:jc w:val="center"/>
              <w:rPr>
                <w:rFonts w:hint="eastAsia" w:ascii="宋体" w:hAnsi="宋体" w:cs="宋体"/>
                <w:color w:val="auto"/>
                <w:sz w:val="24"/>
                <w:highlight w:val="none"/>
              </w:rPr>
            </w:pPr>
            <w:r>
              <w:rPr>
                <w:rFonts w:hint="eastAsia" w:ascii="宋体" w:hAnsi="宋体" w:cs="宋体"/>
                <w:color w:val="auto"/>
                <w:sz w:val="24"/>
                <w:highlight w:val="none"/>
              </w:rPr>
              <w:t>申报情形</w:t>
            </w:r>
          </w:p>
        </w:tc>
        <w:tc>
          <w:tcPr>
            <w:tcW w:w="2921" w:type="dxa"/>
            <w:noWrap w:val="0"/>
            <w:vAlign w:val="center"/>
          </w:tcPr>
          <w:p w14:paraId="281759A9">
            <w:pPr>
              <w:spacing w:line="240" w:lineRule="auto"/>
              <w:jc w:val="left"/>
              <w:rPr>
                <w:color w:val="auto"/>
                <w:sz w:val="24"/>
                <w:highlight w:val="none"/>
              </w:rPr>
            </w:pPr>
            <w:r>
              <w:rPr>
                <w:color w:val="auto"/>
                <w:sz w:val="24"/>
                <w:highlight w:val="none"/>
              </w:rPr>
              <w:sym w:font="Wingdings 2" w:char="0052"/>
            </w:r>
            <w:r>
              <w:rPr>
                <w:color w:val="auto"/>
                <w:sz w:val="24"/>
                <w:highlight w:val="none"/>
              </w:rPr>
              <w:t xml:space="preserve">首次申报项目             </w:t>
            </w:r>
          </w:p>
          <w:p w14:paraId="58A7890D">
            <w:pPr>
              <w:spacing w:line="240" w:lineRule="auto"/>
              <w:jc w:val="left"/>
              <w:rPr>
                <w:color w:val="auto"/>
                <w:sz w:val="24"/>
                <w:highlight w:val="none"/>
              </w:rPr>
            </w:pPr>
            <w:r>
              <w:rPr>
                <w:color w:val="auto"/>
                <w:sz w:val="24"/>
                <w:highlight w:val="none"/>
              </w:rPr>
              <w:sym w:font="Wingdings 2" w:char="00A3"/>
            </w:r>
            <w:r>
              <w:rPr>
                <w:color w:val="auto"/>
                <w:sz w:val="24"/>
                <w:highlight w:val="none"/>
              </w:rPr>
              <w:t>不予批准后再次申报项目</w:t>
            </w:r>
          </w:p>
          <w:p w14:paraId="4C139B95">
            <w:pPr>
              <w:spacing w:line="240" w:lineRule="auto"/>
              <w:jc w:val="left"/>
              <w:rPr>
                <w:color w:val="auto"/>
                <w:sz w:val="24"/>
                <w:highlight w:val="none"/>
              </w:rPr>
            </w:pPr>
            <w:r>
              <w:rPr>
                <w:color w:val="auto"/>
                <w:sz w:val="24"/>
                <w:highlight w:val="none"/>
              </w:rPr>
              <w:sym w:font="Wingdings 2" w:char="00A3"/>
            </w:r>
            <w:r>
              <w:rPr>
                <w:color w:val="auto"/>
                <w:sz w:val="24"/>
                <w:highlight w:val="none"/>
              </w:rPr>
              <w:t>超五年重新审核项目</w:t>
            </w:r>
          </w:p>
          <w:p w14:paraId="5FC6A1F5">
            <w:pPr>
              <w:spacing w:line="240" w:lineRule="auto"/>
              <w:jc w:val="left"/>
              <w:rPr>
                <w:color w:val="auto"/>
                <w:sz w:val="24"/>
                <w:highlight w:val="none"/>
              </w:rPr>
            </w:pPr>
            <w:r>
              <w:rPr>
                <w:color w:val="auto"/>
                <w:sz w:val="24"/>
                <w:highlight w:val="none"/>
              </w:rPr>
              <w:sym w:font="Wingdings 2" w:char="00A3"/>
            </w:r>
            <w:r>
              <w:rPr>
                <w:color w:val="auto"/>
                <w:sz w:val="24"/>
                <w:highlight w:val="none"/>
              </w:rPr>
              <w:t>重大变动重新报批项目</w:t>
            </w:r>
          </w:p>
        </w:tc>
      </w:tr>
      <w:tr w14:paraId="432741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7960FDEA">
            <w:pPr>
              <w:spacing w:line="240" w:lineRule="auto"/>
              <w:rPr>
                <w:color w:val="auto"/>
                <w:sz w:val="24"/>
                <w:highlight w:val="none"/>
              </w:rPr>
            </w:pPr>
            <w:r>
              <w:rPr>
                <w:color w:val="auto"/>
                <w:sz w:val="24"/>
                <w:highlight w:val="none"/>
              </w:rPr>
              <w:t>项目审批（核准/</w:t>
            </w:r>
          </w:p>
          <w:p w14:paraId="14B5FB2E">
            <w:pPr>
              <w:spacing w:line="240" w:lineRule="auto"/>
              <w:jc w:val="center"/>
              <w:rPr>
                <w:color w:val="auto"/>
                <w:sz w:val="24"/>
                <w:highlight w:val="none"/>
              </w:rPr>
            </w:pPr>
            <w:r>
              <w:rPr>
                <w:color w:val="auto"/>
                <w:sz w:val="24"/>
                <w:highlight w:val="none"/>
              </w:rPr>
              <w:t>备案）部门（选填）</w:t>
            </w:r>
          </w:p>
        </w:tc>
        <w:tc>
          <w:tcPr>
            <w:tcW w:w="1987" w:type="dxa"/>
            <w:noWrap w:val="0"/>
            <w:vAlign w:val="center"/>
          </w:tcPr>
          <w:p w14:paraId="2CF22296">
            <w:pPr>
              <w:spacing w:line="240" w:lineRule="auto"/>
              <w:jc w:val="both"/>
              <w:rPr>
                <w:rFonts w:hint="eastAsia" w:eastAsia="宋体"/>
                <w:color w:val="auto"/>
                <w:sz w:val="24"/>
                <w:highlight w:val="none"/>
                <w:lang w:eastAsia="zh-CN"/>
              </w:rPr>
            </w:pPr>
            <w:r>
              <w:rPr>
                <w:rFonts w:hint="eastAsia" w:eastAsia="宋体"/>
                <w:color w:val="auto"/>
                <w:sz w:val="24"/>
                <w:highlight w:val="none"/>
                <w:lang w:eastAsia="zh-CN"/>
              </w:rPr>
              <w:t>中国—马来西亚钦州产业园区行政审批局</w:t>
            </w:r>
          </w:p>
        </w:tc>
        <w:tc>
          <w:tcPr>
            <w:tcW w:w="1930" w:type="dxa"/>
            <w:noWrap w:val="0"/>
            <w:vAlign w:val="center"/>
          </w:tcPr>
          <w:p w14:paraId="6D0461B2">
            <w:pPr>
              <w:spacing w:line="240" w:lineRule="auto"/>
              <w:rPr>
                <w:color w:val="auto"/>
                <w:sz w:val="24"/>
                <w:highlight w:val="none"/>
              </w:rPr>
            </w:pPr>
            <w:r>
              <w:rPr>
                <w:color w:val="auto"/>
                <w:sz w:val="24"/>
                <w:highlight w:val="none"/>
              </w:rPr>
              <w:t>项目审批（核准/</w:t>
            </w:r>
          </w:p>
          <w:p w14:paraId="2DE0DADF">
            <w:pPr>
              <w:spacing w:line="240" w:lineRule="auto"/>
              <w:jc w:val="center"/>
              <w:rPr>
                <w:color w:val="auto"/>
                <w:sz w:val="24"/>
                <w:highlight w:val="none"/>
              </w:rPr>
            </w:pPr>
            <w:r>
              <w:rPr>
                <w:color w:val="auto"/>
                <w:sz w:val="24"/>
                <w:highlight w:val="none"/>
              </w:rPr>
              <w:t>备案）文号（选填）</w:t>
            </w:r>
          </w:p>
        </w:tc>
        <w:tc>
          <w:tcPr>
            <w:tcW w:w="2921" w:type="dxa"/>
            <w:noWrap w:val="0"/>
            <w:vAlign w:val="center"/>
          </w:tcPr>
          <w:p w14:paraId="78775E7E">
            <w:pPr>
              <w:spacing w:line="240" w:lineRule="auto"/>
              <w:jc w:val="center"/>
              <w:rPr>
                <w:rFonts w:hint="eastAsia" w:eastAsia="宋体"/>
                <w:color w:val="auto"/>
                <w:sz w:val="24"/>
                <w:highlight w:val="none"/>
                <w:lang w:eastAsia="zh-CN"/>
              </w:rPr>
            </w:pPr>
            <w:r>
              <w:rPr>
                <w:rFonts w:hint="eastAsia"/>
                <w:color w:val="auto"/>
                <w:sz w:val="24"/>
                <w:highlight w:val="none"/>
                <w:lang w:val="en-US" w:eastAsia="zh-CN"/>
              </w:rPr>
              <w:t>/</w:t>
            </w:r>
          </w:p>
        </w:tc>
      </w:tr>
      <w:tr w14:paraId="35EE7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5169F649">
            <w:pPr>
              <w:spacing w:line="240" w:lineRule="auto"/>
              <w:jc w:val="center"/>
              <w:rPr>
                <w:color w:val="auto"/>
                <w:sz w:val="24"/>
                <w:highlight w:val="none"/>
              </w:rPr>
            </w:pPr>
            <w:r>
              <w:rPr>
                <w:color w:val="auto"/>
                <w:sz w:val="24"/>
                <w:highlight w:val="none"/>
              </w:rPr>
              <w:t>总投资（万元）</w:t>
            </w:r>
          </w:p>
        </w:tc>
        <w:tc>
          <w:tcPr>
            <w:tcW w:w="1987" w:type="dxa"/>
            <w:noWrap w:val="0"/>
            <w:vAlign w:val="center"/>
          </w:tcPr>
          <w:p w14:paraId="0299B5E2">
            <w:pPr>
              <w:spacing w:line="240" w:lineRule="auto"/>
              <w:jc w:val="center"/>
              <w:rPr>
                <w:rFonts w:hint="default" w:eastAsia="宋体"/>
                <w:color w:val="auto"/>
                <w:sz w:val="24"/>
                <w:highlight w:val="none"/>
                <w:lang w:val="en-US" w:eastAsia="zh-CN"/>
              </w:rPr>
            </w:pPr>
            <w:r>
              <w:rPr>
                <w:rFonts w:hint="eastAsia" w:ascii="Times New Roman" w:hAnsi="Times New Roman" w:eastAsia="宋体" w:cs="Times New Roman"/>
                <w:color w:val="auto"/>
                <w:sz w:val="24"/>
                <w:highlight w:val="none"/>
                <w:lang w:val="en-US" w:eastAsia="zh-CN"/>
              </w:rPr>
              <w:t>***</w:t>
            </w:r>
          </w:p>
        </w:tc>
        <w:tc>
          <w:tcPr>
            <w:tcW w:w="1930" w:type="dxa"/>
            <w:noWrap w:val="0"/>
            <w:tcMar>
              <w:top w:w="16" w:type="dxa"/>
              <w:left w:w="16" w:type="dxa"/>
              <w:right w:w="16" w:type="dxa"/>
            </w:tcMar>
            <w:vAlign w:val="center"/>
          </w:tcPr>
          <w:p w14:paraId="616D16A5">
            <w:pPr>
              <w:spacing w:line="240" w:lineRule="auto"/>
              <w:jc w:val="center"/>
              <w:rPr>
                <w:color w:val="auto"/>
                <w:sz w:val="24"/>
                <w:highlight w:val="none"/>
              </w:rPr>
            </w:pPr>
            <w:r>
              <w:rPr>
                <w:color w:val="auto"/>
                <w:sz w:val="24"/>
                <w:highlight w:val="none"/>
              </w:rPr>
              <w:t>环保投资（万元）</w:t>
            </w:r>
          </w:p>
        </w:tc>
        <w:tc>
          <w:tcPr>
            <w:tcW w:w="2921" w:type="dxa"/>
            <w:noWrap w:val="0"/>
            <w:vAlign w:val="center"/>
          </w:tcPr>
          <w:p w14:paraId="42E470A0">
            <w:pPr>
              <w:spacing w:line="240" w:lineRule="auto"/>
              <w:jc w:val="center"/>
              <w:rPr>
                <w:rFonts w:hint="default" w:eastAsia="宋体"/>
                <w:color w:val="auto"/>
                <w:sz w:val="24"/>
                <w:highlight w:val="none"/>
                <w:lang w:val="en-US" w:eastAsia="zh-CN"/>
              </w:rPr>
            </w:pPr>
            <w:r>
              <w:rPr>
                <w:rFonts w:hint="eastAsia" w:ascii="Times New Roman" w:hAnsi="Times New Roman" w:eastAsia="宋体" w:cs="Times New Roman"/>
                <w:color w:val="auto"/>
                <w:sz w:val="24"/>
                <w:highlight w:val="none"/>
                <w:lang w:val="en-US" w:eastAsia="zh-CN"/>
              </w:rPr>
              <w:t>***</w:t>
            </w:r>
          </w:p>
        </w:tc>
      </w:tr>
      <w:tr w14:paraId="12F3B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13CA0E4F">
            <w:pPr>
              <w:spacing w:line="240" w:lineRule="auto"/>
              <w:jc w:val="center"/>
              <w:rPr>
                <w:color w:val="auto"/>
                <w:sz w:val="24"/>
                <w:highlight w:val="none"/>
              </w:rPr>
            </w:pPr>
            <w:r>
              <w:rPr>
                <w:color w:val="auto"/>
                <w:sz w:val="24"/>
                <w:highlight w:val="none"/>
              </w:rPr>
              <w:t>环保投资占比（%）</w:t>
            </w:r>
          </w:p>
        </w:tc>
        <w:tc>
          <w:tcPr>
            <w:tcW w:w="1987" w:type="dxa"/>
            <w:noWrap w:val="0"/>
            <w:vAlign w:val="center"/>
          </w:tcPr>
          <w:p w14:paraId="49A77B22">
            <w:pPr>
              <w:spacing w:line="240" w:lineRule="auto"/>
              <w:jc w:val="center"/>
              <w:rPr>
                <w:color w:val="auto"/>
                <w:sz w:val="24"/>
                <w:highlight w:val="none"/>
              </w:rPr>
            </w:pPr>
            <w:r>
              <w:rPr>
                <w:rFonts w:hint="eastAsia" w:ascii="Times New Roman" w:hAnsi="Times New Roman" w:eastAsia="宋体" w:cs="Times New Roman"/>
                <w:color w:val="auto"/>
                <w:sz w:val="24"/>
                <w:highlight w:val="none"/>
                <w:lang w:val="en-US" w:eastAsia="zh-CN"/>
              </w:rPr>
              <w:t>***</w:t>
            </w:r>
          </w:p>
        </w:tc>
        <w:tc>
          <w:tcPr>
            <w:tcW w:w="1930" w:type="dxa"/>
            <w:noWrap w:val="0"/>
            <w:tcMar>
              <w:top w:w="16" w:type="dxa"/>
              <w:left w:w="16" w:type="dxa"/>
              <w:right w:w="16" w:type="dxa"/>
            </w:tcMar>
            <w:vAlign w:val="center"/>
          </w:tcPr>
          <w:p w14:paraId="7D1876A4">
            <w:pPr>
              <w:spacing w:line="240" w:lineRule="auto"/>
              <w:jc w:val="center"/>
              <w:rPr>
                <w:color w:val="auto"/>
                <w:sz w:val="24"/>
                <w:highlight w:val="none"/>
              </w:rPr>
            </w:pPr>
            <w:r>
              <w:rPr>
                <w:color w:val="auto"/>
                <w:sz w:val="24"/>
                <w:highlight w:val="none"/>
              </w:rPr>
              <w:t>施工工期</w:t>
            </w:r>
          </w:p>
        </w:tc>
        <w:tc>
          <w:tcPr>
            <w:tcW w:w="2921" w:type="dxa"/>
            <w:noWrap w:val="0"/>
            <w:vAlign w:val="center"/>
          </w:tcPr>
          <w:p w14:paraId="0694F14A">
            <w:pPr>
              <w:spacing w:line="240" w:lineRule="auto"/>
              <w:jc w:val="center"/>
              <w:rPr>
                <w:rFonts w:hint="default" w:eastAsia="宋体"/>
                <w:color w:val="auto"/>
                <w:sz w:val="24"/>
                <w:highlight w:val="none"/>
                <w:u w:val="single"/>
                <w:lang w:val="en-US" w:eastAsia="zh-CN"/>
              </w:rPr>
            </w:pPr>
            <w:r>
              <w:rPr>
                <w:rFonts w:hint="eastAsia"/>
                <w:color w:val="auto"/>
                <w:sz w:val="24"/>
                <w:highlight w:val="none"/>
                <w:u w:val="single"/>
                <w:lang w:val="en-US" w:eastAsia="zh-CN"/>
              </w:rPr>
              <w:t>3</w:t>
            </w:r>
            <w:r>
              <w:rPr>
                <w:color w:val="auto"/>
                <w:sz w:val="24"/>
                <w:highlight w:val="none"/>
                <w:u w:val="single"/>
              </w:rPr>
              <w:t>个月</w:t>
            </w:r>
            <w:r>
              <w:rPr>
                <w:rFonts w:hint="eastAsia"/>
                <w:color w:val="auto"/>
                <w:sz w:val="24"/>
                <w:highlight w:val="none"/>
                <w:u w:val="single"/>
                <w:lang w:eastAsia="zh-CN"/>
              </w:rPr>
              <w:t>，计划</w:t>
            </w:r>
            <w:r>
              <w:rPr>
                <w:rFonts w:hint="eastAsia"/>
                <w:color w:val="auto"/>
                <w:sz w:val="24"/>
                <w:highlight w:val="none"/>
                <w:u w:val="single"/>
                <w:lang w:val="en-US" w:eastAsia="zh-CN"/>
              </w:rPr>
              <w:t>2026年3月开工，2026年5月完工</w:t>
            </w:r>
          </w:p>
        </w:tc>
      </w:tr>
      <w:tr w14:paraId="1A3A11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17C3A74A">
            <w:pPr>
              <w:adjustRightInd w:val="0"/>
              <w:snapToGrid w:val="0"/>
              <w:spacing w:line="240" w:lineRule="auto"/>
              <w:jc w:val="center"/>
              <w:rPr>
                <w:rFonts w:hint="eastAsia" w:ascii="宋体" w:hAnsi="宋体" w:cs="宋体"/>
                <w:color w:val="auto"/>
                <w:sz w:val="24"/>
                <w:highlight w:val="none"/>
              </w:rPr>
            </w:pPr>
            <w:r>
              <w:rPr>
                <w:rFonts w:hint="eastAsia" w:ascii="宋体" w:hAnsi="宋体" w:cs="宋体"/>
                <w:color w:val="auto"/>
                <w:sz w:val="24"/>
                <w:highlight w:val="none"/>
              </w:rPr>
              <w:t>是否开工建设</w:t>
            </w:r>
          </w:p>
        </w:tc>
        <w:tc>
          <w:tcPr>
            <w:tcW w:w="6838" w:type="dxa"/>
            <w:gridSpan w:val="3"/>
            <w:noWrap w:val="0"/>
            <w:vAlign w:val="center"/>
          </w:tcPr>
          <w:p w14:paraId="378CE8BA">
            <w:pPr>
              <w:adjustRightInd w:val="0"/>
              <w:snapToGrid w:val="0"/>
              <w:spacing w:line="240" w:lineRule="auto"/>
              <w:rPr>
                <w:color w:val="auto"/>
                <w:sz w:val="24"/>
                <w:highlight w:val="none"/>
              </w:rPr>
            </w:pPr>
            <w:r>
              <w:rPr>
                <w:color w:val="auto"/>
                <w:sz w:val="24"/>
                <w:highlight w:val="none"/>
              </w:rPr>
              <w:sym w:font="Wingdings 2" w:char="0052"/>
            </w:r>
            <w:r>
              <w:rPr>
                <w:color w:val="auto"/>
                <w:sz w:val="24"/>
                <w:highlight w:val="none"/>
              </w:rPr>
              <w:t>否</w:t>
            </w:r>
          </w:p>
          <w:p w14:paraId="054C337F">
            <w:pPr>
              <w:adjustRightInd w:val="0"/>
              <w:snapToGrid w:val="0"/>
              <w:spacing w:line="240" w:lineRule="auto"/>
              <w:rPr>
                <w:rFonts w:hint="eastAsia"/>
                <w:color w:val="auto"/>
                <w:sz w:val="24"/>
                <w:highlight w:val="none"/>
              </w:rPr>
            </w:pPr>
            <w:r>
              <w:rPr>
                <w:color w:val="auto"/>
                <w:sz w:val="24"/>
                <w:highlight w:val="none"/>
              </w:rPr>
              <w:sym w:font="Wingdings 2" w:char="00A3"/>
            </w:r>
            <w:r>
              <w:rPr>
                <w:color w:val="auto"/>
                <w:sz w:val="24"/>
                <w:highlight w:val="none"/>
              </w:rPr>
              <w:t xml:space="preserve">是：        </w:t>
            </w:r>
          </w:p>
        </w:tc>
      </w:tr>
      <w:tr w14:paraId="4535A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32" w:type="dxa"/>
            <w:noWrap w:val="0"/>
            <w:vAlign w:val="center"/>
          </w:tcPr>
          <w:p w14:paraId="010F3843">
            <w:pPr>
              <w:adjustRightInd w:val="0"/>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专项评价设置情况</w:t>
            </w:r>
          </w:p>
        </w:tc>
        <w:tc>
          <w:tcPr>
            <w:tcW w:w="6838" w:type="dxa"/>
            <w:gridSpan w:val="3"/>
            <w:noWrap w:val="0"/>
            <w:vAlign w:val="center"/>
          </w:tcPr>
          <w:p w14:paraId="31DF7FE4">
            <w:pPr>
              <w:autoSpaceDE w:val="0"/>
              <w:autoSpaceDN w:val="0"/>
              <w:adjustRightInd w:val="0"/>
              <w:snapToGrid w:val="0"/>
              <w:spacing w:line="360" w:lineRule="auto"/>
              <w:ind w:firstLine="480" w:firstLineChars="200"/>
              <w:rPr>
                <w:rFonts w:hint="default" w:eastAsia="宋体"/>
                <w:color w:val="auto"/>
                <w:kern w:val="0"/>
                <w:sz w:val="24"/>
                <w:highlight w:val="none"/>
                <w:lang w:val="en-US" w:eastAsia="zh-CN"/>
              </w:rPr>
            </w:pPr>
            <w:r>
              <w:rPr>
                <w:rFonts w:hint="eastAsia" w:ascii="Times New Roman" w:hAnsi="Times New Roman" w:eastAsia="宋体" w:cs="Times New Roman"/>
                <w:color w:val="auto"/>
                <w:kern w:val="0"/>
                <w:sz w:val="24"/>
                <w:highlight w:val="none"/>
                <w:u w:val="none"/>
                <w:lang w:eastAsia="zh-CN"/>
              </w:rPr>
              <w:t>根据</w:t>
            </w:r>
            <w:r>
              <w:rPr>
                <w:rFonts w:hint="eastAsia" w:ascii="Times New Roman" w:hAnsi="Times New Roman" w:eastAsia="宋体" w:cs="Times New Roman"/>
                <w:color w:val="auto"/>
                <w:kern w:val="0"/>
                <w:sz w:val="24"/>
                <w:highlight w:val="none"/>
                <w:u w:val="none"/>
              </w:rPr>
              <w:t>《建设项目环境影响评价分类管理名录》（2021年版）</w:t>
            </w:r>
            <w:r>
              <w:rPr>
                <w:rFonts w:hint="eastAsia" w:ascii="Times New Roman" w:hAnsi="Times New Roman" w:eastAsia="宋体" w:cs="Times New Roman"/>
                <w:color w:val="auto"/>
                <w:kern w:val="0"/>
                <w:sz w:val="24"/>
                <w:highlight w:val="none"/>
                <w:u w:val="none"/>
                <w:lang w:eastAsia="zh-CN"/>
              </w:rPr>
              <w:t>、《建设项目环境影响报告表编制技术指南（生态影响类）（试行）》表</w:t>
            </w:r>
            <w:r>
              <w:rPr>
                <w:rFonts w:hint="eastAsia" w:ascii="Times New Roman" w:hAnsi="Times New Roman" w:eastAsia="宋体" w:cs="Times New Roman"/>
                <w:color w:val="auto"/>
                <w:kern w:val="0"/>
                <w:sz w:val="24"/>
                <w:highlight w:val="none"/>
                <w:u w:val="none"/>
                <w:lang w:val="en-US" w:eastAsia="zh-CN"/>
              </w:rPr>
              <w:t>1 专项评价设置原则表，无须设置专项评价报告。</w:t>
            </w:r>
          </w:p>
        </w:tc>
      </w:tr>
      <w:tr w14:paraId="0AA919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2032" w:type="dxa"/>
            <w:noWrap w:val="0"/>
            <w:vAlign w:val="center"/>
          </w:tcPr>
          <w:p w14:paraId="5F2979DC">
            <w:pPr>
              <w:adjustRightInd w:val="0"/>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规划情况</w:t>
            </w:r>
          </w:p>
        </w:tc>
        <w:tc>
          <w:tcPr>
            <w:tcW w:w="6838" w:type="dxa"/>
            <w:gridSpan w:val="3"/>
            <w:noWrap w:val="0"/>
            <w:vAlign w:val="center"/>
          </w:tcPr>
          <w:p w14:paraId="00EF1F26">
            <w:pPr>
              <w:numPr>
                <w:ilvl w:val="0"/>
                <w:numId w:val="3"/>
              </w:numPr>
              <w:autoSpaceDE w:val="0"/>
              <w:autoSpaceDN w:val="0"/>
              <w:adjustRightInd w:val="0"/>
              <w:snapToGrid w:val="0"/>
              <w:spacing w:line="360" w:lineRule="auto"/>
              <w:ind w:firstLine="480" w:firstLineChars="200"/>
              <w:rPr>
                <w:rFonts w:hint="eastAsia"/>
                <w:color w:val="auto"/>
                <w:highlight w:val="none"/>
              </w:rPr>
            </w:pPr>
            <w:r>
              <w:rPr>
                <w:rFonts w:hint="eastAsia" w:ascii="Times New Roman" w:hAnsi="Times New Roman" w:eastAsia="宋体" w:cs="Times New Roman"/>
                <w:color w:val="auto"/>
                <w:kern w:val="0"/>
                <w:sz w:val="24"/>
                <w:highlight w:val="none"/>
                <w:u w:val="none"/>
                <w:lang w:eastAsia="zh-CN"/>
              </w:rPr>
              <w:t>《钦州港总体规划（</w:t>
            </w:r>
            <w:r>
              <w:rPr>
                <w:rFonts w:hint="eastAsia" w:ascii="Times New Roman" w:hAnsi="Times New Roman" w:eastAsia="宋体" w:cs="Times New Roman"/>
                <w:color w:val="auto"/>
                <w:kern w:val="0"/>
                <w:sz w:val="24"/>
                <w:highlight w:val="none"/>
                <w:u w:val="none"/>
                <w:lang w:val="en-US" w:eastAsia="zh-CN"/>
              </w:rPr>
              <w:t>2035年</w:t>
            </w:r>
            <w:r>
              <w:rPr>
                <w:rFonts w:hint="eastAsia" w:ascii="Times New Roman" w:hAnsi="Times New Roman" w:eastAsia="宋体" w:cs="Times New Roman"/>
                <w:color w:val="auto"/>
                <w:kern w:val="0"/>
                <w:sz w:val="24"/>
                <w:highlight w:val="none"/>
                <w:u w:val="none"/>
                <w:lang w:eastAsia="zh-CN"/>
              </w:rPr>
              <w:t>）》，</w:t>
            </w:r>
            <w:r>
              <w:rPr>
                <w:rFonts w:hint="eastAsia" w:ascii="Times New Roman" w:hAnsi="Times New Roman" w:eastAsia="宋体" w:cs="Times New Roman"/>
                <w:color w:val="auto"/>
                <w:kern w:val="0"/>
                <w:sz w:val="24"/>
                <w:highlight w:val="none"/>
                <w:u w:val="none"/>
                <w:lang w:val="en-US" w:eastAsia="zh-CN"/>
              </w:rPr>
              <w:t>2020年9月20日取得《广西壮族自治区人民政府关于钦州港总体规划（2035）的批复》（</w:t>
            </w:r>
            <w:r>
              <w:rPr>
                <w:rFonts w:hint="eastAsia" w:ascii="Times New Roman" w:hAnsi="Times New Roman" w:eastAsia="宋体" w:cs="Times New Roman"/>
                <w:color w:val="auto"/>
                <w:kern w:val="0"/>
                <w:sz w:val="24"/>
                <w:highlight w:val="none"/>
                <w:u w:val="none"/>
                <w:lang w:eastAsia="zh-CN"/>
              </w:rPr>
              <w:t>桂政函〔2023〕18号</w:t>
            </w:r>
            <w:r>
              <w:rPr>
                <w:rFonts w:hint="eastAsia" w:ascii="Times New Roman" w:hAnsi="Times New Roman" w:eastAsia="宋体" w:cs="Times New Roman"/>
                <w:color w:val="auto"/>
                <w:kern w:val="0"/>
                <w:sz w:val="24"/>
                <w:highlight w:val="none"/>
                <w:u w:val="none"/>
                <w:lang w:val="en-US" w:eastAsia="zh-CN"/>
              </w:rPr>
              <w:t>）。</w:t>
            </w:r>
          </w:p>
          <w:p w14:paraId="1AE44416">
            <w:pPr>
              <w:numPr>
                <w:ilvl w:val="0"/>
                <w:numId w:val="3"/>
              </w:numPr>
              <w:autoSpaceDE w:val="0"/>
              <w:autoSpaceDN w:val="0"/>
              <w:adjustRightInd w:val="0"/>
              <w:snapToGrid w:val="0"/>
              <w:spacing w:line="360" w:lineRule="auto"/>
              <w:ind w:firstLine="480" w:firstLineChars="200"/>
              <w:rPr>
                <w:rFonts w:hint="eastAsia"/>
                <w:color w:val="auto"/>
                <w:highlight w:val="none"/>
              </w:rPr>
            </w:pPr>
            <w:r>
              <w:rPr>
                <w:rFonts w:hint="eastAsia" w:ascii="Times New Roman" w:hAnsi="Times New Roman" w:eastAsia="宋体" w:cs="Times New Roman"/>
                <w:color w:val="auto"/>
                <w:kern w:val="0"/>
                <w:sz w:val="24"/>
                <w:highlight w:val="none"/>
                <w:u w:val="none"/>
                <w:lang w:val="en-US" w:eastAsia="zh-CN"/>
              </w:rPr>
              <w:t>《北部湾港总体规划（2035年）》，2023年1月6日通过交通运输部、广西壮族自治区人民政府联合审查。</w:t>
            </w:r>
          </w:p>
        </w:tc>
      </w:tr>
      <w:tr w14:paraId="5177A1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32" w:type="dxa"/>
            <w:noWrap w:val="0"/>
            <w:vAlign w:val="center"/>
          </w:tcPr>
          <w:p w14:paraId="29F40202">
            <w:pPr>
              <w:adjustRightInd w:val="0"/>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规划环境影响</w:t>
            </w:r>
          </w:p>
          <w:p w14:paraId="4F5C0C04">
            <w:pPr>
              <w:adjustRightInd w:val="0"/>
              <w:snapToGrid w:val="0"/>
              <w:spacing w:line="360" w:lineRule="auto"/>
              <w:jc w:val="center"/>
              <w:rPr>
                <w:rFonts w:hint="eastAsia" w:ascii="宋体" w:hAnsi="宋体" w:cs="宋体"/>
                <w:color w:val="auto"/>
                <w:kern w:val="0"/>
                <w:sz w:val="24"/>
                <w:highlight w:val="none"/>
              </w:rPr>
            </w:pPr>
            <w:r>
              <w:rPr>
                <w:rFonts w:hint="eastAsia" w:ascii="宋体" w:hAnsi="宋体" w:cs="宋体"/>
                <w:color w:val="auto"/>
                <w:sz w:val="24"/>
                <w:highlight w:val="none"/>
              </w:rPr>
              <w:t>评价情况</w:t>
            </w:r>
          </w:p>
        </w:tc>
        <w:tc>
          <w:tcPr>
            <w:tcW w:w="6838" w:type="dxa"/>
            <w:gridSpan w:val="3"/>
            <w:noWrap w:val="0"/>
            <w:vAlign w:val="center"/>
          </w:tcPr>
          <w:p w14:paraId="406AF3B2">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highlight w:val="none"/>
                <w:u w:val="none"/>
                <w:lang w:eastAsia="zh-CN"/>
              </w:rPr>
            </w:pPr>
            <w:r>
              <w:rPr>
                <w:rFonts w:hint="eastAsia" w:ascii="Times New Roman" w:hAnsi="Times New Roman" w:eastAsia="宋体" w:cs="Times New Roman"/>
                <w:color w:val="auto"/>
                <w:kern w:val="0"/>
                <w:sz w:val="24"/>
                <w:highlight w:val="none"/>
                <w:u w:val="none"/>
                <w:lang w:val="en-US" w:eastAsia="zh-CN"/>
              </w:rPr>
              <w:t>1.</w:t>
            </w:r>
            <w:r>
              <w:rPr>
                <w:rFonts w:hint="eastAsia" w:ascii="Times New Roman" w:hAnsi="Times New Roman" w:eastAsia="宋体" w:cs="Times New Roman"/>
                <w:color w:val="auto"/>
                <w:kern w:val="0"/>
                <w:sz w:val="24"/>
                <w:highlight w:val="none"/>
                <w:u w:val="none"/>
                <w:lang w:eastAsia="zh-CN"/>
              </w:rPr>
              <w:t>《钦州港总体规划（</w:t>
            </w:r>
            <w:r>
              <w:rPr>
                <w:rFonts w:hint="eastAsia" w:ascii="Times New Roman" w:hAnsi="Times New Roman" w:eastAsia="宋体" w:cs="Times New Roman"/>
                <w:color w:val="auto"/>
                <w:kern w:val="0"/>
                <w:sz w:val="24"/>
                <w:highlight w:val="none"/>
                <w:u w:val="none"/>
                <w:lang w:val="en-US" w:eastAsia="zh-CN"/>
              </w:rPr>
              <w:t>2035年</w:t>
            </w:r>
            <w:r>
              <w:rPr>
                <w:rFonts w:hint="eastAsia" w:ascii="Times New Roman" w:hAnsi="Times New Roman" w:eastAsia="宋体" w:cs="Times New Roman"/>
                <w:color w:val="auto"/>
                <w:kern w:val="0"/>
                <w:sz w:val="24"/>
                <w:highlight w:val="none"/>
                <w:u w:val="none"/>
                <w:lang w:eastAsia="zh-CN"/>
              </w:rPr>
              <w:t>）环境影响报告书》，</w:t>
            </w:r>
            <w:r>
              <w:rPr>
                <w:rFonts w:hint="eastAsia" w:ascii="Times New Roman" w:hAnsi="Times New Roman" w:eastAsia="宋体" w:cs="Times New Roman"/>
                <w:color w:val="auto"/>
                <w:kern w:val="0"/>
                <w:sz w:val="24"/>
                <w:highlight w:val="none"/>
                <w:u w:val="none"/>
                <w:lang w:val="en-US" w:eastAsia="zh-CN"/>
              </w:rPr>
              <w:t>2020年2月27日取得《广西壮族自治区生态环境厅关于印发钦州港总体规划（2019—2035年）环境影响报告书审查意见的函》（</w:t>
            </w:r>
            <w:r>
              <w:rPr>
                <w:rFonts w:hint="eastAsia" w:ascii="Times New Roman" w:hAnsi="Times New Roman" w:eastAsia="宋体" w:cs="Times New Roman"/>
                <w:color w:val="auto"/>
                <w:kern w:val="0"/>
                <w:sz w:val="24"/>
                <w:highlight w:val="none"/>
                <w:u w:val="none"/>
                <w:lang w:eastAsia="zh-CN"/>
              </w:rPr>
              <w:t>桂环函〔</w:t>
            </w:r>
            <w:r>
              <w:rPr>
                <w:rFonts w:hint="eastAsia" w:ascii="Times New Roman" w:hAnsi="Times New Roman" w:eastAsia="宋体" w:cs="Times New Roman"/>
                <w:color w:val="auto"/>
                <w:kern w:val="0"/>
                <w:sz w:val="24"/>
                <w:highlight w:val="none"/>
                <w:u w:val="none"/>
                <w:lang w:val="en-US" w:eastAsia="zh-CN"/>
              </w:rPr>
              <w:t>2020</w:t>
            </w:r>
            <w:r>
              <w:rPr>
                <w:rFonts w:hint="eastAsia" w:ascii="Times New Roman" w:hAnsi="Times New Roman" w:eastAsia="宋体" w:cs="Times New Roman"/>
                <w:color w:val="auto"/>
                <w:kern w:val="0"/>
                <w:sz w:val="24"/>
                <w:highlight w:val="none"/>
                <w:u w:val="none"/>
                <w:lang w:eastAsia="zh-CN"/>
              </w:rPr>
              <w:t>〕</w:t>
            </w:r>
            <w:r>
              <w:rPr>
                <w:rFonts w:hint="eastAsia" w:ascii="Times New Roman" w:hAnsi="Times New Roman" w:eastAsia="宋体" w:cs="Times New Roman"/>
                <w:color w:val="auto"/>
                <w:kern w:val="0"/>
                <w:sz w:val="24"/>
                <w:highlight w:val="none"/>
                <w:u w:val="none"/>
                <w:lang w:val="en-US" w:eastAsia="zh-CN"/>
              </w:rPr>
              <w:t>264</w:t>
            </w:r>
            <w:r>
              <w:rPr>
                <w:rFonts w:hint="eastAsia" w:ascii="Times New Roman" w:hAnsi="Times New Roman" w:eastAsia="宋体" w:cs="Times New Roman"/>
                <w:color w:val="auto"/>
                <w:kern w:val="0"/>
                <w:sz w:val="24"/>
                <w:highlight w:val="none"/>
                <w:u w:val="none"/>
                <w:lang w:eastAsia="zh-CN"/>
              </w:rPr>
              <w:t>号</w:t>
            </w:r>
            <w:r>
              <w:rPr>
                <w:rFonts w:hint="eastAsia" w:ascii="Times New Roman" w:hAnsi="Times New Roman" w:eastAsia="宋体" w:cs="Times New Roman"/>
                <w:color w:val="auto"/>
                <w:kern w:val="0"/>
                <w:sz w:val="24"/>
                <w:highlight w:val="none"/>
                <w:u w:val="none"/>
                <w:lang w:val="en-US" w:eastAsia="zh-CN"/>
              </w:rPr>
              <w:t>）</w:t>
            </w:r>
            <w:r>
              <w:rPr>
                <w:rFonts w:hint="eastAsia" w:ascii="Times New Roman" w:hAnsi="Times New Roman" w:eastAsia="宋体" w:cs="Times New Roman"/>
                <w:color w:val="auto"/>
                <w:kern w:val="0"/>
                <w:sz w:val="24"/>
                <w:highlight w:val="none"/>
                <w:u w:val="none"/>
                <w:lang w:eastAsia="zh-CN"/>
              </w:rPr>
              <w:t>；</w:t>
            </w:r>
          </w:p>
          <w:p w14:paraId="5432261D">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2.《北部湾港总体规划（2035年）环境影响报告书》，2023年11月取得《生态环境部关于北部湾港总体规划（2035年）环境影响报告书的审查意见》（</w:t>
            </w:r>
            <w:r>
              <w:rPr>
                <w:rFonts w:hint="eastAsia" w:ascii="Times New Roman" w:hAnsi="Times New Roman" w:eastAsia="宋体" w:cs="Times New Roman"/>
                <w:color w:val="auto"/>
                <w:kern w:val="0"/>
                <w:sz w:val="24"/>
                <w:highlight w:val="none"/>
                <w:u w:val="none"/>
                <w:lang w:eastAsia="zh-CN"/>
              </w:rPr>
              <w:t>环审〔</w:t>
            </w:r>
            <w:r>
              <w:rPr>
                <w:rFonts w:hint="eastAsia" w:ascii="Times New Roman" w:hAnsi="Times New Roman" w:eastAsia="宋体" w:cs="Times New Roman"/>
                <w:color w:val="auto"/>
                <w:kern w:val="0"/>
                <w:sz w:val="24"/>
                <w:highlight w:val="none"/>
                <w:u w:val="none"/>
                <w:lang w:val="en-US" w:eastAsia="zh-CN"/>
              </w:rPr>
              <w:t>2023</w:t>
            </w:r>
            <w:r>
              <w:rPr>
                <w:rFonts w:hint="eastAsia" w:ascii="Times New Roman" w:hAnsi="Times New Roman" w:eastAsia="宋体" w:cs="Times New Roman"/>
                <w:color w:val="auto"/>
                <w:kern w:val="0"/>
                <w:sz w:val="24"/>
                <w:highlight w:val="none"/>
                <w:u w:val="none"/>
                <w:lang w:eastAsia="zh-CN"/>
              </w:rPr>
              <w:t>〕</w:t>
            </w:r>
            <w:r>
              <w:rPr>
                <w:rFonts w:hint="eastAsia" w:ascii="Times New Roman" w:hAnsi="Times New Roman" w:eastAsia="宋体" w:cs="Times New Roman"/>
                <w:color w:val="auto"/>
                <w:kern w:val="0"/>
                <w:sz w:val="24"/>
                <w:highlight w:val="none"/>
                <w:u w:val="none"/>
                <w:lang w:val="en-US" w:eastAsia="zh-CN"/>
              </w:rPr>
              <w:t>125</w:t>
            </w:r>
            <w:r>
              <w:rPr>
                <w:rFonts w:hint="eastAsia" w:ascii="Times New Roman" w:hAnsi="Times New Roman" w:eastAsia="宋体" w:cs="Times New Roman"/>
                <w:color w:val="auto"/>
                <w:kern w:val="0"/>
                <w:sz w:val="24"/>
                <w:highlight w:val="none"/>
                <w:u w:val="none"/>
                <w:lang w:eastAsia="zh-CN"/>
              </w:rPr>
              <w:t>号</w:t>
            </w:r>
            <w:r>
              <w:rPr>
                <w:rFonts w:hint="eastAsia" w:ascii="Times New Roman" w:hAnsi="Times New Roman" w:eastAsia="宋体" w:cs="Times New Roman"/>
                <w:color w:val="auto"/>
                <w:kern w:val="0"/>
                <w:sz w:val="24"/>
                <w:highlight w:val="none"/>
                <w:u w:val="none"/>
                <w:lang w:val="en-US" w:eastAsia="zh-CN"/>
              </w:rPr>
              <w:t>）。</w:t>
            </w:r>
          </w:p>
        </w:tc>
      </w:tr>
      <w:tr w14:paraId="1F45B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032" w:type="dxa"/>
            <w:noWrap w:val="0"/>
            <w:vAlign w:val="center"/>
          </w:tcPr>
          <w:p w14:paraId="4DF1883D">
            <w:pPr>
              <w:autoSpaceDE w:val="0"/>
              <w:autoSpaceDN w:val="0"/>
              <w:adjustRightInd w:val="0"/>
              <w:snapToGrid w:val="0"/>
              <w:spacing w:line="360" w:lineRule="auto"/>
              <w:jc w:val="center"/>
              <w:rPr>
                <w:rFonts w:eastAsia="黑体"/>
                <w:color w:val="auto"/>
                <w:kern w:val="0"/>
                <w:sz w:val="24"/>
                <w:highlight w:val="none"/>
              </w:rPr>
            </w:pPr>
            <w:r>
              <w:rPr>
                <w:rFonts w:hint="eastAsia" w:ascii="宋体" w:hAnsi="宋体" w:cs="宋体"/>
                <w:color w:val="auto"/>
                <w:kern w:val="0"/>
                <w:sz w:val="24"/>
                <w:highlight w:val="none"/>
              </w:rPr>
              <w:t>规划及规划环境影响评价符合性分析</w:t>
            </w:r>
          </w:p>
        </w:tc>
        <w:tc>
          <w:tcPr>
            <w:tcW w:w="6838" w:type="dxa"/>
            <w:gridSpan w:val="3"/>
            <w:noWrap w:val="0"/>
            <w:vAlign w:val="center"/>
          </w:tcPr>
          <w:p w14:paraId="706DEC04">
            <w:pPr>
              <w:pStyle w:val="3"/>
              <w:rPr>
                <w:rFonts w:hint="eastAsia"/>
                <w:color w:val="auto"/>
                <w:highlight w:val="none"/>
                <w:u w:val="none"/>
              </w:rPr>
            </w:pPr>
            <w:r>
              <w:rPr>
                <w:rFonts w:hint="eastAsia"/>
                <w:color w:val="auto"/>
                <w:highlight w:val="none"/>
                <w:u w:val="none"/>
                <w:lang w:val="en-US" w:eastAsia="zh-CN"/>
              </w:rPr>
              <w:t>1.1.1</w:t>
            </w:r>
            <w:r>
              <w:rPr>
                <w:rFonts w:hint="eastAsia"/>
                <w:color w:val="auto"/>
                <w:highlight w:val="none"/>
                <w:u w:val="none"/>
              </w:rPr>
              <w:t>与《</w:t>
            </w:r>
            <w:r>
              <w:rPr>
                <w:rFonts w:hint="eastAsia"/>
                <w:color w:val="auto"/>
                <w:highlight w:val="none"/>
                <w:u w:val="none"/>
                <w:lang w:eastAsia="zh-CN"/>
              </w:rPr>
              <w:t>钦州港总体规划（</w:t>
            </w:r>
            <w:r>
              <w:rPr>
                <w:rFonts w:hint="eastAsia"/>
                <w:color w:val="auto"/>
                <w:highlight w:val="none"/>
                <w:u w:val="none"/>
                <w:lang w:val="en-US" w:eastAsia="zh-CN"/>
              </w:rPr>
              <w:t>2035年</w:t>
            </w:r>
            <w:r>
              <w:rPr>
                <w:rFonts w:hint="eastAsia"/>
                <w:color w:val="auto"/>
                <w:highlight w:val="none"/>
                <w:u w:val="none"/>
                <w:lang w:eastAsia="zh-CN"/>
              </w:rPr>
              <w:t>）</w:t>
            </w:r>
            <w:r>
              <w:rPr>
                <w:rFonts w:hint="eastAsia"/>
                <w:color w:val="auto"/>
                <w:highlight w:val="none"/>
                <w:u w:val="none"/>
              </w:rPr>
              <w:t>》、规划环评及审查意见相符性分析</w:t>
            </w:r>
          </w:p>
          <w:p w14:paraId="5DBC6036">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根据《钦州港总体规划（2019-2035 年）》，金谷港区作为钦州港 3 个重点发展枢纽港区之一，定位为以煤炭、原油、成品油和各类液体化工品运输为主的大型专业化港区，规划为石油及液体化工品转运基地，将发展成为我国主要的油品转运和临港加工产业基地，兼顾散杂货中转运输。</w:t>
            </w:r>
          </w:p>
          <w:p w14:paraId="7E83904F">
            <w:pPr>
              <w:autoSpaceDE w:val="0"/>
              <w:autoSpaceDN w:val="0"/>
              <w:adjustRightInd w:val="0"/>
              <w:snapToGrid w:val="0"/>
              <w:spacing w:line="360" w:lineRule="auto"/>
              <w:ind w:firstLine="480" w:firstLineChars="200"/>
              <w:rPr>
                <w:rFonts w:hint="eastAsia"/>
                <w:color w:val="auto"/>
                <w:highlight w:val="none"/>
              </w:rPr>
            </w:pPr>
            <w:r>
              <w:rPr>
                <w:rFonts w:hint="eastAsia" w:ascii="Times New Roman" w:hAnsi="Times New Roman" w:eastAsia="宋体" w:cs="Times New Roman"/>
                <w:color w:val="auto"/>
                <w:sz w:val="24"/>
                <w:highlight w:val="none"/>
              </w:rPr>
              <w:t>钦州港金谷港区金鼓江作业区</w:t>
            </w:r>
            <w:r>
              <w:rPr>
                <w:rFonts w:hint="eastAsia" w:ascii="Times New Roman" w:hAnsi="Times New Roman" w:eastAsia="宋体" w:cs="Times New Roman"/>
                <w:color w:val="auto"/>
                <w:sz w:val="24"/>
                <w:highlight w:val="none"/>
                <w:lang w:val="en-US" w:eastAsia="zh-CN"/>
              </w:rPr>
              <w:t>19</w:t>
            </w:r>
            <w:r>
              <w:rPr>
                <w:rFonts w:hint="eastAsia" w:ascii="Times New Roman" w:hAnsi="Times New Roman" w:eastAsia="宋体" w:cs="Times New Roman"/>
                <w:color w:val="auto"/>
                <w:sz w:val="24"/>
                <w:highlight w:val="none"/>
              </w:rPr>
              <w:t>#泊位为《钦州港总体规划（2019-2035 年）》中金鼓江作业区规划泊位，货种为液体化学品，岸线利用及水域使用符合《钦州港总体规划》要求</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项目为港池及回旋水域维护性疏浚，不改变</w:t>
            </w:r>
            <w:r>
              <w:rPr>
                <w:rFonts w:hint="eastAsia" w:ascii="Times New Roman" w:hAnsi="Times New Roman" w:eastAsia="宋体" w:cs="Times New Roman"/>
                <w:color w:val="auto"/>
                <w:sz w:val="24"/>
                <w:highlight w:val="none"/>
              </w:rPr>
              <w:t>钦州港金谷港区金鼓江作业区</w:t>
            </w:r>
            <w:r>
              <w:rPr>
                <w:rFonts w:hint="eastAsia" w:ascii="Times New Roman" w:hAnsi="Times New Roman" w:eastAsia="宋体" w:cs="Times New Roman"/>
                <w:color w:val="auto"/>
                <w:sz w:val="24"/>
                <w:highlight w:val="none"/>
                <w:lang w:val="en-US" w:eastAsia="zh-CN"/>
              </w:rPr>
              <w:t>19</w:t>
            </w:r>
            <w:r>
              <w:rPr>
                <w:rFonts w:hint="eastAsia" w:ascii="Times New Roman" w:hAnsi="Times New Roman" w:eastAsia="宋体" w:cs="Times New Roman"/>
                <w:color w:val="auto"/>
                <w:sz w:val="24"/>
                <w:highlight w:val="none"/>
              </w:rPr>
              <w:t>#泊位</w:t>
            </w:r>
            <w:r>
              <w:rPr>
                <w:rFonts w:hint="eastAsia" w:ascii="Times New Roman" w:hAnsi="Times New Roman" w:eastAsia="宋体" w:cs="Times New Roman"/>
                <w:color w:val="auto"/>
                <w:sz w:val="24"/>
                <w:highlight w:val="none"/>
                <w:lang w:val="en-US" w:eastAsia="zh-CN"/>
              </w:rPr>
              <w:t>性质。</w:t>
            </w:r>
          </w:p>
          <w:p w14:paraId="758D002A">
            <w:pPr>
              <w:pStyle w:val="3"/>
              <w:numPr>
                <w:ilvl w:val="0"/>
                <w:numId w:val="0"/>
              </w:numPr>
              <w:rPr>
                <w:rFonts w:hint="eastAsia"/>
                <w:color w:val="auto"/>
                <w:highlight w:val="none"/>
                <w:u w:val="none"/>
              </w:rPr>
            </w:pPr>
            <w:r>
              <w:rPr>
                <w:rFonts w:hint="eastAsia"/>
                <w:color w:val="auto"/>
                <w:highlight w:val="none"/>
                <w:u w:val="none"/>
                <w:lang w:val="en-US" w:eastAsia="zh-CN"/>
              </w:rPr>
              <w:t>1.1.2</w:t>
            </w:r>
            <w:r>
              <w:rPr>
                <w:rFonts w:hint="eastAsia"/>
                <w:color w:val="auto"/>
                <w:highlight w:val="none"/>
                <w:u w:val="none"/>
              </w:rPr>
              <w:t>与《</w:t>
            </w:r>
            <w:r>
              <w:rPr>
                <w:rFonts w:hint="eastAsia"/>
                <w:color w:val="auto"/>
                <w:highlight w:val="none"/>
                <w:u w:val="none"/>
                <w:lang w:eastAsia="zh-CN"/>
              </w:rPr>
              <w:t>北部湾港总体规划（</w:t>
            </w:r>
            <w:r>
              <w:rPr>
                <w:rFonts w:hint="eastAsia"/>
                <w:color w:val="auto"/>
                <w:highlight w:val="none"/>
                <w:u w:val="none"/>
                <w:lang w:val="en-US" w:eastAsia="zh-CN"/>
              </w:rPr>
              <w:t>2035年</w:t>
            </w:r>
            <w:r>
              <w:rPr>
                <w:rFonts w:hint="eastAsia"/>
                <w:color w:val="auto"/>
                <w:highlight w:val="none"/>
                <w:u w:val="none"/>
                <w:lang w:eastAsia="zh-CN"/>
              </w:rPr>
              <w:t>）</w:t>
            </w:r>
            <w:r>
              <w:rPr>
                <w:rFonts w:hint="eastAsia"/>
                <w:color w:val="auto"/>
                <w:highlight w:val="none"/>
                <w:u w:val="none"/>
              </w:rPr>
              <w:t>》</w:t>
            </w:r>
            <w:r>
              <w:rPr>
                <w:rFonts w:hint="eastAsia"/>
                <w:color w:val="auto"/>
                <w:highlight w:val="none"/>
                <w:u w:val="none"/>
                <w:lang w:eastAsia="zh-CN"/>
              </w:rPr>
              <w:t>、规划环评及审查意见</w:t>
            </w:r>
            <w:r>
              <w:rPr>
                <w:rFonts w:hint="eastAsia"/>
                <w:color w:val="auto"/>
                <w:highlight w:val="none"/>
                <w:u w:val="none"/>
              </w:rPr>
              <w:t>相符性分析</w:t>
            </w:r>
          </w:p>
          <w:p w14:paraId="0CED63A6">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1.《北部湾港总体规划（2035年）》相符性分析</w:t>
            </w:r>
          </w:p>
          <w:p w14:paraId="1604F6E1">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北部湾港总体规划（2035年）》于2023年1月6日通过交通运输部、广西壮族自治区人民政府联合审查，同年于2023年11月取得《生态环境部关于〈北部湾港总体规划（2035年）环境影响报告书〉的审查意见》（环审〔2023〕125号）</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明确了北部湾港从现在到2035年发展的时间表和路线图，为北部湾港的未来发展擘画蓝图。根据各港区现状基础、区位条件、发展潜力和北部湾港口的性质功能，以及主要运输系统港口布局结论，规划北部湾港形成“一港三域五核五区多港点”的总体格局。“一港”即北部湾港，“三域”包括防城港、钦州、北海三大港域，“五核”为渔澫、企沙、金谷、大榄坪、铁山西五大核心港区，“五区”为企沙南、三墩、石步岭、铁山东、涠洲岛五个其他港区，并结合地方需求布局若干中小港点。</w:t>
            </w:r>
          </w:p>
          <w:p w14:paraId="6707C35F">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按照一体化发展、港产城联动协同的目标，规划三大港域主体功能如下：防城港域规划建设大宗能源原材料接卸储存中转基地，钦州港域规划建设集装箱核心枢纽和海河联运枢纽，北海港域以服务临港产业为主，发展邮轮客运。钦州港划分为金谷港区、大榄坪港区、三墩港区等重点发展枢纽港区，以及龙门港点、茅岭港点、平山港点、沙井港点和三娘湾港点等。</w:t>
            </w:r>
          </w:p>
          <w:p w14:paraId="436CA0F5">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lang w:val="en-US" w:eastAsia="zh-CN"/>
              </w:rPr>
              <w:t>金谷港区位于钦州湾东岸、金鼓江以北区域，规划主要服务于平陆运河海河联运和临港产业发展，以煤炭、粮食、非金属矿石等干散货和油品、液体化工品运输为主，兼顾件杂货运输，是钦州港域的优化提升区。本项目与《北部湾港总体规划（2035年）环境影响报告书》相符性分析详表1.1-1。</w:t>
            </w:r>
            <w:r>
              <w:rPr>
                <w:rFonts w:hint="eastAsia" w:ascii="Times New Roman" w:hAnsi="Times New Roman" w:eastAsia="宋体" w:cs="Times New Roman"/>
                <w:color w:val="auto"/>
                <w:sz w:val="24"/>
                <w:highlight w:val="none"/>
                <w:u w:val="single"/>
                <w:lang w:val="en-US" w:eastAsia="zh-CN"/>
              </w:rPr>
              <w:t>本项目与北部湾港总体规划（2035年）位置关系见图1-1。</w:t>
            </w:r>
          </w:p>
          <w:p w14:paraId="02611B39">
            <w:pPr>
              <w:keepNext w:val="0"/>
              <w:keepLines w:val="0"/>
              <w:pageBreakBefore w:val="0"/>
              <w:widowControl w:val="0"/>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pacing w:val="0"/>
                <w:w w:val="100"/>
                <w:position w:val="0"/>
                <w:highlight w:val="none"/>
                <w:u w:val="none" w:color="auto"/>
                <w:lang w:val="en-US" w:eastAsia="zh-CN"/>
              </w:rPr>
            </w:pPr>
            <w:r>
              <w:rPr>
                <w:rFonts w:hint="eastAsia" w:ascii="Times New Roman" w:hAnsi="Times New Roman" w:eastAsia="宋体" w:cs="Times New Roman"/>
                <w:b/>
                <w:bCs/>
                <w:color w:val="auto"/>
                <w:spacing w:val="0"/>
                <w:w w:val="100"/>
                <w:position w:val="0"/>
                <w:highlight w:val="none"/>
                <w:u w:val="none" w:color="auto"/>
                <w:lang w:val="en-US" w:eastAsia="zh-CN"/>
              </w:rPr>
              <w:t>表1.1-1 项目与《北部湾港总体规划（2035）环境影响报告书》相符性分析</w:t>
            </w:r>
          </w:p>
          <w:tbl>
            <w:tblPr>
              <w:tblStyle w:val="2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3"/>
              <w:gridCol w:w="4696"/>
              <w:gridCol w:w="1574"/>
            </w:tblGrid>
            <w:tr w14:paraId="5F8C1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60" w:type="pct"/>
                  <w:tcBorders>
                    <w:tl2br w:val="nil"/>
                    <w:tr2bl w:val="nil"/>
                  </w:tcBorders>
                  <w:noWrap w:val="0"/>
                  <w:vAlign w:val="center"/>
                </w:tcPr>
                <w:p w14:paraId="2AD4B3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u w:val="single"/>
                      <w:lang w:eastAsia="zh-CN"/>
                    </w:rPr>
                  </w:pPr>
                  <w:r>
                    <w:rPr>
                      <w:rFonts w:hint="eastAsia" w:ascii="Times New Roman" w:hAnsi="Times New Roman" w:eastAsia="宋体" w:cs="Times New Roman"/>
                      <w:b/>
                      <w:bCs/>
                      <w:color w:val="auto"/>
                      <w:sz w:val="21"/>
                      <w:szCs w:val="21"/>
                      <w:u w:val="single"/>
                      <w:lang w:val="en-US" w:eastAsia="zh-CN"/>
                    </w:rPr>
                    <w:t>序号</w:t>
                  </w:r>
                </w:p>
              </w:tc>
              <w:tc>
                <w:tcPr>
                  <w:tcW w:w="3549" w:type="pct"/>
                  <w:tcBorders>
                    <w:tl2br w:val="nil"/>
                    <w:tr2bl w:val="nil"/>
                  </w:tcBorders>
                  <w:noWrap w:val="0"/>
                  <w:vAlign w:val="center"/>
                </w:tcPr>
                <w:p w14:paraId="7223E7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eastAsia="宋体" w:cs="Times New Roman"/>
                      <w:b/>
                      <w:bCs/>
                      <w:color w:val="auto"/>
                      <w:sz w:val="21"/>
                      <w:szCs w:val="21"/>
                      <w:u w:val="single"/>
                      <w:lang w:val="en-US" w:eastAsia="zh-CN"/>
                    </w:rPr>
                    <w:t>规划环评相关要求</w:t>
                  </w:r>
                </w:p>
              </w:tc>
              <w:tc>
                <w:tcPr>
                  <w:tcW w:w="1189" w:type="pct"/>
                  <w:tcBorders>
                    <w:tl2br w:val="nil"/>
                    <w:tr2bl w:val="nil"/>
                  </w:tcBorders>
                  <w:noWrap w:val="0"/>
                  <w:vAlign w:val="center"/>
                </w:tcPr>
                <w:p w14:paraId="11DF98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本项目</w:t>
                  </w:r>
                </w:p>
              </w:tc>
            </w:tr>
            <w:tr w14:paraId="1294D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60" w:type="pct"/>
                  <w:tcBorders>
                    <w:tl2br w:val="nil"/>
                    <w:tr2bl w:val="nil"/>
                  </w:tcBorders>
                  <w:noWrap w:val="0"/>
                  <w:vAlign w:val="center"/>
                </w:tcPr>
                <w:p w14:paraId="6A6B54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1</w:t>
                  </w:r>
                </w:p>
              </w:tc>
              <w:tc>
                <w:tcPr>
                  <w:tcW w:w="3549" w:type="pct"/>
                  <w:tcBorders>
                    <w:tl2br w:val="nil"/>
                    <w:tr2bl w:val="nil"/>
                  </w:tcBorders>
                  <w:noWrap w:val="0"/>
                  <w:vAlign w:val="center"/>
                </w:tcPr>
                <w:p w14:paraId="63822F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新建码头应按照相关标准规范要求配备溢油应急能力，其中渔澫港区第五作业区、企沙港区云约江作业区、金谷港区鹰岭作业区和金鼓江作业区、三墩港区、铁山西港区啄罗作业区、涠洲岛港区为液体散货码头，应强化溢油和化学品应急物资能力配备。各码头单位应急资源配备要求如下：油品泊位应根据《港口溢油应急设备配备要求》（JT/T 451-2017）表5配备应急物资。散装液体污染危害性货物码头除按要求配备溢油应急设施、设备和物资外，按照《港口溢油应急设备配备要求》（JT/T 451-2017）表2、表3要求配备污染危害性货物泄露事故应急设施、设备和物资。</w:t>
                  </w:r>
                </w:p>
              </w:tc>
              <w:tc>
                <w:tcPr>
                  <w:tcW w:w="1189" w:type="pct"/>
                  <w:tcBorders>
                    <w:tl2br w:val="nil"/>
                    <w:tr2bl w:val="nil"/>
                  </w:tcBorders>
                  <w:noWrap w:val="0"/>
                  <w:vAlign w:val="center"/>
                </w:tcPr>
                <w:p w14:paraId="1B0D0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符合。本项目为码头停泊水域及回旋水域维护性疏浚工程，建设单位已按照《港口溢油应急设备配备要求》（JT/T 451-2017）表2、表3要求配备污染危害性货物泄露事故应急设施、设备和物资。</w:t>
                  </w:r>
                </w:p>
              </w:tc>
            </w:tr>
            <w:tr w14:paraId="358ED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60" w:type="pct"/>
                  <w:tcBorders>
                    <w:tl2br w:val="nil"/>
                    <w:tr2bl w:val="nil"/>
                  </w:tcBorders>
                  <w:noWrap w:val="0"/>
                  <w:vAlign w:val="center"/>
                </w:tcPr>
                <w:p w14:paraId="61B8CF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2</w:t>
                  </w:r>
                </w:p>
              </w:tc>
              <w:tc>
                <w:tcPr>
                  <w:tcW w:w="3549" w:type="pct"/>
                  <w:tcBorders>
                    <w:tl2br w:val="nil"/>
                    <w:tr2bl w:val="nil"/>
                  </w:tcBorders>
                  <w:noWrap w:val="0"/>
                  <w:vAlign w:val="center"/>
                </w:tcPr>
                <w:p w14:paraId="1C83EF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sz w:val="21"/>
                      <w:szCs w:val="21"/>
                      <w:u w:val="single"/>
                      <w:lang w:val="en-US" w:eastAsia="zh-CN"/>
                    </w:rPr>
                  </w:pPr>
                  <w:r>
                    <w:rPr>
                      <w:rFonts w:hint="eastAsia" w:cs="Times New Roman"/>
                      <w:color w:val="auto"/>
                      <w:sz w:val="21"/>
                      <w:szCs w:val="21"/>
                      <w:u w:val="single"/>
                      <w:lang w:val="en-US" w:eastAsia="zh-CN"/>
                    </w:rPr>
                    <w:t>建立区域协同联动和应急演练机制，港区与辖区内具有船舶泄漏、火灾应急设施和救援队伍的单位建立联防制度，建立区域溢油和化学品应急联动机制，定期开展培训和联合演练。渔澫港区第五作业区、企沙港区云约江作业区、金谷港区鹰岭作业区和金鼓江作业区、三墩港区、铁山西港区啄罗作业区、涠洲岛港区液体散货码头公司，所有新建液体散货码头均应及时制定溢油及化学品应急预案。</w:t>
                  </w:r>
                </w:p>
              </w:tc>
              <w:tc>
                <w:tcPr>
                  <w:tcW w:w="1189" w:type="pct"/>
                  <w:tcBorders>
                    <w:tl2br w:val="nil"/>
                    <w:tr2bl w:val="nil"/>
                  </w:tcBorders>
                  <w:noWrap w:val="0"/>
                  <w:vAlign w:val="center"/>
                </w:tcPr>
                <w:p w14:paraId="4A5FA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符合。本项目为码头停泊水域及回旋水域维护性疏浚工程，建设单位已制定溢油及化学品应急预案，建立区域联动和应急演练机制，定期开展培训和联合演练。</w:t>
                  </w:r>
                </w:p>
              </w:tc>
            </w:tr>
            <w:tr w14:paraId="64001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60" w:type="pct"/>
                  <w:tcBorders>
                    <w:tl2br w:val="nil"/>
                    <w:tr2bl w:val="nil"/>
                  </w:tcBorders>
                  <w:noWrap w:val="0"/>
                  <w:vAlign w:val="center"/>
                </w:tcPr>
                <w:p w14:paraId="213F81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3</w:t>
                  </w:r>
                </w:p>
              </w:tc>
              <w:tc>
                <w:tcPr>
                  <w:tcW w:w="3549" w:type="pct"/>
                  <w:tcBorders>
                    <w:tl2br w:val="nil"/>
                    <w:tr2bl w:val="nil"/>
                  </w:tcBorders>
                  <w:noWrap w:val="0"/>
                  <w:vAlign w:val="center"/>
                </w:tcPr>
                <w:p w14:paraId="623053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color w:val="auto"/>
                      <w:sz w:val="21"/>
                      <w:szCs w:val="21"/>
                      <w:u w:val="single"/>
                      <w:lang w:val="en-US" w:eastAsia="zh-CN"/>
                    </w:rPr>
                  </w:pPr>
                  <w:r>
                    <w:rPr>
                      <w:rFonts w:hint="eastAsia" w:cs="Times New Roman"/>
                      <w:color w:val="auto"/>
                      <w:sz w:val="21"/>
                      <w:szCs w:val="21"/>
                      <w:u w:val="single"/>
                      <w:lang w:val="en-US" w:eastAsia="zh-CN"/>
                    </w:rPr>
                    <w:t>建议北海市、钦州市、防城港市加快辖区的化学品应急反应能力的建设，各危化企业应参照《危险化学品单位应急救援物资配备标准》（GB 30077-2019）配备危险化学品应急救援物资。涉及危化品运输码头企业应按照《港口溢油应急设备配备要求》（JT/T 451-2017）表2、表3要求配备污染危害性货物泄漏事故应急设施、设备和物资。同时政府设备库、船舶污染企业对危化品应急物资进行适当补充。应急物资针对主要危险品货种配备相应的大气、水质监测设备、防治化学品在水中扩散和蒸发设备等。此外，为了有效防范危险化学品在运输、装卸、停泊中发生的泄漏事故，保障港区内危险化学品码头作业、危险化学品船舶运输以及人民群众生命、财产安全，建议港区也应进一步加强危化品应急设备及物资的储备。</w:t>
                  </w:r>
                </w:p>
              </w:tc>
              <w:tc>
                <w:tcPr>
                  <w:tcW w:w="1189" w:type="pct"/>
                  <w:tcBorders>
                    <w:tl2br w:val="nil"/>
                    <w:tr2bl w:val="nil"/>
                  </w:tcBorders>
                  <w:noWrap w:val="0"/>
                  <w:vAlign w:val="center"/>
                </w:tcPr>
                <w:p w14:paraId="3DDC33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符合。本项目建设单位已按照《港口溢油应急设备配备要求》（JT/T 451-2017）表2、表3要求配备污染危害性货物泄漏事故应急设施、设备和物资。</w:t>
                  </w:r>
                </w:p>
              </w:tc>
            </w:tr>
          </w:tbl>
          <w:p w14:paraId="6F6A87E4">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p>
          <w:p w14:paraId="23E26417">
            <w:pPr>
              <w:autoSpaceDE w:val="0"/>
              <w:autoSpaceDN w:val="0"/>
              <w:adjustRightInd w:val="0"/>
              <w:snapToGrid w:val="0"/>
              <w:spacing w:line="360" w:lineRule="auto"/>
              <w:rPr>
                <w:rFonts w:hint="eastAsia" w:ascii="Times New Roman" w:hAnsi="Times New Roman" w:eastAsia="宋体" w:cs="Times New Roman"/>
                <w:color w:val="auto"/>
                <w:sz w:val="24"/>
                <w:highlight w:val="none"/>
                <w:lang w:val="en-US"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1012825</wp:posOffset>
                      </wp:positionH>
                      <wp:positionV relativeFrom="paragraph">
                        <wp:posOffset>1995170</wp:posOffset>
                      </wp:positionV>
                      <wp:extent cx="618490" cy="292735"/>
                      <wp:effectExtent l="133350" t="6350" r="10160" b="291465"/>
                      <wp:wrapNone/>
                      <wp:docPr id="11" name="矩形标注 11"/>
                      <wp:cNvGraphicFramePr/>
                      <a:graphic xmlns:a="http://schemas.openxmlformats.org/drawingml/2006/main">
                        <a:graphicData uri="http://schemas.microsoft.com/office/word/2010/wordprocessingShape">
                          <wps:wsp>
                            <wps:cNvSpPr/>
                            <wps:spPr>
                              <a:xfrm>
                                <a:off x="2087880" y="4026535"/>
                                <a:ext cx="618490" cy="292735"/>
                              </a:xfrm>
                              <a:prstGeom prst="wedgeRectCallout">
                                <a:avLst>
                                  <a:gd name="adj1" fmla="val -70533"/>
                                  <a:gd name="adj2" fmla="val 146746"/>
                                </a:avLst>
                              </a:prstGeom>
                              <a:solidFill>
                                <a:srgbClr val="FFFFFF"/>
                              </a:solidFill>
                              <a:ln w="12700" cap="flat" cmpd="sng" algn="ctr">
                                <a:solidFill>
                                  <a:srgbClr val="FF0000"/>
                                </a:solidFill>
                                <a:prstDash val="solid"/>
                              </a:ln>
                              <a:effectLst/>
                            </wps:spPr>
                            <wps:txbx>
                              <w:txbxContent>
                                <w:p w14:paraId="362FD0F1">
                                  <w:pPr>
                                    <w:ind w:firstLine="0" w:firstLineChars="0"/>
                                    <w:rPr>
                                      <w:b/>
                                      <w:bCs/>
                                      <w:sz w:val="21"/>
                                      <w:szCs w:val="21"/>
                                    </w:rPr>
                                  </w:pPr>
                                  <w:r>
                                    <w:rPr>
                                      <w:rFonts w:hint="eastAsia"/>
                                      <w:b/>
                                      <w:bCs/>
                                      <w:sz w:val="21"/>
                                      <w:szCs w:val="21"/>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9.75pt;margin-top:157.1pt;height:23.05pt;width:48.7pt;z-index:251659264;v-text-anchor:middle;mso-width-relative:page;mso-height-relative:page;" fillcolor="#FFFFFF" filled="t" stroked="t" coordsize="21600,21600" o:gfxdata="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9YJt1dcAAAALAQAADwAAAAAAAAABACAAAAAiAAAA&#10;ZHJzL2Rvd25yZXYueG1sUEsBAhQAFAAAAAgAh07iQMWlGUmzAgAAaAUAAA4AAAAAAAAAAQAgAAAA&#10;JgEAAGRycy9lMm9Eb2MueG1sUEsFBgAAAAAGAAYAWQEAAEsGAAAAAA==&#10;" adj="-4435,42497">
                      <v:fill on="t" focussize="0,0"/>
                      <v:stroke weight="1pt" color="#FF0000" joinstyle="round"/>
                      <v:imagedata o:title=""/>
                      <o:lock v:ext="edit" aspectratio="f"/>
                      <v:textbox>
                        <w:txbxContent>
                          <w:p w14:paraId="362FD0F1">
                            <w:pPr>
                              <w:ind w:firstLine="0" w:firstLineChars="0"/>
                              <w:rPr>
                                <w:b/>
                                <w:bCs/>
                                <w:sz w:val="21"/>
                                <w:szCs w:val="21"/>
                              </w:rPr>
                            </w:pPr>
                            <w:r>
                              <w:rPr>
                                <w:rFonts w:hint="eastAsia"/>
                                <w:b/>
                                <w:bCs/>
                                <w:sz w:val="21"/>
                                <w:szCs w:val="21"/>
                              </w:rPr>
                              <w:t>本项目</w:t>
                            </w:r>
                          </w:p>
                        </w:txbxContent>
                      </v:textbox>
                    </v:shape>
                  </w:pict>
                </mc:Fallback>
              </mc:AlternateContent>
            </w:r>
            <w:r>
              <w:rPr>
                <w:color w:val="auto"/>
                <w:highlight w:val="none"/>
              </w:rPr>
              <w:drawing>
                <wp:inline distT="0" distB="0" distL="114300" distR="114300">
                  <wp:extent cx="4646295" cy="3756025"/>
                  <wp:effectExtent l="0" t="0" r="1905" b="15875"/>
                  <wp:docPr id="1" name="图片 136" descr="20 金谷港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6" descr="20 金谷港区规划图"/>
                          <pic:cNvPicPr>
                            <a:picLocks noChangeAspect="1"/>
                          </pic:cNvPicPr>
                        </pic:nvPicPr>
                        <pic:blipFill>
                          <a:blip r:embed="rId11"/>
                          <a:stretch>
                            <a:fillRect/>
                          </a:stretch>
                        </pic:blipFill>
                        <pic:spPr>
                          <a:xfrm>
                            <a:off x="0" y="0"/>
                            <a:ext cx="4646295" cy="3756025"/>
                          </a:xfrm>
                          <a:prstGeom prst="rect">
                            <a:avLst/>
                          </a:prstGeom>
                          <a:noFill/>
                          <a:ln>
                            <a:noFill/>
                          </a:ln>
                        </pic:spPr>
                      </pic:pic>
                    </a:graphicData>
                  </a:graphic>
                </wp:inline>
              </w:drawing>
            </w:r>
          </w:p>
          <w:p w14:paraId="1768EBF1">
            <w:pPr>
              <w:keepNext w:val="0"/>
              <w:keepLines w:val="0"/>
              <w:pageBreakBefore w:val="0"/>
              <w:widowControl w:val="0"/>
              <w:kinsoku w:val="0"/>
              <w:wordWrap/>
              <w:overflowPunct/>
              <w:topLinePunct w:val="0"/>
              <w:autoSpaceDE w:val="0"/>
              <w:autoSpaceDN w:val="0"/>
              <w:bidi w:val="0"/>
              <w:adjustRightInd/>
              <w:snapToGrid/>
              <w:jc w:val="center"/>
              <w:textAlignment w:val="baseline"/>
              <w:rPr>
                <w:rFonts w:hint="eastAsia" w:eastAsia="宋体"/>
                <w:b/>
                <w:bCs/>
                <w:color w:val="auto"/>
                <w:highlight w:val="none"/>
                <w:u w:val="single"/>
                <w:lang w:val="en-US" w:eastAsia="zh-CN"/>
              </w:rPr>
            </w:pPr>
            <w:r>
              <w:rPr>
                <w:rFonts w:hint="eastAsia" w:eastAsia="宋体"/>
                <w:b/>
                <w:bCs/>
                <w:color w:val="auto"/>
                <w:highlight w:val="none"/>
                <w:u w:val="single"/>
                <w:lang w:val="en-US" w:eastAsia="zh-CN"/>
              </w:rPr>
              <w:t>图1-1本项目与北部湾港总体规划（2035年）位置关系图</w:t>
            </w:r>
          </w:p>
          <w:p w14:paraId="46EC421B">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为港池和回旋水域维护性疏浚工程，项目建设有利于改善区域航行条件，不改变钦州港金谷港区金鼓江作业区19#泊位岸线长度，水源范围和泊位功能、吞吐量等，仅通过对港池和回旋水域进行疏浚，满足船舶靠泊，符合《北部湾</w:t>
            </w:r>
            <w:r>
              <w:rPr>
                <w:rFonts w:hint="eastAsia" w:cs="Times New Roman"/>
                <w:color w:val="auto"/>
                <w:sz w:val="24"/>
                <w:highlight w:val="none"/>
                <w:lang w:val="en-US" w:eastAsia="zh-CN"/>
              </w:rPr>
              <w:t>港总体规划</w:t>
            </w:r>
            <w:r>
              <w:rPr>
                <w:rFonts w:hint="eastAsia" w:ascii="Times New Roman" w:hAnsi="Times New Roman" w:eastAsia="宋体" w:cs="Times New Roman"/>
                <w:color w:val="auto"/>
                <w:sz w:val="24"/>
                <w:highlight w:val="none"/>
                <w:lang w:val="en-US" w:eastAsia="zh-CN"/>
              </w:rPr>
              <w:t>（2035年）》的要求。</w:t>
            </w:r>
          </w:p>
          <w:p w14:paraId="643FDC59">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2.与规划环评审查意见相符性</w:t>
            </w:r>
          </w:p>
          <w:p w14:paraId="43622D55">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中华人民共和国生态环境部于2023年11月13日出具了《关于北部湾港总体规划（2035年）环境影响报告书的审查意见》（环审〔2023〕125号），本项目与《北部湾港总体规划（2035年）环境影响报告书》及审查意见相符性分析详见下表。</w:t>
            </w:r>
          </w:p>
          <w:p w14:paraId="32A670CF">
            <w:pPr>
              <w:keepNext w:val="0"/>
              <w:keepLines w:val="0"/>
              <w:pageBreakBefore w:val="0"/>
              <w:widowControl w:val="0"/>
              <w:kinsoku w:val="0"/>
              <w:wordWrap/>
              <w:overflowPunct/>
              <w:topLinePunct w:val="0"/>
              <w:autoSpaceDE w:val="0"/>
              <w:autoSpaceDN w:val="0"/>
              <w:bidi w:val="0"/>
              <w:adjustRightInd/>
              <w:snapToGrid/>
              <w:jc w:val="center"/>
              <w:textAlignment w:val="baseline"/>
              <w:rPr>
                <w:rFonts w:hint="default"/>
                <w:color w:val="auto"/>
                <w:highlight w:val="none"/>
                <w:lang w:val="en-US" w:eastAsia="zh-CN"/>
              </w:rPr>
            </w:pPr>
            <w:r>
              <w:rPr>
                <w:rFonts w:hint="eastAsia" w:ascii="Times New Roman" w:hAnsi="Times New Roman" w:eastAsia="宋体"/>
                <w:b/>
                <w:bCs/>
                <w:color w:val="auto"/>
                <w:spacing w:val="0"/>
                <w:w w:val="100"/>
                <w:position w:val="0"/>
                <w:highlight w:val="none"/>
                <w:u w:val="none" w:color="auto"/>
                <w:lang w:val="en-US" w:eastAsia="zh-CN"/>
              </w:rPr>
              <w:t>表1.1-1项</w:t>
            </w:r>
            <w:r>
              <w:rPr>
                <w:rFonts w:hint="eastAsia" w:ascii="Times New Roman" w:hAnsi="Times New Roman" w:eastAsia="宋体"/>
                <w:b/>
                <w:bCs/>
                <w:color w:val="auto"/>
                <w:spacing w:val="0"/>
                <w:w w:val="100"/>
                <w:position w:val="0"/>
                <w:highlight w:val="none"/>
                <w:u w:val="none" w:color="auto"/>
              </w:rPr>
              <w:t>目与《</w:t>
            </w:r>
            <w:r>
              <w:rPr>
                <w:rFonts w:hint="eastAsia" w:ascii="Times New Roman" w:hAnsi="Times New Roman" w:eastAsia="宋体"/>
                <w:b/>
                <w:bCs/>
                <w:color w:val="auto"/>
                <w:spacing w:val="0"/>
                <w:w w:val="100"/>
                <w:position w:val="0"/>
                <w:highlight w:val="none"/>
                <w:u w:val="none" w:color="auto"/>
                <w:lang w:val="en-US" w:eastAsia="zh-CN"/>
              </w:rPr>
              <w:t>北部湾</w:t>
            </w:r>
            <w:r>
              <w:rPr>
                <w:rFonts w:hint="eastAsia" w:ascii="Times New Roman" w:hAnsi="Times New Roman" w:eastAsia="宋体"/>
                <w:b/>
                <w:bCs/>
                <w:color w:val="auto"/>
                <w:spacing w:val="0"/>
                <w:w w:val="100"/>
                <w:position w:val="0"/>
                <w:highlight w:val="none"/>
                <w:u w:val="none" w:color="auto"/>
              </w:rPr>
              <w:t>港总体规划</w:t>
            </w:r>
            <w:r>
              <w:rPr>
                <w:rFonts w:hint="eastAsia" w:ascii="Times New Roman" w:hAnsi="Times New Roman" w:eastAsia="宋体"/>
                <w:b/>
                <w:bCs/>
                <w:color w:val="auto"/>
                <w:spacing w:val="0"/>
                <w:w w:val="100"/>
                <w:position w:val="0"/>
                <w:highlight w:val="none"/>
                <w:u w:val="none" w:color="auto"/>
                <w:lang w:eastAsia="zh-CN"/>
              </w:rPr>
              <w:t>（</w:t>
            </w:r>
            <w:r>
              <w:rPr>
                <w:rFonts w:hint="eastAsia" w:ascii="Times New Roman" w:hAnsi="Times New Roman" w:eastAsia="宋体"/>
                <w:b/>
                <w:bCs/>
                <w:color w:val="auto"/>
                <w:spacing w:val="0"/>
                <w:w w:val="100"/>
                <w:position w:val="0"/>
                <w:highlight w:val="none"/>
                <w:u w:val="none" w:color="auto"/>
                <w:lang w:val="en-US" w:eastAsia="zh-CN"/>
              </w:rPr>
              <w:t>2035年</w:t>
            </w:r>
            <w:r>
              <w:rPr>
                <w:rFonts w:hint="eastAsia" w:ascii="Times New Roman" w:hAnsi="Times New Roman" w:eastAsia="宋体"/>
                <w:b/>
                <w:bCs/>
                <w:color w:val="auto"/>
                <w:spacing w:val="0"/>
                <w:w w:val="100"/>
                <w:position w:val="0"/>
                <w:highlight w:val="none"/>
                <w:u w:val="none" w:color="auto"/>
                <w:lang w:eastAsia="zh-CN"/>
              </w:rPr>
              <w:t>）</w:t>
            </w:r>
            <w:r>
              <w:rPr>
                <w:rFonts w:hint="eastAsia" w:ascii="Times New Roman" w:hAnsi="Times New Roman" w:eastAsia="宋体"/>
                <w:b/>
                <w:bCs/>
                <w:color w:val="auto"/>
                <w:spacing w:val="0"/>
                <w:w w:val="100"/>
                <w:position w:val="0"/>
                <w:highlight w:val="none"/>
                <w:u w:val="none" w:color="auto"/>
              </w:rPr>
              <w:t>环境影响报告书》审查意见相符性一览表</w:t>
            </w:r>
          </w:p>
          <w:tbl>
            <w:tblPr>
              <w:tblStyle w:val="4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
              <w:gridCol w:w="4353"/>
              <w:gridCol w:w="1951"/>
            </w:tblGrid>
            <w:tr w14:paraId="4605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9" w:type="pct"/>
                  <w:noWrap w:val="0"/>
                  <w:vAlign w:val="center"/>
                </w:tcPr>
                <w:p w14:paraId="6BE791F4">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b/>
                      <w:bCs/>
                      <w:color w:val="auto"/>
                      <w:spacing w:val="0"/>
                      <w:w w:val="100"/>
                      <w:position w:val="0"/>
                      <w:sz w:val="21"/>
                      <w:szCs w:val="21"/>
                      <w:highlight w:val="none"/>
                      <w:u w:val="none" w:color="auto"/>
                      <w:vertAlign w:val="baseline"/>
                    </w:rPr>
                  </w:pPr>
                  <w:r>
                    <w:rPr>
                      <w:rFonts w:hint="default" w:ascii="Times New Roman" w:hAnsi="Times New Roman" w:eastAsia="宋体"/>
                      <w:color w:val="auto"/>
                      <w:spacing w:val="0"/>
                      <w:w w:val="100"/>
                      <w:position w:val="0"/>
                      <w:sz w:val="21"/>
                      <w:szCs w:val="21"/>
                      <w:highlight w:val="none"/>
                      <w:u w:val="none" w:color="auto"/>
                    </w:rPr>
                    <w:t>序号</w:t>
                  </w:r>
                </w:p>
              </w:tc>
              <w:tc>
                <w:tcPr>
                  <w:tcW w:w="3294" w:type="pct"/>
                  <w:noWrap w:val="0"/>
                  <w:vAlign w:val="center"/>
                </w:tcPr>
                <w:p w14:paraId="17F49192">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b/>
                      <w:bCs/>
                      <w:color w:val="auto"/>
                      <w:spacing w:val="0"/>
                      <w:w w:val="100"/>
                      <w:position w:val="0"/>
                      <w:sz w:val="21"/>
                      <w:szCs w:val="21"/>
                      <w:highlight w:val="none"/>
                      <w:u w:val="none" w:color="auto"/>
                      <w:vertAlign w:val="baseline"/>
                    </w:rPr>
                  </w:pPr>
                  <w:r>
                    <w:rPr>
                      <w:rFonts w:hint="eastAsia" w:ascii="Times New Roman" w:hAnsi="Times New Roman" w:eastAsia="宋体"/>
                      <w:color w:val="auto"/>
                      <w:spacing w:val="0"/>
                      <w:w w:val="100"/>
                      <w:position w:val="0"/>
                      <w:sz w:val="21"/>
                      <w:szCs w:val="21"/>
                      <w:highlight w:val="none"/>
                      <w:u w:val="none" w:color="auto"/>
                    </w:rPr>
                    <w:t>规划环评审查意见中与本项目相关的要求</w:t>
                  </w:r>
                </w:p>
              </w:tc>
              <w:tc>
                <w:tcPr>
                  <w:tcW w:w="1476" w:type="pct"/>
                  <w:noWrap w:val="0"/>
                  <w:vAlign w:val="center"/>
                </w:tcPr>
                <w:p w14:paraId="2C33AC3C">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b/>
                      <w:bCs/>
                      <w:color w:val="auto"/>
                      <w:spacing w:val="0"/>
                      <w:w w:val="100"/>
                      <w:position w:val="0"/>
                      <w:sz w:val="21"/>
                      <w:szCs w:val="21"/>
                      <w:highlight w:val="none"/>
                      <w:u w:val="none" w:color="auto"/>
                      <w:vertAlign w:val="baseline"/>
                    </w:rPr>
                  </w:pPr>
                  <w:r>
                    <w:rPr>
                      <w:rFonts w:hint="eastAsia" w:ascii="Times New Roman" w:hAnsi="Times New Roman" w:eastAsia="宋体"/>
                      <w:color w:val="auto"/>
                      <w:spacing w:val="0"/>
                      <w:w w:val="100"/>
                      <w:position w:val="0"/>
                      <w:sz w:val="21"/>
                      <w:szCs w:val="21"/>
                      <w:highlight w:val="none"/>
                      <w:u w:val="none" w:color="auto"/>
                      <w:lang w:val="en-US" w:eastAsia="zh-CN"/>
                    </w:rPr>
                    <w:t>相符性分析</w:t>
                  </w:r>
                </w:p>
              </w:tc>
            </w:tr>
            <w:tr w14:paraId="0ED6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noWrap w:val="0"/>
                  <w:vAlign w:val="center"/>
                </w:tcPr>
                <w:p w14:paraId="34BD67E0">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1</w:t>
                  </w:r>
                </w:p>
              </w:tc>
              <w:tc>
                <w:tcPr>
                  <w:tcW w:w="3294" w:type="pct"/>
                  <w:noWrap w:val="0"/>
                  <w:vAlign w:val="center"/>
                </w:tcPr>
                <w:p w14:paraId="28A64BCF">
                  <w:pPr>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rPr>
                      <w:rFonts w:hint="eastAsia" w:ascii="Times New Roman" w:hAnsi="Times New Roman" w:eastAsia="宋体"/>
                      <w:b/>
                      <w:bCs/>
                      <w:color w:val="auto"/>
                      <w:spacing w:val="0"/>
                      <w:w w:val="100"/>
                      <w:position w:val="0"/>
                      <w:sz w:val="21"/>
                      <w:szCs w:val="21"/>
                      <w:highlight w:val="none"/>
                      <w:u w:val="none" w:color="auto"/>
                      <w:vertAlign w:val="baseline"/>
                    </w:rPr>
                  </w:pPr>
                  <w:r>
                    <w:rPr>
                      <w:rFonts w:hint="eastAsia" w:ascii="Times New Roman" w:hAnsi="Times New Roman" w:eastAsia="宋体"/>
                      <w:color w:val="auto"/>
                      <w:spacing w:val="0"/>
                      <w:w w:val="100"/>
                      <w:position w:val="0"/>
                      <w:sz w:val="21"/>
                      <w:szCs w:val="21"/>
                      <w:highlight w:val="none"/>
                      <w:u w:val="none" w:color="auto"/>
                    </w:rPr>
                    <w:t>处理好发展和保护的关系。以习近平生态文明思想为指导，站在人与自然和谐共生的高度谋划发展，坚持生态优先、节约集约、绿色低碳发展，以高水平生态环境保护推动北部湾国际枢纽海港高质量发展。合理控制港口开发规模与强度，不得占用依法应当禁止开发的区域，优先避让其他生态环境敏感区域，采取严格的生态保护修复和污染防治措施，确保符合生态环境质量改善要求。进一步明确各港域功能定位，优化港口布局，合理安排港口开发建设时序，确保优化后的《规划》符合绿色低碳发展要求。</w:t>
                  </w:r>
                </w:p>
              </w:tc>
              <w:tc>
                <w:tcPr>
                  <w:tcW w:w="1476" w:type="pct"/>
                  <w:noWrap w:val="0"/>
                  <w:vAlign w:val="center"/>
                </w:tcPr>
                <w:p w14:paraId="5E7A7D62">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88" w:lineRule="auto"/>
                    <w:ind w:left="0" w:right="0"/>
                    <w:textAlignment w:val="baseline"/>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符合。不占用生态保护红线、红树林、中国鲎及其栖息地、自然保护区、海洋公园等生态敏感区；项目建设符合港域功能定位。</w:t>
                  </w:r>
                </w:p>
              </w:tc>
            </w:tr>
            <w:tr w14:paraId="48AF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noWrap w:val="0"/>
                  <w:vAlign w:val="center"/>
                </w:tcPr>
                <w:p w14:paraId="72302CA6">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2</w:t>
                  </w:r>
                </w:p>
              </w:tc>
              <w:tc>
                <w:tcPr>
                  <w:tcW w:w="3294" w:type="pct"/>
                  <w:noWrap w:val="0"/>
                  <w:vAlign w:val="center"/>
                </w:tcPr>
                <w:p w14:paraId="2F588200">
                  <w:pPr>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rPr>
                      <w:rFonts w:hint="eastAsia" w:ascii="Times New Roman" w:hAnsi="Times New Roman" w:eastAsia="宋体"/>
                      <w:color w:val="auto"/>
                      <w:spacing w:val="0"/>
                      <w:w w:val="100"/>
                      <w:position w:val="0"/>
                      <w:sz w:val="21"/>
                      <w:szCs w:val="21"/>
                      <w:highlight w:val="none"/>
                      <w:u w:val="none" w:color="auto"/>
                    </w:rPr>
                  </w:pPr>
                  <w:r>
                    <w:rPr>
                      <w:rFonts w:hint="eastAsia" w:ascii="Times New Roman" w:hAnsi="Times New Roman" w:eastAsia="宋体"/>
                      <w:color w:val="auto"/>
                      <w:spacing w:val="0"/>
                      <w:w w:val="100"/>
                      <w:position w:val="0"/>
                      <w:sz w:val="21"/>
                      <w:szCs w:val="21"/>
                      <w:highlight w:val="none"/>
                      <w:u w:val="none" w:color="auto"/>
                    </w:rPr>
                    <w:t>提升岸线利用效率，提高集约化水平。节约集约利用岸线、土地等资源，坚持公用优先，规划实施后公用泊位比例不低于80%；优化整合生产岸线水陆空间和码头资源，规划实施后专业化泊位比例不低于50%。减少对自然岸线的占用，规划实施后确保自然岸线保有率不低于国家和地方规定的比例。</w:t>
                  </w:r>
                </w:p>
              </w:tc>
              <w:tc>
                <w:tcPr>
                  <w:tcW w:w="1476" w:type="pct"/>
                  <w:noWrap w:val="0"/>
                  <w:vAlign w:val="center"/>
                </w:tcPr>
                <w:p w14:paraId="35D6E6BC">
                  <w:pPr>
                    <w:keepNext w:val="0"/>
                    <w:keepLines w:val="0"/>
                    <w:suppressLineNumbers w:val="0"/>
                    <w:bidi w:val="0"/>
                    <w:spacing w:before="0" w:beforeAutospacing="0" w:after="0" w:afterAutospacing="0" w:line="240" w:lineRule="auto"/>
                    <w:ind w:left="0" w:right="0"/>
                    <w:rPr>
                      <w:rFonts w:hint="eastAsia" w:ascii="Times New Roman" w:hAnsi="Times New Roman" w:eastAsia="宋体"/>
                      <w:color w:val="auto"/>
                      <w:spacing w:val="0"/>
                      <w:w w:val="100"/>
                      <w:position w:val="0"/>
                      <w:szCs w:val="21"/>
                      <w:highlight w:val="none"/>
                      <w:u w:val="none" w:color="auto"/>
                      <w:lang w:val="en-US" w:eastAsia="zh-CN"/>
                    </w:rPr>
                  </w:pPr>
                  <w:r>
                    <w:rPr>
                      <w:rFonts w:hint="eastAsia" w:ascii="Times New Roman" w:hAnsi="Times New Roman" w:eastAsia="宋体"/>
                      <w:color w:val="auto"/>
                      <w:spacing w:val="0"/>
                      <w:w w:val="100"/>
                      <w:position w:val="0"/>
                      <w:sz w:val="21"/>
                      <w:szCs w:val="16"/>
                      <w:highlight w:val="none"/>
                      <w:u w:val="none" w:color="auto"/>
                      <w:lang w:val="en-US" w:eastAsia="zh-CN"/>
                    </w:rPr>
                    <w:t>符合。本项目在已建19号码头港池和回旋水域内进行疏浚作业，不</w:t>
                  </w:r>
                  <w:r>
                    <w:rPr>
                      <w:rFonts w:hint="eastAsia"/>
                      <w:color w:val="auto"/>
                      <w:spacing w:val="0"/>
                      <w:w w:val="100"/>
                      <w:position w:val="0"/>
                      <w:sz w:val="21"/>
                      <w:szCs w:val="16"/>
                      <w:highlight w:val="none"/>
                      <w:u w:val="none" w:color="auto"/>
                      <w:lang w:val="en-US" w:eastAsia="zh-CN"/>
                    </w:rPr>
                    <w:t>涉及</w:t>
                  </w:r>
                  <w:r>
                    <w:rPr>
                      <w:rFonts w:hint="eastAsia" w:ascii="Times New Roman" w:hAnsi="Times New Roman" w:eastAsia="宋体"/>
                      <w:color w:val="auto"/>
                      <w:spacing w:val="0"/>
                      <w:w w:val="100"/>
                      <w:position w:val="0"/>
                      <w:sz w:val="21"/>
                      <w:szCs w:val="16"/>
                      <w:highlight w:val="none"/>
                      <w:u w:val="none" w:color="auto"/>
                      <w:lang w:val="en-US" w:eastAsia="zh-CN"/>
                    </w:rPr>
                    <w:t>新增岸线。</w:t>
                  </w:r>
                </w:p>
              </w:tc>
            </w:tr>
            <w:tr w14:paraId="7D15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noWrap w:val="0"/>
                  <w:vAlign w:val="center"/>
                </w:tcPr>
                <w:p w14:paraId="67AAF012">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3</w:t>
                  </w:r>
                </w:p>
              </w:tc>
              <w:tc>
                <w:tcPr>
                  <w:tcW w:w="3294" w:type="pct"/>
                  <w:noWrap w:val="0"/>
                  <w:vAlign w:val="center"/>
                </w:tcPr>
                <w:p w14:paraId="6BEADB1A">
                  <w:pPr>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rPr>
                    <w:t>严守生态安全底线。将生态保护红线作为保障和维护区域生态安全的底线，依法依规实施强制性管控</w:t>
                  </w:r>
                  <w:r>
                    <w:rPr>
                      <w:rFonts w:hint="eastAsia" w:ascii="Times New Roman" w:hAnsi="Times New Roman" w:eastAsia="宋体"/>
                      <w:color w:val="auto"/>
                      <w:spacing w:val="0"/>
                      <w:w w:val="100"/>
                      <w:position w:val="0"/>
                      <w:sz w:val="21"/>
                      <w:szCs w:val="21"/>
                      <w:highlight w:val="none"/>
                      <w:u w:val="none" w:color="auto"/>
                      <w:lang w:val="en-US" w:eastAsia="zh-CN"/>
                    </w:rPr>
                    <w:t>。</w:t>
                  </w:r>
                </w:p>
              </w:tc>
              <w:tc>
                <w:tcPr>
                  <w:tcW w:w="1476" w:type="pct"/>
                  <w:noWrap w:val="0"/>
                  <w:vAlign w:val="center"/>
                </w:tcPr>
                <w:p w14:paraId="348D7509">
                  <w:pPr>
                    <w:keepNext w:val="0"/>
                    <w:keepLines w:val="0"/>
                    <w:suppressLineNumbers w:val="0"/>
                    <w:bidi w:val="0"/>
                    <w:spacing w:before="0" w:beforeAutospacing="0" w:after="0" w:afterAutospacing="0" w:line="240" w:lineRule="auto"/>
                    <w:ind w:left="0" w:right="0"/>
                    <w:rPr>
                      <w:rFonts w:hint="eastAsia" w:ascii="Times New Roman" w:hAnsi="Times New Roman" w:eastAsia="宋体"/>
                      <w:color w:val="auto"/>
                      <w:spacing w:val="0"/>
                      <w:w w:val="100"/>
                      <w:position w:val="0"/>
                      <w:szCs w:val="21"/>
                      <w:highlight w:val="none"/>
                      <w:u w:val="none" w:color="auto"/>
                      <w:lang w:val="en-US" w:eastAsia="zh-CN"/>
                    </w:rPr>
                  </w:pPr>
                  <w:r>
                    <w:rPr>
                      <w:rFonts w:hint="eastAsia" w:ascii="Times New Roman" w:hAnsi="Times New Roman" w:eastAsia="宋体"/>
                      <w:color w:val="auto"/>
                      <w:spacing w:val="0"/>
                      <w:w w:val="100"/>
                      <w:position w:val="0"/>
                      <w:sz w:val="21"/>
                      <w:szCs w:val="16"/>
                      <w:highlight w:val="none"/>
                      <w:u w:val="none" w:color="auto"/>
                      <w:lang w:val="en-US" w:eastAsia="zh-CN"/>
                    </w:rPr>
                    <w:t>符合。本项目不涉及</w:t>
                  </w:r>
                  <w:r>
                    <w:rPr>
                      <w:rFonts w:hint="eastAsia" w:ascii="Times New Roman" w:hAnsi="Times New Roman" w:eastAsia="宋体"/>
                      <w:color w:val="auto"/>
                      <w:spacing w:val="0"/>
                      <w:w w:val="100"/>
                      <w:position w:val="0"/>
                      <w:sz w:val="21"/>
                      <w:szCs w:val="16"/>
                      <w:highlight w:val="none"/>
                      <w:u w:val="none" w:color="auto"/>
                    </w:rPr>
                    <w:t>生态保护红线</w:t>
                  </w:r>
                  <w:r>
                    <w:rPr>
                      <w:rFonts w:hint="eastAsia" w:ascii="Times New Roman" w:hAnsi="Times New Roman" w:eastAsia="宋体"/>
                      <w:color w:val="auto"/>
                      <w:spacing w:val="0"/>
                      <w:w w:val="100"/>
                      <w:position w:val="0"/>
                      <w:sz w:val="21"/>
                      <w:szCs w:val="16"/>
                      <w:highlight w:val="none"/>
                      <w:u w:val="none" w:color="auto"/>
                      <w:lang w:eastAsia="zh-CN"/>
                    </w:rPr>
                    <w:t>。</w:t>
                  </w:r>
                </w:p>
              </w:tc>
            </w:tr>
            <w:tr w14:paraId="3556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noWrap w:val="0"/>
                  <w:vAlign w:val="center"/>
                </w:tcPr>
                <w:p w14:paraId="1C8B951A">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4</w:t>
                  </w:r>
                </w:p>
              </w:tc>
              <w:tc>
                <w:tcPr>
                  <w:tcW w:w="3294" w:type="pct"/>
                  <w:noWrap w:val="0"/>
                  <w:vAlign w:val="center"/>
                </w:tcPr>
                <w:p w14:paraId="3D789540">
                  <w:pPr>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rPr>
                      <w:rFonts w:hint="eastAsia" w:ascii="Times New Roman" w:hAnsi="Times New Roman" w:eastAsia="宋体"/>
                      <w:color w:val="auto"/>
                      <w:spacing w:val="0"/>
                      <w:w w:val="100"/>
                      <w:position w:val="0"/>
                      <w:sz w:val="21"/>
                      <w:szCs w:val="21"/>
                      <w:highlight w:val="none"/>
                      <w:u w:val="none" w:color="auto"/>
                    </w:rPr>
                  </w:pPr>
                  <w:r>
                    <w:rPr>
                      <w:rFonts w:hint="eastAsia" w:ascii="Times New Roman" w:hAnsi="Times New Roman" w:eastAsia="宋体"/>
                      <w:color w:val="auto"/>
                      <w:spacing w:val="0"/>
                      <w:w w:val="100"/>
                      <w:position w:val="0"/>
                      <w:sz w:val="21"/>
                      <w:szCs w:val="21"/>
                      <w:highlight w:val="none"/>
                      <w:u w:val="none" w:color="auto"/>
                    </w:rPr>
                    <w:t>优化港口布局与功能，严控新增围填海。按照北部湾国际枢纽海港发展要求，进一步明确各港域专业化分工。港口新增围填海应当符合《关于加强滨海湿地保护严格管控围填海的通知》（国发</w:t>
                  </w:r>
                  <w:r>
                    <w:rPr>
                      <w:rFonts w:hint="eastAsia" w:ascii="Times New Roman" w:hAnsi="Times New Roman" w:eastAsia="宋体"/>
                      <w:color w:val="auto"/>
                      <w:spacing w:val="0"/>
                      <w:w w:val="100"/>
                      <w:position w:val="0"/>
                      <w:sz w:val="21"/>
                      <w:szCs w:val="21"/>
                      <w:highlight w:val="none"/>
                      <w:u w:val="none" w:color="auto"/>
                      <w:lang w:val="en-US" w:eastAsia="zh-CN"/>
                    </w:rPr>
                    <w:t>〔</w:t>
                  </w:r>
                  <w:r>
                    <w:rPr>
                      <w:rFonts w:hint="eastAsia" w:ascii="Times New Roman" w:hAnsi="Times New Roman" w:eastAsia="宋体"/>
                      <w:color w:val="auto"/>
                      <w:spacing w:val="0"/>
                      <w:w w:val="100"/>
                      <w:position w:val="0"/>
                      <w:sz w:val="21"/>
                      <w:szCs w:val="21"/>
                      <w:highlight w:val="none"/>
                      <w:u w:val="none" w:color="auto"/>
                    </w:rPr>
                    <w:t>2018</w:t>
                  </w:r>
                  <w:r>
                    <w:rPr>
                      <w:rFonts w:hint="eastAsia" w:ascii="Times New Roman" w:hAnsi="Times New Roman" w:eastAsia="宋体"/>
                      <w:color w:val="auto"/>
                      <w:spacing w:val="0"/>
                      <w:w w:val="100"/>
                      <w:position w:val="0"/>
                      <w:sz w:val="21"/>
                      <w:szCs w:val="21"/>
                      <w:highlight w:val="none"/>
                      <w:u w:val="none" w:color="auto"/>
                      <w:lang w:val="en-US" w:eastAsia="zh-CN"/>
                    </w:rPr>
                    <w:t>〕</w:t>
                  </w:r>
                  <w:r>
                    <w:rPr>
                      <w:rFonts w:hint="eastAsia" w:ascii="Times New Roman" w:hAnsi="Times New Roman" w:eastAsia="宋体"/>
                      <w:color w:val="auto"/>
                      <w:spacing w:val="0"/>
                      <w:w w:val="100"/>
                      <w:position w:val="0"/>
                      <w:sz w:val="21"/>
                      <w:szCs w:val="21"/>
                      <w:highlight w:val="none"/>
                      <w:u w:val="none" w:color="auto"/>
                    </w:rPr>
                    <w:t>24号）的要求；涉及历史遗留问题</w:t>
                  </w:r>
                  <w:r>
                    <w:rPr>
                      <w:rFonts w:hint="eastAsia" w:ascii="Times New Roman" w:hAnsi="Times New Roman" w:eastAsia="宋体"/>
                      <w:color w:val="auto"/>
                      <w:spacing w:val="0"/>
                      <w:w w:val="100"/>
                      <w:position w:val="0"/>
                      <w:sz w:val="21"/>
                      <w:szCs w:val="21"/>
                      <w:highlight w:val="none"/>
                      <w:u w:val="none" w:color="auto"/>
                      <w:lang w:val="en-US" w:eastAsia="zh-CN"/>
                    </w:rPr>
                    <w:t>的</w:t>
                  </w:r>
                  <w:r>
                    <w:rPr>
                      <w:rFonts w:hint="eastAsia" w:ascii="Times New Roman" w:hAnsi="Times New Roman" w:eastAsia="宋体"/>
                      <w:color w:val="auto"/>
                      <w:spacing w:val="0"/>
                      <w:w w:val="100"/>
                      <w:position w:val="0"/>
                      <w:sz w:val="21"/>
                      <w:szCs w:val="21"/>
                      <w:highlight w:val="none"/>
                      <w:u w:val="none" w:color="auto"/>
                    </w:rPr>
                    <w:t>围填海应按照《自然资源部办公厅关于已批准但尚未完成围填海项目处置有关事宜的函》（自然资办函</w:t>
                  </w:r>
                  <w:r>
                    <w:rPr>
                      <w:rFonts w:hint="eastAsia" w:ascii="Times New Roman" w:hAnsi="Times New Roman" w:eastAsia="宋体"/>
                      <w:color w:val="auto"/>
                      <w:spacing w:val="0"/>
                      <w:w w:val="100"/>
                      <w:position w:val="0"/>
                      <w:sz w:val="21"/>
                      <w:szCs w:val="21"/>
                      <w:highlight w:val="none"/>
                      <w:u w:val="none" w:color="auto"/>
                      <w:lang w:val="en-US" w:eastAsia="zh-CN"/>
                    </w:rPr>
                    <w:t>〔</w:t>
                  </w:r>
                  <w:r>
                    <w:rPr>
                      <w:rFonts w:hint="eastAsia" w:ascii="Times New Roman" w:hAnsi="Times New Roman" w:eastAsia="宋体"/>
                      <w:color w:val="auto"/>
                      <w:spacing w:val="0"/>
                      <w:w w:val="100"/>
                      <w:position w:val="0"/>
                      <w:sz w:val="21"/>
                      <w:szCs w:val="21"/>
                      <w:highlight w:val="none"/>
                      <w:u w:val="none" w:color="auto"/>
                    </w:rPr>
                    <w:t>2021</w:t>
                  </w:r>
                  <w:r>
                    <w:rPr>
                      <w:rFonts w:hint="eastAsia" w:ascii="Times New Roman" w:hAnsi="Times New Roman" w:eastAsia="宋体"/>
                      <w:color w:val="auto"/>
                      <w:spacing w:val="0"/>
                      <w:w w:val="100"/>
                      <w:position w:val="0"/>
                      <w:sz w:val="21"/>
                      <w:szCs w:val="21"/>
                      <w:highlight w:val="none"/>
                      <w:u w:val="none" w:color="auto"/>
                      <w:lang w:val="en-US" w:eastAsia="zh-CN"/>
                    </w:rPr>
                    <w:t>〕</w:t>
                  </w:r>
                  <w:r>
                    <w:rPr>
                      <w:rFonts w:hint="eastAsia" w:ascii="Times New Roman" w:hAnsi="Times New Roman" w:eastAsia="宋体"/>
                      <w:color w:val="auto"/>
                      <w:spacing w:val="0"/>
                      <w:w w:val="100"/>
                      <w:position w:val="0"/>
                      <w:sz w:val="21"/>
                      <w:szCs w:val="21"/>
                      <w:highlight w:val="none"/>
                      <w:u w:val="none" w:color="auto"/>
                    </w:rPr>
                    <w:t>1958号）规定实施。</w:t>
                  </w:r>
                </w:p>
              </w:tc>
              <w:tc>
                <w:tcPr>
                  <w:tcW w:w="1476" w:type="pct"/>
                  <w:noWrap w:val="0"/>
                  <w:vAlign w:val="center"/>
                </w:tcPr>
                <w:p w14:paraId="59D4F4A5">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jc w:val="both"/>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符合。本项目不涉及</w:t>
                  </w:r>
                  <w:r>
                    <w:rPr>
                      <w:rFonts w:hint="eastAsia" w:ascii="Times New Roman" w:hAnsi="Times New Roman" w:eastAsia="宋体"/>
                      <w:color w:val="auto"/>
                      <w:spacing w:val="0"/>
                      <w:w w:val="100"/>
                      <w:position w:val="0"/>
                      <w:sz w:val="21"/>
                      <w:szCs w:val="21"/>
                      <w:highlight w:val="none"/>
                      <w:u w:val="none" w:color="auto"/>
                    </w:rPr>
                    <w:t>新增围填海</w:t>
                  </w:r>
                  <w:r>
                    <w:rPr>
                      <w:rFonts w:hint="eastAsia" w:ascii="Times New Roman" w:hAnsi="Times New Roman" w:eastAsia="宋体"/>
                      <w:color w:val="auto"/>
                      <w:spacing w:val="0"/>
                      <w:w w:val="100"/>
                      <w:position w:val="0"/>
                      <w:sz w:val="21"/>
                      <w:szCs w:val="21"/>
                      <w:highlight w:val="none"/>
                      <w:u w:val="none" w:color="auto"/>
                      <w:lang w:eastAsia="zh-CN"/>
                    </w:rPr>
                    <w:t>。</w:t>
                  </w:r>
                </w:p>
              </w:tc>
            </w:tr>
            <w:tr w14:paraId="24BE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noWrap w:val="0"/>
                  <w:vAlign w:val="center"/>
                </w:tcPr>
                <w:p w14:paraId="0F057C9F">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5</w:t>
                  </w:r>
                </w:p>
              </w:tc>
              <w:tc>
                <w:tcPr>
                  <w:tcW w:w="3294" w:type="pct"/>
                  <w:noWrap w:val="0"/>
                  <w:vAlign w:val="center"/>
                </w:tcPr>
                <w:p w14:paraId="1A841CE9">
                  <w:pPr>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rPr>
                      <w:rFonts w:hint="eastAsia" w:ascii="Times New Roman" w:hAnsi="Times New Roman" w:eastAsia="宋体"/>
                      <w:color w:val="auto"/>
                      <w:spacing w:val="0"/>
                      <w:w w:val="100"/>
                      <w:position w:val="0"/>
                      <w:sz w:val="21"/>
                      <w:szCs w:val="21"/>
                      <w:highlight w:val="none"/>
                      <w:u w:val="none" w:color="auto"/>
                    </w:rPr>
                  </w:pPr>
                  <w:r>
                    <w:rPr>
                      <w:rFonts w:hint="eastAsia" w:ascii="Times New Roman" w:hAnsi="Times New Roman" w:eastAsia="宋体"/>
                      <w:color w:val="auto"/>
                      <w:spacing w:val="0"/>
                      <w:w w:val="100"/>
                      <w:position w:val="0"/>
                      <w:sz w:val="21"/>
                      <w:szCs w:val="21"/>
                      <w:highlight w:val="none"/>
                      <w:u w:val="none" w:color="auto"/>
                    </w:rPr>
                    <w:t>加强环境风险防范。加强港区环境风险管理，建设环境污染预报分析和应急决策支持系统，提升快速应急响应能力。建设与港区环境风险相匹配的应急能力，统筹规划建设应急基地与设备库，配备必要的应急船舶，制定突发环境事件应急预案，提升现有油品、液体化学品泊位的风险防控能力。油品、液体化学品作业区按照项目单罐最大罐容建设相匹配的应急事故池，建立健全环境风险三级防控体系和区域环境风险联防联控机制，提升区域整体环境风险防控能力，有效防控区域环境风险。</w:t>
                  </w:r>
                </w:p>
              </w:tc>
              <w:tc>
                <w:tcPr>
                  <w:tcW w:w="1476" w:type="pct"/>
                  <w:noWrap w:val="0"/>
                  <w:vAlign w:val="center"/>
                </w:tcPr>
                <w:p w14:paraId="04702685">
                  <w:pPr>
                    <w:keepNext w:val="0"/>
                    <w:keepLines w:val="0"/>
                    <w:suppressLineNumbers w:val="0"/>
                    <w:bidi w:val="0"/>
                    <w:spacing w:before="0" w:beforeAutospacing="0" w:after="0" w:afterAutospacing="0" w:line="240" w:lineRule="auto"/>
                    <w:ind w:left="0" w:right="0"/>
                    <w:rPr>
                      <w:rFonts w:hint="default" w:ascii="Times New Roman" w:hAnsi="Times New Roman" w:eastAsia="宋体"/>
                      <w:color w:val="auto"/>
                      <w:spacing w:val="0"/>
                      <w:w w:val="100"/>
                      <w:position w:val="0"/>
                      <w:sz w:val="21"/>
                      <w:szCs w:val="16"/>
                      <w:highlight w:val="none"/>
                      <w:u w:val="none" w:color="auto"/>
                      <w:lang w:val="en-US" w:eastAsia="zh-CN"/>
                    </w:rPr>
                  </w:pPr>
                  <w:r>
                    <w:rPr>
                      <w:rFonts w:hint="eastAsia" w:ascii="Times New Roman" w:hAnsi="Times New Roman" w:eastAsia="宋体"/>
                      <w:color w:val="auto"/>
                      <w:spacing w:val="0"/>
                      <w:w w:val="100"/>
                      <w:position w:val="0"/>
                      <w:sz w:val="21"/>
                      <w:szCs w:val="16"/>
                      <w:highlight w:val="none"/>
                      <w:u w:val="none" w:color="auto"/>
                      <w:lang w:val="en-US" w:eastAsia="zh-CN"/>
                    </w:rPr>
                    <w:t>符合。</w:t>
                  </w:r>
                  <w:r>
                    <w:rPr>
                      <w:rFonts w:hint="eastAsia" w:ascii="Times New Roman" w:hAnsi="Times New Roman" w:eastAsia="宋体" w:cs="Times New Roman"/>
                      <w:color w:val="auto"/>
                      <w:spacing w:val="0"/>
                      <w:w w:val="100"/>
                      <w:position w:val="0"/>
                      <w:sz w:val="21"/>
                      <w:szCs w:val="21"/>
                      <w:highlight w:val="none"/>
                      <w:u w:val="none" w:color="auto"/>
                      <w:lang w:val="en-US" w:eastAsia="zh-CN"/>
                    </w:rPr>
                    <w:t>项目依托19号泊位已</w:t>
                  </w:r>
                  <w:r>
                    <w:rPr>
                      <w:rFonts w:hint="default" w:ascii="Times New Roman" w:hAnsi="Times New Roman" w:eastAsia="宋体" w:cs="Times New Roman"/>
                      <w:color w:val="auto"/>
                      <w:spacing w:val="0"/>
                      <w:w w:val="100"/>
                      <w:position w:val="0"/>
                      <w:sz w:val="21"/>
                      <w:szCs w:val="21"/>
                      <w:highlight w:val="none"/>
                      <w:u w:val="none" w:color="auto"/>
                      <w:lang w:val="en-US" w:eastAsia="zh-CN"/>
                    </w:rPr>
                    <w:t>配备的应急物资</w:t>
                  </w:r>
                  <w:r>
                    <w:rPr>
                      <w:rFonts w:hint="eastAsia" w:ascii="Times New Roman" w:hAnsi="Times New Roman" w:eastAsia="宋体" w:cs="Times New Roman"/>
                      <w:color w:val="auto"/>
                      <w:spacing w:val="0"/>
                      <w:w w:val="100"/>
                      <w:position w:val="0"/>
                      <w:sz w:val="21"/>
                      <w:szCs w:val="21"/>
                      <w:highlight w:val="none"/>
                      <w:u w:val="none" w:color="auto"/>
                      <w:lang w:val="en-US" w:eastAsia="zh-CN"/>
                    </w:rPr>
                    <w:t>、事故应急池、</w:t>
                  </w:r>
                  <w:r>
                    <w:rPr>
                      <w:rFonts w:hint="default" w:ascii="Times New Roman" w:hAnsi="Times New Roman" w:eastAsia="宋体" w:cs="Times New Roman"/>
                      <w:color w:val="auto"/>
                      <w:spacing w:val="0"/>
                      <w:w w:val="100"/>
                      <w:position w:val="0"/>
                      <w:sz w:val="21"/>
                      <w:szCs w:val="21"/>
                      <w:highlight w:val="none"/>
                      <w:u w:val="none" w:color="auto"/>
                      <w:lang w:val="en-US" w:eastAsia="zh-CN"/>
                    </w:rPr>
                    <w:t>应急预案</w:t>
                  </w:r>
                  <w:r>
                    <w:rPr>
                      <w:rFonts w:hint="eastAsia" w:ascii="Times New Roman" w:hAnsi="Times New Roman" w:eastAsia="宋体" w:cs="Times New Roman"/>
                      <w:color w:val="auto"/>
                      <w:spacing w:val="0"/>
                      <w:w w:val="100"/>
                      <w:position w:val="0"/>
                      <w:sz w:val="21"/>
                      <w:szCs w:val="21"/>
                      <w:highlight w:val="none"/>
                      <w:u w:val="none" w:color="auto"/>
                      <w:lang w:val="en-US" w:eastAsia="zh-CN"/>
                    </w:rPr>
                    <w:t>、</w:t>
                  </w:r>
                  <w:r>
                    <w:rPr>
                      <w:rFonts w:hint="default" w:ascii="Times New Roman" w:hAnsi="Times New Roman" w:eastAsia="宋体" w:cs="Times New Roman"/>
                      <w:color w:val="auto"/>
                      <w:spacing w:val="0"/>
                      <w:w w:val="100"/>
                      <w:position w:val="0"/>
                      <w:sz w:val="21"/>
                      <w:szCs w:val="21"/>
                      <w:highlight w:val="none"/>
                      <w:u w:val="none" w:color="auto"/>
                      <w:lang w:val="en-US" w:eastAsia="zh-CN"/>
                    </w:rPr>
                    <w:t>环境风险三级防控体系和区域环境风险联防联控机制</w:t>
                  </w:r>
                  <w:r>
                    <w:rPr>
                      <w:rFonts w:hint="eastAsia" w:ascii="Times New Roman" w:hAnsi="Times New Roman" w:eastAsia="宋体" w:cs="Times New Roman"/>
                      <w:color w:val="auto"/>
                      <w:spacing w:val="0"/>
                      <w:w w:val="100"/>
                      <w:position w:val="0"/>
                      <w:sz w:val="21"/>
                      <w:szCs w:val="21"/>
                      <w:highlight w:val="none"/>
                      <w:u w:val="none" w:color="auto"/>
                      <w:lang w:val="en-US" w:eastAsia="zh-CN"/>
                    </w:rPr>
                    <w:t>。</w:t>
                  </w:r>
                </w:p>
              </w:tc>
            </w:tr>
            <w:tr w14:paraId="77DC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noWrap w:val="0"/>
                  <w:vAlign w:val="center"/>
                </w:tcPr>
                <w:p w14:paraId="440B9F42">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6</w:t>
                  </w:r>
                </w:p>
              </w:tc>
              <w:tc>
                <w:tcPr>
                  <w:tcW w:w="3294" w:type="pct"/>
                  <w:noWrap w:val="0"/>
                  <w:vAlign w:val="center"/>
                </w:tcPr>
                <w:p w14:paraId="0FCCA9E5">
                  <w:pPr>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rPr>
                      <w:rFonts w:hint="eastAsia" w:ascii="Times New Roman" w:hAnsi="Times New Roman" w:eastAsia="宋体"/>
                      <w:color w:val="auto"/>
                      <w:spacing w:val="0"/>
                      <w:w w:val="100"/>
                      <w:position w:val="0"/>
                      <w:sz w:val="21"/>
                      <w:szCs w:val="21"/>
                      <w:highlight w:val="none"/>
                      <w:u w:val="none" w:color="auto"/>
                    </w:rPr>
                  </w:pPr>
                  <w:r>
                    <w:rPr>
                      <w:rFonts w:hint="eastAsia" w:ascii="Times New Roman" w:hAnsi="Times New Roman" w:eastAsia="宋体"/>
                      <w:color w:val="auto"/>
                      <w:spacing w:val="0"/>
                      <w:w w:val="100"/>
                      <w:position w:val="0"/>
                      <w:sz w:val="21"/>
                      <w:szCs w:val="21"/>
                      <w:highlight w:val="none"/>
                      <w:u w:val="none" w:color="auto"/>
                    </w:rPr>
                    <w:t>加强海洋生态保护和修复。你厅应按照习近平总书记关于北部湾港建设的重要指示精神，制定港口绿色发展规划，着力打造绿色港口。《规划》实施过程中，应采取严格的海洋生态保护措施，开展港口对北部湾海域典型生态系统、珍稀海洋生物影响与保护的专题研究；对新增围填海和临近红树林、珊瑚礁、海草床、中国</w:t>
                  </w:r>
                  <w:r>
                    <w:rPr>
                      <w:rFonts w:hint="eastAsia" w:ascii="Times New Roman" w:hAnsi="Times New Roman" w:eastAsia="宋体"/>
                      <w:color w:val="auto"/>
                      <w:spacing w:val="0"/>
                      <w:w w:val="100"/>
                      <w:position w:val="0"/>
                      <w:sz w:val="21"/>
                      <w:szCs w:val="21"/>
                      <w:highlight w:val="none"/>
                      <w:u w:val="none" w:color="auto"/>
                      <w:vertAlign w:val="baseline"/>
                      <w:lang w:val="en-US" w:eastAsia="zh-CN"/>
                    </w:rPr>
                    <w:t>鲎</w:t>
                  </w:r>
                  <w:r>
                    <w:rPr>
                      <w:rFonts w:hint="eastAsia" w:ascii="Times New Roman" w:hAnsi="Times New Roman" w:eastAsia="宋体"/>
                      <w:color w:val="auto"/>
                      <w:spacing w:val="0"/>
                      <w:w w:val="100"/>
                      <w:position w:val="0"/>
                      <w:sz w:val="21"/>
                      <w:szCs w:val="21"/>
                      <w:highlight w:val="none"/>
                      <w:u w:val="none" w:color="auto"/>
                    </w:rPr>
                    <w:t>栖息地等环境敏感区的码头、航道、锚地项目，在建设运营过程中强化全过程环境管理及长期跟踪研究，为规划实施的海洋生态保护方案优化、后续规划方案的修订或局部调整提供科学依据和技术支撑；制定并落实重要保护物种专项保护方案，最大限度减少对保护物种及其生境的扰动，开展增殖放流等生态补偿和修复措施。落实《国际船舶压载水和沉积物控制与管理公约》要求，开放口岸码头应具备船舶压载水岸上接收处置能力，并建立船舶压载水管理制度，依法依规加强船舶压载水及沉积物管理，防止外来物种入侵。</w:t>
                  </w:r>
                </w:p>
              </w:tc>
              <w:tc>
                <w:tcPr>
                  <w:tcW w:w="1476" w:type="pct"/>
                  <w:noWrap w:val="0"/>
                  <w:vAlign w:val="center"/>
                </w:tcPr>
                <w:p w14:paraId="14DB66A1">
                  <w:pPr>
                    <w:keepNext w:val="0"/>
                    <w:keepLines w:val="0"/>
                    <w:suppressLineNumbers w:val="0"/>
                    <w:bidi w:val="0"/>
                    <w:spacing w:before="0" w:beforeAutospacing="0" w:after="0" w:afterAutospacing="0" w:line="240" w:lineRule="auto"/>
                    <w:ind w:left="0" w:right="0"/>
                    <w:rPr>
                      <w:rFonts w:hint="default" w:ascii="Times New Roman" w:hAnsi="Times New Roman" w:eastAsia="宋体"/>
                      <w:color w:val="auto"/>
                      <w:spacing w:val="0"/>
                      <w:w w:val="100"/>
                      <w:position w:val="0"/>
                      <w:sz w:val="21"/>
                      <w:szCs w:val="16"/>
                      <w:highlight w:val="none"/>
                      <w:u w:val="none" w:color="auto"/>
                      <w:lang w:val="en-US" w:eastAsia="zh-CN"/>
                    </w:rPr>
                  </w:pPr>
                  <w:r>
                    <w:rPr>
                      <w:rFonts w:hint="eastAsia" w:ascii="Times New Roman" w:hAnsi="Times New Roman" w:eastAsia="宋体"/>
                      <w:color w:val="auto"/>
                      <w:spacing w:val="0"/>
                      <w:w w:val="100"/>
                      <w:position w:val="0"/>
                      <w:sz w:val="21"/>
                      <w:szCs w:val="16"/>
                      <w:highlight w:val="none"/>
                      <w:u w:val="none" w:color="auto"/>
                      <w:lang w:val="en-US" w:eastAsia="zh-CN"/>
                    </w:rPr>
                    <w:t>符合。本项目不涉及</w:t>
                  </w:r>
                  <w:r>
                    <w:rPr>
                      <w:rFonts w:hint="eastAsia" w:ascii="Times New Roman" w:hAnsi="Times New Roman" w:eastAsia="宋体"/>
                      <w:color w:val="auto"/>
                      <w:spacing w:val="0"/>
                      <w:w w:val="100"/>
                      <w:position w:val="0"/>
                      <w:sz w:val="21"/>
                      <w:szCs w:val="21"/>
                      <w:highlight w:val="none"/>
                      <w:u w:val="none" w:color="auto"/>
                    </w:rPr>
                    <w:t>新增围填海</w:t>
                  </w:r>
                  <w:r>
                    <w:rPr>
                      <w:rFonts w:hint="eastAsia" w:ascii="Times New Roman" w:hAnsi="Times New Roman" w:eastAsia="宋体"/>
                      <w:color w:val="auto"/>
                      <w:spacing w:val="0"/>
                      <w:w w:val="100"/>
                      <w:position w:val="0"/>
                      <w:sz w:val="21"/>
                      <w:szCs w:val="21"/>
                      <w:highlight w:val="none"/>
                      <w:u w:val="none" w:color="auto"/>
                      <w:lang w:eastAsia="zh-CN"/>
                    </w:rPr>
                    <w:t>，</w:t>
                  </w:r>
                  <w:r>
                    <w:rPr>
                      <w:rFonts w:hint="eastAsia" w:ascii="Times New Roman" w:hAnsi="Times New Roman" w:eastAsia="宋体"/>
                      <w:color w:val="auto"/>
                      <w:spacing w:val="0"/>
                      <w:w w:val="100"/>
                      <w:position w:val="0"/>
                      <w:sz w:val="21"/>
                      <w:szCs w:val="21"/>
                      <w:highlight w:val="none"/>
                      <w:u w:val="none" w:color="auto"/>
                      <w:lang w:val="en-US" w:eastAsia="zh-CN"/>
                    </w:rPr>
                    <w:t>不占用</w:t>
                  </w:r>
                  <w:r>
                    <w:rPr>
                      <w:rFonts w:hint="eastAsia" w:ascii="Times New Roman" w:hAnsi="Times New Roman" w:eastAsia="宋体"/>
                      <w:color w:val="auto"/>
                      <w:spacing w:val="0"/>
                      <w:w w:val="100"/>
                      <w:position w:val="0"/>
                      <w:sz w:val="21"/>
                      <w:szCs w:val="21"/>
                      <w:highlight w:val="none"/>
                      <w:u w:val="none" w:color="auto"/>
                    </w:rPr>
                    <w:t>红树林、珊瑚礁、海草床、中国</w:t>
                  </w:r>
                  <w:r>
                    <w:rPr>
                      <w:rFonts w:hint="eastAsia" w:ascii="Times New Roman" w:hAnsi="Times New Roman" w:eastAsia="宋体"/>
                      <w:color w:val="auto"/>
                      <w:spacing w:val="0"/>
                      <w:w w:val="100"/>
                      <w:position w:val="0"/>
                      <w:sz w:val="21"/>
                      <w:szCs w:val="21"/>
                      <w:highlight w:val="none"/>
                      <w:u w:val="none" w:color="auto"/>
                      <w:vertAlign w:val="baseline"/>
                      <w:lang w:val="en-US" w:eastAsia="zh-CN"/>
                    </w:rPr>
                    <w:t>鲎</w:t>
                  </w:r>
                  <w:r>
                    <w:rPr>
                      <w:rFonts w:hint="eastAsia" w:ascii="Times New Roman" w:hAnsi="Times New Roman" w:eastAsia="宋体"/>
                      <w:color w:val="auto"/>
                      <w:spacing w:val="0"/>
                      <w:w w:val="100"/>
                      <w:position w:val="0"/>
                      <w:sz w:val="21"/>
                      <w:szCs w:val="21"/>
                      <w:highlight w:val="none"/>
                      <w:u w:val="none" w:color="auto"/>
                    </w:rPr>
                    <w:t>栖息地等环境敏感区</w:t>
                  </w:r>
                  <w:r>
                    <w:rPr>
                      <w:rFonts w:hint="eastAsia" w:ascii="Times New Roman" w:hAnsi="Times New Roman" w:eastAsia="宋体"/>
                      <w:color w:val="auto"/>
                      <w:spacing w:val="0"/>
                      <w:w w:val="100"/>
                      <w:position w:val="0"/>
                      <w:sz w:val="21"/>
                      <w:szCs w:val="21"/>
                      <w:highlight w:val="none"/>
                      <w:u w:val="none" w:color="auto"/>
                      <w:lang w:eastAsia="zh-CN"/>
                    </w:rPr>
                    <w:t>。</w:t>
                  </w:r>
                  <w:r>
                    <w:rPr>
                      <w:rFonts w:hint="eastAsia" w:ascii="Times New Roman" w:hAnsi="Times New Roman" w:eastAsia="宋体"/>
                      <w:color w:val="auto"/>
                      <w:spacing w:val="0"/>
                      <w:w w:val="100"/>
                      <w:position w:val="0"/>
                      <w:sz w:val="21"/>
                      <w:szCs w:val="21"/>
                      <w:highlight w:val="none"/>
                      <w:u w:val="none" w:color="auto"/>
                      <w:lang w:val="en-US" w:eastAsia="zh-CN"/>
                    </w:rPr>
                    <w:t>项目施工船舶含油污水收集后委托有资质单位处置。</w:t>
                  </w:r>
                </w:p>
              </w:tc>
            </w:tr>
            <w:tr w14:paraId="6FBD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noWrap w:val="0"/>
                  <w:vAlign w:val="center"/>
                </w:tcPr>
                <w:p w14:paraId="2FC3F303">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88" w:lineRule="auto"/>
                    <w:ind w:left="0" w:right="0"/>
                    <w:jc w:val="center"/>
                    <w:textAlignment w:val="baseline"/>
                    <w:rPr>
                      <w:rFonts w:hint="eastAsia" w:ascii="Times New Roman" w:hAnsi="Times New Roman" w:eastAsia="宋体"/>
                      <w:b/>
                      <w:bCs/>
                      <w:color w:val="auto"/>
                      <w:spacing w:val="0"/>
                      <w:w w:val="100"/>
                      <w:position w:val="0"/>
                      <w:sz w:val="21"/>
                      <w:szCs w:val="21"/>
                      <w:highlight w:val="none"/>
                      <w:u w:val="none" w:color="auto"/>
                      <w:vertAlign w:val="baseline"/>
                    </w:rPr>
                  </w:pPr>
                  <w:r>
                    <w:rPr>
                      <w:rFonts w:hint="eastAsia" w:ascii="Times New Roman" w:hAnsi="Times New Roman" w:eastAsia="宋体"/>
                      <w:color w:val="auto"/>
                      <w:spacing w:val="0"/>
                      <w:w w:val="100"/>
                      <w:position w:val="0"/>
                      <w:sz w:val="21"/>
                      <w:szCs w:val="21"/>
                      <w:highlight w:val="none"/>
                      <w:u w:val="none" w:color="auto"/>
                      <w:vertAlign w:val="baseline"/>
                      <w:lang w:val="en-US" w:eastAsia="zh-CN"/>
                    </w:rPr>
                    <w:t>7</w:t>
                  </w:r>
                </w:p>
              </w:tc>
              <w:tc>
                <w:tcPr>
                  <w:tcW w:w="3294" w:type="pct"/>
                  <w:noWrap w:val="0"/>
                  <w:vAlign w:val="center"/>
                </w:tcPr>
                <w:p w14:paraId="07AE03EC">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88" w:lineRule="auto"/>
                    <w:ind w:left="0" w:right="0"/>
                    <w:jc w:val="both"/>
                    <w:textAlignment w:val="baseline"/>
                    <w:rPr>
                      <w:rFonts w:hint="eastAsia" w:ascii="Times New Roman" w:hAnsi="Times New Roman" w:eastAsia="宋体"/>
                      <w:b/>
                      <w:bCs/>
                      <w:color w:val="auto"/>
                      <w:spacing w:val="0"/>
                      <w:w w:val="100"/>
                      <w:position w:val="0"/>
                      <w:sz w:val="21"/>
                      <w:szCs w:val="21"/>
                      <w:highlight w:val="none"/>
                      <w:u w:val="none" w:color="auto"/>
                      <w:vertAlign w:val="baseline"/>
                    </w:rPr>
                  </w:pPr>
                  <w:r>
                    <w:rPr>
                      <w:rFonts w:hint="eastAsia" w:ascii="Times New Roman" w:hAnsi="Times New Roman" w:eastAsia="宋体"/>
                      <w:color w:val="auto"/>
                      <w:spacing w:val="0"/>
                      <w:w w:val="100"/>
                      <w:position w:val="0"/>
                      <w:sz w:val="21"/>
                      <w:szCs w:val="21"/>
                      <w:highlight w:val="none"/>
                      <w:u w:val="none" w:color="auto"/>
                      <w:vertAlign w:val="baseline"/>
                      <w:lang w:val="en-US" w:eastAsia="zh-CN"/>
                    </w:rPr>
                    <w:t>强化并落实污染防治措施。统筹做好新建码头和现有码头的环境污染防治，落实“以新带老”要求，补齐环境保护短板，防风抑尘网破损的老旧码头应修补或重新建设防风抑尘网。完善并落实港口和船舶污染物接收转运及处置设施建设方案，加强全过程监管，确保各类污染物得到妥善处置。干散货装卸、堆存应采取绿色工艺，优先采取全封闭措施；加强码头挥发性有机化合物控制，同步建设油气回收装置，最大限度减少挥发性有机化合物排放，确保区域大气环境质量达标。加强温室气体管控，严格控制船舶大气污染物排放，码头应按规定同步配套建设岸电设施，鼓励采用清洁能源供热或集中供热，适时建设配套的清洁能源供应设施，优先采用清洁能源机械及运输车辆。加强港口施工、运行噪声污染防治，确保符合生态环境保护要求。鼓励构建清洁的集疏运体系，加快落实生态环境部、交通运输部等15部委联合印发的《深入打好重污染天气消除、臭氧污染防治和柴油货车污染治理攻坚战行动方案》中“在新建或改扩建集装箱、大宗干散货作业区时，原则上要同步建设进港铁路”的要求。相关污染防治措施及要求应纳入《规划》，同步落实。</w:t>
                  </w:r>
                </w:p>
              </w:tc>
              <w:tc>
                <w:tcPr>
                  <w:tcW w:w="1476" w:type="pct"/>
                  <w:noWrap w:val="0"/>
                  <w:vAlign w:val="center"/>
                </w:tcPr>
                <w:p w14:paraId="3BD97819">
                  <w:pPr>
                    <w:keepNext w:val="0"/>
                    <w:keepLines w:val="0"/>
                    <w:suppressLineNumbers w:val="0"/>
                    <w:spacing w:before="0" w:beforeAutospacing="0" w:after="0" w:afterAutospacing="0" w:line="240" w:lineRule="auto"/>
                    <w:ind w:left="0" w:right="0"/>
                    <w:rPr>
                      <w:rFonts w:hint="eastAsia" w:ascii="Times New Roman" w:hAnsi="Times New Roman" w:eastAsia="宋体"/>
                      <w:color w:val="auto"/>
                      <w:spacing w:val="0"/>
                      <w:w w:val="100"/>
                      <w:position w:val="0"/>
                      <w:sz w:val="21"/>
                      <w:szCs w:val="16"/>
                      <w:highlight w:val="none"/>
                      <w:u w:val="none" w:color="auto"/>
                      <w:lang w:eastAsia="zh-CN"/>
                    </w:rPr>
                  </w:pPr>
                  <w:r>
                    <w:rPr>
                      <w:rFonts w:hint="eastAsia" w:ascii="Times New Roman" w:hAnsi="Times New Roman" w:eastAsia="宋体"/>
                      <w:color w:val="auto"/>
                      <w:spacing w:val="0"/>
                      <w:w w:val="100"/>
                      <w:position w:val="0"/>
                      <w:sz w:val="21"/>
                      <w:szCs w:val="16"/>
                      <w:highlight w:val="none"/>
                      <w:u w:val="none" w:color="auto"/>
                      <w:lang w:val="en-US" w:eastAsia="zh-CN"/>
                    </w:rPr>
                    <w:t>符</w:t>
                  </w:r>
                  <w:r>
                    <w:rPr>
                      <w:rFonts w:hint="eastAsia" w:ascii="Times New Roman" w:hAnsi="Times New Roman" w:eastAsia="宋体" w:cs="Times New Roman"/>
                      <w:color w:val="auto"/>
                      <w:spacing w:val="0"/>
                      <w:w w:val="100"/>
                      <w:position w:val="0"/>
                      <w:sz w:val="21"/>
                      <w:szCs w:val="16"/>
                      <w:highlight w:val="none"/>
                      <w:u w:val="none" w:color="auto"/>
                      <w:lang w:val="en-US" w:eastAsia="zh-CN"/>
                    </w:rPr>
                    <w:t>合。</w:t>
                  </w:r>
                  <w:r>
                    <w:rPr>
                      <w:rFonts w:hint="eastAsia" w:ascii="Times New Roman" w:hAnsi="Times New Roman" w:eastAsia="宋体"/>
                      <w:color w:val="auto"/>
                      <w:spacing w:val="0"/>
                      <w:w w:val="100"/>
                      <w:position w:val="0"/>
                      <w:sz w:val="21"/>
                      <w:szCs w:val="21"/>
                      <w:highlight w:val="none"/>
                      <w:u w:val="none" w:color="auto"/>
                      <w:lang w:val="en-US" w:eastAsia="zh-CN"/>
                    </w:rPr>
                    <w:t>施工船舶含油污水、船舶生活污水收集后委托有资质单位处置。</w:t>
                  </w:r>
                </w:p>
              </w:tc>
            </w:tr>
            <w:tr w14:paraId="4208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noWrap w:val="0"/>
                  <w:vAlign w:val="center"/>
                </w:tcPr>
                <w:p w14:paraId="0B478472">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88" w:lineRule="auto"/>
                    <w:ind w:left="0" w:right="0"/>
                    <w:jc w:val="center"/>
                    <w:textAlignment w:val="baseline"/>
                    <w:rPr>
                      <w:rFonts w:hint="eastAsia" w:ascii="Times New Roman" w:hAnsi="Times New Roman" w:eastAsia="宋体"/>
                      <w:color w:val="auto"/>
                      <w:spacing w:val="0"/>
                      <w:w w:val="100"/>
                      <w:position w:val="0"/>
                      <w:sz w:val="21"/>
                      <w:szCs w:val="21"/>
                      <w:highlight w:val="none"/>
                      <w:u w:val="none" w:color="auto"/>
                      <w:vertAlign w:val="baseline"/>
                      <w:lang w:val="en-US" w:eastAsia="zh-CN"/>
                    </w:rPr>
                  </w:pPr>
                  <w:r>
                    <w:rPr>
                      <w:rFonts w:hint="eastAsia" w:ascii="Times New Roman" w:hAnsi="Times New Roman" w:eastAsia="宋体"/>
                      <w:color w:val="auto"/>
                      <w:spacing w:val="0"/>
                      <w:w w:val="100"/>
                      <w:position w:val="0"/>
                      <w:sz w:val="21"/>
                      <w:szCs w:val="21"/>
                      <w:highlight w:val="none"/>
                      <w:u w:val="none" w:color="auto"/>
                      <w:vertAlign w:val="baseline"/>
                      <w:lang w:val="en-US" w:eastAsia="zh-CN"/>
                    </w:rPr>
                    <w:t>8</w:t>
                  </w:r>
                </w:p>
              </w:tc>
              <w:tc>
                <w:tcPr>
                  <w:tcW w:w="3294" w:type="pct"/>
                  <w:noWrap w:val="0"/>
                  <w:vAlign w:val="center"/>
                </w:tcPr>
                <w:p w14:paraId="35A12388">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88" w:lineRule="auto"/>
                    <w:ind w:left="0" w:right="0"/>
                    <w:jc w:val="both"/>
                    <w:textAlignment w:val="baseline"/>
                    <w:rPr>
                      <w:rFonts w:hint="eastAsia" w:ascii="Times New Roman" w:hAnsi="Times New Roman" w:eastAsia="宋体"/>
                      <w:color w:val="auto"/>
                      <w:spacing w:val="0"/>
                      <w:w w:val="100"/>
                      <w:position w:val="0"/>
                      <w:sz w:val="21"/>
                      <w:szCs w:val="21"/>
                      <w:highlight w:val="none"/>
                      <w:u w:val="none" w:color="auto"/>
                      <w:vertAlign w:val="baseline"/>
                      <w:lang w:val="en-US" w:eastAsia="zh-CN"/>
                    </w:rPr>
                  </w:pPr>
                  <w:r>
                    <w:rPr>
                      <w:rFonts w:hint="eastAsia" w:ascii="Times New Roman" w:hAnsi="Times New Roman" w:eastAsia="宋体"/>
                      <w:color w:val="auto"/>
                      <w:spacing w:val="0"/>
                      <w:w w:val="100"/>
                      <w:position w:val="0"/>
                      <w:sz w:val="21"/>
                      <w:szCs w:val="21"/>
                      <w:highlight w:val="none"/>
                      <w:u w:val="none" w:color="auto"/>
                      <w:vertAlign w:val="baseline"/>
                      <w:lang w:val="en-US" w:eastAsia="zh-CN"/>
                    </w:rPr>
                    <w:t>建立健全生态环境长期监测体系。建立涵盖水、生态、大气等要素的常态化监测体系，在港区及周边建立红树林、珊瑚礁、海草床生态系统及其生境和中华白海豚、中国鲎等重要保护物种及其栖息地的长期跟踪监测体系，系统评估港口开发对典型生态系统、重要保护物种的影响，必要时强化生态环境保护措施、优化施工运营管理措施或调整《规划》内容等。</w:t>
                  </w:r>
                </w:p>
              </w:tc>
              <w:tc>
                <w:tcPr>
                  <w:tcW w:w="1476" w:type="pct"/>
                  <w:noWrap w:val="0"/>
                  <w:vAlign w:val="center"/>
                </w:tcPr>
                <w:p w14:paraId="0A352D84">
                  <w:pPr>
                    <w:keepNext w:val="0"/>
                    <w:keepLines w:val="0"/>
                    <w:suppressLineNumbers w:val="0"/>
                    <w:bidi w:val="0"/>
                    <w:spacing w:before="0" w:beforeAutospacing="0" w:after="0" w:afterAutospacing="0" w:line="240" w:lineRule="auto"/>
                    <w:ind w:left="0" w:right="0"/>
                    <w:rPr>
                      <w:rFonts w:hint="default" w:ascii="Times New Roman" w:hAnsi="Times New Roman" w:eastAsia="宋体"/>
                      <w:color w:val="auto"/>
                      <w:spacing w:val="0"/>
                      <w:w w:val="100"/>
                      <w:position w:val="0"/>
                      <w:sz w:val="21"/>
                      <w:szCs w:val="16"/>
                      <w:highlight w:val="none"/>
                      <w:u w:val="none" w:color="auto"/>
                      <w:lang w:val="en-US" w:eastAsia="zh-CN"/>
                    </w:rPr>
                  </w:pPr>
                  <w:r>
                    <w:rPr>
                      <w:rFonts w:hint="eastAsia" w:ascii="Times New Roman" w:hAnsi="Times New Roman" w:eastAsia="宋体"/>
                      <w:color w:val="auto"/>
                      <w:spacing w:val="0"/>
                      <w:w w:val="100"/>
                      <w:position w:val="0"/>
                      <w:sz w:val="21"/>
                      <w:szCs w:val="16"/>
                      <w:highlight w:val="none"/>
                      <w:u w:val="none" w:color="auto"/>
                      <w:lang w:val="en-US" w:eastAsia="zh-CN"/>
                    </w:rPr>
                    <w:t>符合。本项目为港池维护性疏浚，项目无营运期，施工期结束后对区域进行生态补偿。</w:t>
                  </w:r>
                </w:p>
              </w:tc>
            </w:tr>
          </w:tbl>
          <w:p w14:paraId="383F3F5A">
            <w:pPr>
              <w:pStyle w:val="9"/>
              <w:rPr>
                <w:rFonts w:hint="default" w:eastAsia="宋体"/>
                <w:color w:val="auto"/>
                <w:highlight w:val="none"/>
                <w:lang w:val="en-US" w:eastAsia="zh-CN"/>
              </w:rPr>
            </w:pPr>
          </w:p>
        </w:tc>
      </w:tr>
      <w:tr w14:paraId="23C774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32" w:type="dxa"/>
            <w:noWrap w:val="0"/>
            <w:vAlign w:val="center"/>
          </w:tcPr>
          <w:p w14:paraId="63754DCB">
            <w:pPr>
              <w:autoSpaceDE w:val="0"/>
              <w:autoSpaceDN w:val="0"/>
              <w:adjustRightInd w:val="0"/>
              <w:snapToGrid w:val="0"/>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其他符合性分析</w:t>
            </w:r>
          </w:p>
        </w:tc>
        <w:tc>
          <w:tcPr>
            <w:tcW w:w="6838" w:type="dxa"/>
            <w:gridSpan w:val="3"/>
            <w:noWrap w:val="0"/>
            <w:vAlign w:val="center"/>
          </w:tcPr>
          <w:p w14:paraId="29DDBC5B">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line="360" w:lineRule="auto"/>
              <w:ind w:leftChars="0"/>
              <w:textAlignment w:val="auto"/>
              <w:rPr>
                <w:rFonts w:ascii="Times New Roman" w:hAnsi="Times New Roman" w:eastAsia="宋体" w:cs="Times New Roman"/>
                <w:b/>
                <w:color w:val="auto"/>
                <w:kern w:val="0"/>
                <w:sz w:val="28"/>
                <w:szCs w:val="28"/>
                <w:highlight w:val="none"/>
              </w:rPr>
            </w:pPr>
            <w:r>
              <w:rPr>
                <w:rFonts w:hint="eastAsia" w:ascii="Times New Roman" w:hAnsi="Times New Roman" w:eastAsia="宋体" w:cs="Times New Roman"/>
                <w:b/>
                <w:color w:val="auto"/>
                <w:kern w:val="0"/>
                <w:sz w:val="28"/>
                <w:szCs w:val="28"/>
                <w:highlight w:val="none"/>
                <w:lang w:val="en-US" w:eastAsia="zh-CN"/>
              </w:rPr>
              <w:t>1.2.1</w:t>
            </w:r>
            <w:r>
              <w:rPr>
                <w:rFonts w:ascii="Times New Roman" w:hAnsi="Times New Roman" w:eastAsia="宋体" w:cs="Times New Roman"/>
                <w:b/>
                <w:color w:val="auto"/>
                <w:kern w:val="0"/>
                <w:sz w:val="28"/>
                <w:szCs w:val="28"/>
                <w:highlight w:val="none"/>
              </w:rPr>
              <w:t>产业政策符合性分析</w:t>
            </w:r>
          </w:p>
          <w:p w14:paraId="5937A5CA">
            <w:pPr>
              <w:autoSpaceDE w:val="0"/>
              <w:autoSpaceDN w:val="0"/>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本项目为</w:t>
            </w:r>
            <w:r>
              <w:rPr>
                <w:rFonts w:hint="eastAsia"/>
                <w:color w:val="auto"/>
                <w:sz w:val="24"/>
                <w:highlight w:val="none"/>
                <w:lang w:eastAsia="zh-CN"/>
              </w:rPr>
              <w:t>码头港池及回旋水域疏浚工程</w:t>
            </w:r>
            <w:r>
              <w:rPr>
                <w:rFonts w:hint="eastAsia"/>
                <w:color w:val="auto"/>
                <w:sz w:val="24"/>
                <w:highlight w:val="none"/>
              </w:rPr>
              <w:t>，不属于《国家产业结构调整指导目录（2024年本）》中鼓励类、限制类、淘汰类，</w:t>
            </w:r>
            <w:r>
              <w:rPr>
                <w:rFonts w:hint="eastAsia"/>
                <w:color w:val="auto"/>
                <w:sz w:val="24"/>
                <w:highlight w:val="none"/>
                <w:lang w:eastAsia="zh-CN"/>
              </w:rPr>
              <w:t>属于允许类项目。本项目已在广西投资项目在线审批监管平台备案（详见附件</w:t>
            </w:r>
            <w:r>
              <w:rPr>
                <w:rFonts w:hint="eastAsia"/>
                <w:color w:val="auto"/>
                <w:sz w:val="24"/>
                <w:highlight w:val="none"/>
                <w:lang w:val="en-US" w:eastAsia="zh-CN"/>
              </w:rPr>
              <w:t>2</w:t>
            </w:r>
            <w:r>
              <w:rPr>
                <w:rFonts w:hint="eastAsia"/>
                <w:color w:val="auto"/>
                <w:sz w:val="24"/>
                <w:highlight w:val="none"/>
                <w:lang w:eastAsia="zh-CN"/>
              </w:rPr>
              <w:t>），项目代码为：</w:t>
            </w:r>
            <w:r>
              <w:rPr>
                <w:rFonts w:hint="eastAsia"/>
                <w:color w:val="auto"/>
                <w:sz w:val="24"/>
                <w:highlight w:val="none"/>
                <w:lang w:val="en-US" w:eastAsia="zh-CN"/>
              </w:rPr>
              <w:t>2511-450704-04-05-565704</w:t>
            </w:r>
            <w:r>
              <w:rPr>
                <w:rFonts w:hint="eastAsia"/>
                <w:color w:val="auto"/>
                <w:sz w:val="24"/>
                <w:highlight w:val="none"/>
              </w:rPr>
              <w:t>。</w:t>
            </w:r>
            <w:r>
              <w:rPr>
                <w:rFonts w:hint="eastAsia"/>
                <w:color w:val="auto"/>
                <w:sz w:val="24"/>
                <w:highlight w:val="none"/>
                <w:lang w:eastAsia="zh-CN"/>
              </w:rPr>
              <w:t>项目</w:t>
            </w:r>
            <w:r>
              <w:rPr>
                <w:rFonts w:hint="eastAsia"/>
                <w:color w:val="auto"/>
                <w:sz w:val="24"/>
                <w:highlight w:val="none"/>
              </w:rPr>
              <w:t>建设符合</w:t>
            </w:r>
            <w:r>
              <w:rPr>
                <w:rFonts w:hint="eastAsia"/>
                <w:color w:val="auto"/>
                <w:sz w:val="24"/>
                <w:highlight w:val="none"/>
                <w:lang w:eastAsia="zh-CN"/>
              </w:rPr>
              <w:t>国家产业结构调整目录</w:t>
            </w:r>
            <w:r>
              <w:rPr>
                <w:rFonts w:hint="eastAsia"/>
                <w:color w:val="auto"/>
                <w:sz w:val="24"/>
                <w:highlight w:val="none"/>
              </w:rPr>
              <w:t>。</w:t>
            </w:r>
          </w:p>
          <w:p w14:paraId="7E1FC57B">
            <w:pPr>
              <w:autoSpaceDE w:val="0"/>
              <w:autoSpaceDN w:val="0"/>
              <w:adjustRightInd w:val="0"/>
              <w:snapToGrid w:val="0"/>
              <w:spacing w:line="360" w:lineRule="auto"/>
              <w:rPr>
                <w:rFonts w:hint="eastAsia" w:ascii="Times New Roman" w:hAnsi="Times New Roman" w:eastAsia="宋体" w:cs="Times New Roman"/>
                <w:b/>
                <w:color w:val="auto"/>
                <w:kern w:val="0"/>
                <w:sz w:val="28"/>
                <w:szCs w:val="28"/>
                <w:highlight w:val="none"/>
                <w:lang w:eastAsia="zh-CN"/>
              </w:rPr>
            </w:pPr>
            <w:r>
              <w:rPr>
                <w:rFonts w:hint="eastAsia" w:ascii="Times New Roman" w:hAnsi="Times New Roman" w:eastAsia="宋体" w:cs="Times New Roman"/>
                <w:b/>
                <w:color w:val="auto"/>
                <w:kern w:val="0"/>
                <w:sz w:val="28"/>
                <w:szCs w:val="28"/>
                <w:highlight w:val="none"/>
                <w:lang w:val="en-US" w:eastAsia="zh-CN"/>
              </w:rPr>
              <w:t>1.2.2</w:t>
            </w:r>
            <w:r>
              <w:rPr>
                <w:rFonts w:hint="eastAsia" w:ascii="Times New Roman" w:hAnsi="Times New Roman" w:eastAsia="宋体" w:cs="Times New Roman"/>
                <w:b/>
                <w:color w:val="auto"/>
                <w:kern w:val="0"/>
                <w:sz w:val="28"/>
                <w:szCs w:val="28"/>
                <w:highlight w:val="none"/>
                <w:lang w:eastAsia="zh-CN"/>
              </w:rPr>
              <w:t>“三线一单”分区管控意见相符性分析</w:t>
            </w:r>
          </w:p>
          <w:p w14:paraId="3F61363A">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2024年8月广西壮族自治区生态环境厅《广西壮族自治区生态环境厅关于印发实施广西壮族自治区生态环境分区管控动态更新成果（2023年）的通知》（桂环规范〔2024〕3号）、钦州市生态环境局关于印发《钦州市生态环境分区管控动态更新成果》（2023版）的通知相关要求，分析论证项目与生态环境分区管控要求的相符性。</w:t>
            </w:r>
          </w:p>
          <w:p w14:paraId="350EB3AC">
            <w:pPr>
              <w:numPr>
                <w:ilvl w:val="0"/>
                <w:numId w:val="4"/>
              </w:numPr>
              <w:autoSpaceDE w:val="0"/>
              <w:autoSpaceDN w:val="0"/>
              <w:adjustRightInd w:val="0"/>
              <w:snapToGrid w:val="0"/>
              <w:spacing w:line="360" w:lineRule="auto"/>
              <w:ind w:firstLine="482"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广西壮族自治区关于生态环境分区管控的实施意见</w:t>
            </w:r>
          </w:p>
          <w:p w14:paraId="520742C3">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①环境管控单元</w:t>
            </w:r>
          </w:p>
          <w:p w14:paraId="49DCEF65">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根据《广西壮族自治区人民政府关于实施</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三线一单</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生态环境分区管控的意见》（桂政发〔</w:t>
            </w:r>
            <w:r>
              <w:rPr>
                <w:rFonts w:hint="default" w:ascii="Times New Roman" w:hAnsi="Times New Roman" w:eastAsia="宋体" w:cs="Times New Roman"/>
                <w:color w:val="auto"/>
                <w:sz w:val="24"/>
                <w:highlight w:val="none"/>
                <w:lang w:val="en-US" w:eastAsia="zh-CN"/>
              </w:rPr>
              <w:t>2020</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39</w:t>
            </w:r>
            <w:r>
              <w:rPr>
                <w:rFonts w:hint="eastAsia" w:ascii="Times New Roman" w:hAnsi="Times New Roman" w:eastAsia="宋体" w:cs="Times New Roman"/>
                <w:color w:val="auto"/>
                <w:sz w:val="24"/>
                <w:highlight w:val="none"/>
                <w:lang w:val="en-US" w:eastAsia="zh-CN"/>
              </w:rPr>
              <w:t>号）广西壮族自治区将按照国土空间规划确定的生态保护红线、资源利用上线和生态环境部门确定的环境质量底线进行生态环境综合评价后所提出的管控要求，将全区行政区域从生态环境保护角度划分为优先保护单元、重点管控单元、一般管控单元三类环境管控单元。其中陆域环境管控单元分类如下：</w:t>
            </w:r>
          </w:p>
          <w:p w14:paraId="213D68C8">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优先保护单元主要包括生态保护红线、自然保护地、县级以上饮用水水源保护区、环境空气一类功能区等生态功能区域；重点管控单元主要包括工业园区、县级以上城镇中心城区及规划区、矿产开采区、港区等开发强度高、污染物排放强度大的区域，以及环境问题相对集中的区域；一般管控单元为优先保护单元、重点管控单元以外的区域。</w:t>
            </w:r>
          </w:p>
          <w:p w14:paraId="14E28012">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根据《广西壮族自治区生态环境厅关于印发实施广西壮族自治区生态环境分区管控动态更新成果（</w:t>
            </w:r>
            <w:r>
              <w:rPr>
                <w:rFonts w:hint="default" w:ascii="Times New Roman" w:hAnsi="Times New Roman" w:eastAsia="宋体" w:cs="Times New Roman"/>
                <w:color w:val="auto"/>
                <w:sz w:val="24"/>
                <w:highlight w:val="none"/>
                <w:lang w:val="en-US" w:eastAsia="zh-CN"/>
              </w:rPr>
              <w:t>2023</w:t>
            </w:r>
            <w:r>
              <w:rPr>
                <w:rFonts w:hint="eastAsia" w:ascii="Times New Roman" w:hAnsi="Times New Roman" w:eastAsia="宋体" w:cs="Times New Roman"/>
                <w:color w:val="auto"/>
                <w:sz w:val="24"/>
                <w:highlight w:val="none"/>
                <w:lang w:val="en-US" w:eastAsia="zh-CN"/>
              </w:rPr>
              <w:t>年）的通知》（桂环规范〔</w:t>
            </w:r>
            <w:r>
              <w:rPr>
                <w:rFonts w:hint="default" w:ascii="Times New Roman" w:hAnsi="Times New Roman" w:eastAsia="宋体" w:cs="Times New Roman"/>
                <w:color w:val="auto"/>
                <w:sz w:val="24"/>
                <w:highlight w:val="none"/>
                <w:lang w:val="en-US" w:eastAsia="zh-CN"/>
              </w:rPr>
              <w:t>2024</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号），全区陆域共划分为</w:t>
            </w:r>
            <w:r>
              <w:rPr>
                <w:rFonts w:hint="default" w:ascii="Times New Roman" w:hAnsi="Times New Roman" w:eastAsia="宋体" w:cs="Times New Roman"/>
                <w:color w:val="auto"/>
                <w:sz w:val="24"/>
                <w:highlight w:val="none"/>
                <w:lang w:val="en-US" w:eastAsia="zh-CN"/>
              </w:rPr>
              <w:t>1461</w:t>
            </w:r>
            <w:r>
              <w:rPr>
                <w:rFonts w:hint="eastAsia" w:ascii="Times New Roman" w:hAnsi="Times New Roman" w:eastAsia="宋体" w:cs="Times New Roman"/>
                <w:color w:val="auto"/>
                <w:sz w:val="24"/>
                <w:highlight w:val="none"/>
                <w:lang w:val="en-US" w:eastAsia="zh-CN"/>
              </w:rPr>
              <w:t>个环境管控单元。其中，优先保护单元</w:t>
            </w:r>
            <w:r>
              <w:rPr>
                <w:rFonts w:hint="default" w:ascii="Times New Roman" w:hAnsi="Times New Roman" w:eastAsia="宋体" w:cs="Times New Roman"/>
                <w:color w:val="auto"/>
                <w:sz w:val="24"/>
                <w:highlight w:val="none"/>
                <w:lang w:val="en-US" w:eastAsia="zh-CN"/>
              </w:rPr>
              <w:t>831</w:t>
            </w:r>
            <w:r>
              <w:rPr>
                <w:rFonts w:hint="eastAsia" w:ascii="Times New Roman" w:hAnsi="Times New Roman" w:eastAsia="宋体" w:cs="Times New Roman"/>
                <w:color w:val="auto"/>
                <w:sz w:val="24"/>
                <w:highlight w:val="none"/>
                <w:lang w:val="en-US" w:eastAsia="zh-CN"/>
              </w:rPr>
              <w:t>个，重点管控单元</w:t>
            </w:r>
            <w:r>
              <w:rPr>
                <w:rFonts w:hint="default" w:ascii="Times New Roman" w:hAnsi="Times New Roman" w:eastAsia="宋体" w:cs="Times New Roman"/>
                <w:color w:val="auto"/>
                <w:sz w:val="24"/>
                <w:highlight w:val="none"/>
                <w:lang w:val="en-US" w:eastAsia="zh-CN"/>
              </w:rPr>
              <w:t>519</w:t>
            </w:r>
            <w:r>
              <w:rPr>
                <w:rFonts w:hint="eastAsia" w:ascii="Times New Roman" w:hAnsi="Times New Roman" w:eastAsia="宋体" w:cs="Times New Roman"/>
                <w:color w:val="auto"/>
                <w:sz w:val="24"/>
                <w:highlight w:val="none"/>
                <w:lang w:val="en-US" w:eastAsia="zh-CN"/>
              </w:rPr>
              <w:t>个，一般管控单元</w:t>
            </w:r>
            <w:r>
              <w:rPr>
                <w:rFonts w:hint="default" w:ascii="Times New Roman" w:hAnsi="Times New Roman" w:eastAsia="宋体" w:cs="Times New Roman"/>
                <w:color w:val="auto"/>
                <w:sz w:val="24"/>
                <w:highlight w:val="none"/>
                <w:lang w:val="en-US" w:eastAsia="zh-CN"/>
              </w:rPr>
              <w:t>111</w:t>
            </w:r>
            <w:r>
              <w:rPr>
                <w:rFonts w:hint="eastAsia" w:ascii="Times New Roman" w:hAnsi="Times New Roman" w:eastAsia="宋体" w:cs="Times New Roman"/>
                <w:color w:val="auto"/>
                <w:sz w:val="24"/>
                <w:highlight w:val="none"/>
                <w:lang w:val="en-US" w:eastAsia="zh-CN"/>
              </w:rPr>
              <w:t>个。近岸海域共划分为</w:t>
            </w:r>
            <w:r>
              <w:rPr>
                <w:rFonts w:hint="default" w:ascii="Times New Roman" w:hAnsi="Times New Roman" w:eastAsia="宋体" w:cs="Times New Roman"/>
                <w:color w:val="auto"/>
                <w:sz w:val="24"/>
                <w:highlight w:val="none"/>
                <w:lang w:val="en-US" w:eastAsia="zh-CN"/>
              </w:rPr>
              <w:t>212</w:t>
            </w:r>
            <w:r>
              <w:rPr>
                <w:rFonts w:hint="eastAsia" w:ascii="Times New Roman" w:hAnsi="Times New Roman" w:eastAsia="宋体" w:cs="Times New Roman"/>
                <w:color w:val="auto"/>
                <w:sz w:val="24"/>
                <w:highlight w:val="none"/>
                <w:lang w:val="en-US" w:eastAsia="zh-CN"/>
              </w:rPr>
              <w:t>个环境管控单元。其中，优先保护单元</w:t>
            </w:r>
            <w:r>
              <w:rPr>
                <w:rFonts w:hint="default" w:ascii="Times New Roman" w:hAnsi="Times New Roman" w:eastAsia="宋体" w:cs="Times New Roman"/>
                <w:color w:val="auto"/>
                <w:sz w:val="24"/>
                <w:highlight w:val="none"/>
                <w:lang w:val="en-US" w:eastAsia="zh-CN"/>
              </w:rPr>
              <w:t>101</w:t>
            </w:r>
            <w:r>
              <w:rPr>
                <w:rFonts w:hint="eastAsia" w:ascii="Times New Roman" w:hAnsi="Times New Roman" w:eastAsia="宋体" w:cs="Times New Roman"/>
                <w:color w:val="auto"/>
                <w:sz w:val="24"/>
                <w:highlight w:val="none"/>
                <w:lang w:val="en-US" w:eastAsia="zh-CN"/>
              </w:rPr>
              <w:t>个，重点管控单元</w:t>
            </w:r>
            <w:r>
              <w:rPr>
                <w:rFonts w:hint="default" w:ascii="Times New Roman" w:hAnsi="Times New Roman" w:eastAsia="宋体" w:cs="Times New Roman"/>
                <w:color w:val="auto"/>
                <w:sz w:val="24"/>
                <w:highlight w:val="none"/>
                <w:lang w:val="en-US" w:eastAsia="zh-CN"/>
              </w:rPr>
              <w:t>72</w:t>
            </w:r>
            <w:r>
              <w:rPr>
                <w:rFonts w:hint="eastAsia" w:ascii="Times New Roman" w:hAnsi="Times New Roman" w:eastAsia="宋体" w:cs="Times New Roman"/>
                <w:color w:val="auto"/>
                <w:sz w:val="24"/>
                <w:highlight w:val="none"/>
                <w:lang w:val="en-US" w:eastAsia="zh-CN"/>
              </w:rPr>
              <w:t>个，一般管控单元</w:t>
            </w:r>
            <w:r>
              <w:rPr>
                <w:rFonts w:hint="default" w:ascii="Times New Roman" w:hAnsi="Times New Roman" w:eastAsia="宋体" w:cs="Times New Roman"/>
                <w:color w:val="auto"/>
                <w:sz w:val="24"/>
                <w:highlight w:val="none"/>
                <w:lang w:val="en-US" w:eastAsia="zh-CN"/>
              </w:rPr>
              <w:t>39</w:t>
            </w:r>
            <w:r>
              <w:rPr>
                <w:rFonts w:hint="eastAsia" w:ascii="Times New Roman" w:hAnsi="Times New Roman" w:eastAsia="宋体" w:cs="Times New Roman"/>
                <w:color w:val="auto"/>
                <w:sz w:val="24"/>
                <w:highlight w:val="none"/>
                <w:lang w:val="en-US" w:eastAsia="zh-CN"/>
              </w:rPr>
              <w:t>个。</w:t>
            </w:r>
          </w:p>
          <w:p w14:paraId="781159F5">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②生态准入负面清单</w:t>
            </w:r>
          </w:p>
          <w:p w14:paraId="15E81176">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根据《广西壮族自治区人民政府关于实施</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三线一单</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生态环境分区管控的意见》（桂政发〔</w:t>
            </w:r>
            <w:r>
              <w:rPr>
                <w:rFonts w:hint="default" w:ascii="Times New Roman" w:hAnsi="Times New Roman" w:eastAsia="宋体" w:cs="Times New Roman"/>
                <w:color w:val="auto"/>
                <w:sz w:val="24"/>
                <w:highlight w:val="none"/>
                <w:lang w:val="en-US" w:eastAsia="zh-CN"/>
              </w:rPr>
              <w:t>2020</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39</w:t>
            </w:r>
            <w:r>
              <w:rPr>
                <w:rFonts w:hint="eastAsia" w:ascii="Times New Roman" w:hAnsi="Times New Roman" w:eastAsia="宋体" w:cs="Times New Roman"/>
                <w:color w:val="auto"/>
                <w:sz w:val="24"/>
                <w:highlight w:val="none"/>
                <w:lang w:val="en-US" w:eastAsia="zh-CN"/>
              </w:rPr>
              <w:t>号），广西壮族自治区将以环境管控单元为基础，衔接区域发展战略、国土空间规划和生态功能定位，坚持目标导向和问题导向，从空间布局约束、污染物排放管控、环境风险防控和资源利用效率等方面明确生态环境准入要求，建立全区生态环境准入原则清单。陆域生态环境管控单元内环境准入要求如下：</w:t>
            </w:r>
          </w:p>
          <w:p w14:paraId="42414757">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Ⅰ</w:t>
            </w:r>
            <w:r>
              <w:rPr>
                <w:rFonts w:hint="eastAsia" w:ascii="Times New Roman" w:hAnsi="Times New Roman" w:eastAsia="宋体" w:cs="Times New Roman"/>
                <w:color w:val="auto"/>
                <w:sz w:val="24"/>
                <w:highlight w:val="none"/>
                <w:lang w:val="en-US" w:eastAsia="zh-CN"/>
              </w:rPr>
              <w:t>、优先保护单元</w:t>
            </w:r>
          </w:p>
          <w:p w14:paraId="23602042">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在陆域优先保护单元内，依法禁止或限制大规模、高强度的工业和城镇开发建设；单元内的开发建设活动须在符合法律法规和相关规划的前提下，按照保护优先的原则，避免损害所在单元的生态服务功能和生态产品质量；涉及生态保护红线的，按照国家和自治区相关规定进行管控；在功能受损的优先保护单元优先开展生态保护修复活动，恢复生态系统服务功能。</w:t>
            </w:r>
          </w:p>
          <w:p w14:paraId="07ED909D">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Ⅱ</w:t>
            </w:r>
            <w:r>
              <w:rPr>
                <w:rFonts w:hint="eastAsia" w:ascii="Times New Roman" w:hAnsi="Times New Roman" w:eastAsia="宋体" w:cs="Times New Roman"/>
                <w:color w:val="auto"/>
                <w:sz w:val="24"/>
                <w:highlight w:val="none"/>
                <w:lang w:val="en-US" w:eastAsia="zh-CN"/>
              </w:rPr>
              <w:t>、重点管控单元</w:t>
            </w:r>
          </w:p>
          <w:p w14:paraId="40D4571F">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在陆域重点管控单元内，根据单元内生态环境质量目标和资源环境管控要求，结合经济社会发展水平，按照差别化的生态环境准入要求，优化空间和产业布局，加强污染物排放控制和环境风险防控，不断提升资源利用效率，解决局部生态环境质量不达标、生态环境风险高的问题。</w:t>
            </w:r>
          </w:p>
          <w:p w14:paraId="6CB8F5A6">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Ⅲ</w:t>
            </w:r>
            <w:r>
              <w:rPr>
                <w:rFonts w:hint="eastAsia" w:ascii="Times New Roman" w:hAnsi="Times New Roman" w:eastAsia="宋体" w:cs="Times New Roman"/>
                <w:color w:val="auto"/>
                <w:sz w:val="24"/>
                <w:highlight w:val="none"/>
                <w:lang w:val="en-US" w:eastAsia="zh-CN"/>
              </w:rPr>
              <w:t>、一般管控单元</w:t>
            </w:r>
          </w:p>
          <w:p w14:paraId="1FB1BE45">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在陆域一般管控单元内，主要落实生态环境保护的基本要求。</w:t>
            </w:r>
          </w:p>
          <w:p w14:paraId="0427BC7D">
            <w:pPr>
              <w:numPr>
                <w:ilvl w:val="0"/>
                <w:numId w:val="4"/>
              </w:numPr>
              <w:autoSpaceDE w:val="0"/>
              <w:autoSpaceDN w:val="0"/>
              <w:adjustRightInd w:val="0"/>
              <w:snapToGrid w:val="0"/>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四大板块生态环境总体准入及管控相符性分析</w:t>
            </w:r>
          </w:p>
          <w:p w14:paraId="33ACC037">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全区建立</w:t>
            </w:r>
            <w:r>
              <w:rPr>
                <w:rFonts w:hint="default" w:ascii="Times New Roman" w:hAnsi="Times New Roman" w:eastAsia="宋体" w:cs="Times New Roman"/>
                <w:color w:val="auto"/>
                <w:sz w:val="24"/>
                <w:highlight w:val="none"/>
                <w:lang w:val="en-US" w:eastAsia="zh-CN"/>
              </w:rPr>
              <w:t>“1+4+14+1554”</w:t>
            </w:r>
            <w:r>
              <w:rPr>
                <w:rFonts w:hint="eastAsia" w:ascii="Times New Roman" w:hAnsi="Times New Roman" w:eastAsia="宋体" w:cs="Times New Roman"/>
                <w:color w:val="auto"/>
                <w:sz w:val="24"/>
                <w:highlight w:val="none"/>
                <w:lang w:val="en-US" w:eastAsia="zh-CN"/>
              </w:rPr>
              <w:t>生态环境准入清单管控体系，从空间布局约束、污染物排放管控、环境风险防控和资源开发利用效率等四个维度明确生态环境准入及管控要求。</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为全区生态环境总体准入及管控要求；</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为四大板块，包括北部湾经济区、左右江革命老区、西江经济带、桂林国际旅游胜地生态环境总体准入及管控要求；</w:t>
            </w:r>
            <w:r>
              <w:rPr>
                <w:rFonts w:hint="default" w:ascii="Times New Roman" w:hAnsi="Times New Roman" w:eastAsia="宋体" w:cs="Times New Roman"/>
                <w:color w:val="auto"/>
                <w:sz w:val="24"/>
                <w:highlight w:val="none"/>
                <w:lang w:val="en-US" w:eastAsia="zh-CN"/>
              </w:rPr>
              <w:t>“14”</w:t>
            </w:r>
            <w:r>
              <w:rPr>
                <w:rFonts w:hint="eastAsia"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lang w:val="en-US" w:eastAsia="zh-CN"/>
              </w:rPr>
              <w:t>14</w:t>
            </w:r>
            <w:r>
              <w:rPr>
                <w:rFonts w:hint="eastAsia" w:ascii="Times New Roman" w:hAnsi="Times New Roman" w:eastAsia="宋体" w:cs="Times New Roman"/>
                <w:color w:val="auto"/>
                <w:sz w:val="24"/>
                <w:highlight w:val="none"/>
                <w:lang w:val="en-US" w:eastAsia="zh-CN"/>
              </w:rPr>
              <w:t>个设区市生态环境准入及管控要求；</w:t>
            </w:r>
            <w:r>
              <w:rPr>
                <w:rFonts w:hint="default" w:ascii="Times New Roman" w:hAnsi="Times New Roman" w:eastAsia="宋体" w:cs="Times New Roman"/>
                <w:color w:val="auto"/>
                <w:sz w:val="24"/>
                <w:highlight w:val="none"/>
                <w:lang w:val="en-US" w:eastAsia="zh-CN"/>
              </w:rPr>
              <w:t>“1554”</w:t>
            </w:r>
            <w:r>
              <w:rPr>
                <w:rFonts w:hint="eastAsia" w:ascii="Times New Roman" w:hAnsi="Times New Roman" w:eastAsia="宋体" w:cs="Times New Roman"/>
                <w:color w:val="auto"/>
                <w:sz w:val="24"/>
                <w:highlight w:val="none"/>
                <w:lang w:val="en-US" w:eastAsia="zh-CN"/>
              </w:rPr>
              <w:t>为全区划分的环境管控单元生态环境准入及管控要求。按照分批、分级适时发布的原则，由自治区发布自治区及四大板块生态环境总体准入及管控要求。</w:t>
            </w:r>
          </w:p>
          <w:p w14:paraId="64FDD7A4">
            <w:pPr>
              <w:autoSpaceDE w:val="0"/>
              <w:autoSpaceDN w:val="0"/>
              <w:adjustRightInd w:val="0"/>
              <w:snapToGrid w:val="0"/>
              <w:spacing w:line="360" w:lineRule="auto"/>
              <w:ind w:firstLine="480" w:firstLineChars="200"/>
              <w:rPr>
                <w:rFonts w:hAnsi="宋体" w:cs="宋体"/>
                <w:color w:val="auto"/>
                <w:kern w:val="0"/>
                <w:sz w:val="24"/>
                <w:highlight w:val="none"/>
              </w:rPr>
            </w:pPr>
            <w:r>
              <w:rPr>
                <w:rFonts w:hint="eastAsia" w:ascii="Times New Roman" w:hAnsi="Times New Roman" w:eastAsia="宋体" w:cs="Times New Roman"/>
                <w:color w:val="auto"/>
                <w:sz w:val="24"/>
                <w:highlight w:val="none"/>
                <w:lang w:val="en-US" w:eastAsia="zh-CN"/>
              </w:rPr>
              <w:t>项目位于钦州市，属于北部湾经济区，项目与北部湾生态环境总体准入及管控要求符合性分析见下表。根据分析，项目在采取相关环保措施前提下，符合广西壮族自治区四大板块中北</w:t>
            </w:r>
            <w:r>
              <w:rPr>
                <w:rFonts w:hint="eastAsia" w:ascii="Times New Roman" w:hAnsi="Times New Roman" w:eastAsia="宋体" w:cs="Times New Roman"/>
                <w:color w:val="auto"/>
                <w:sz w:val="24"/>
                <w:highlight w:val="none"/>
                <w:u w:val="none"/>
                <w:lang w:val="en-US" w:eastAsia="zh-CN"/>
              </w:rPr>
              <w:t>部湾经济区生态环境总体准入及管控要求。</w:t>
            </w:r>
          </w:p>
        </w:tc>
      </w:tr>
    </w:tbl>
    <w:p w14:paraId="26A234EE">
      <w:pPr>
        <w:rPr>
          <w:color w:val="auto"/>
          <w:highlight w:val="none"/>
        </w:rPr>
      </w:pPr>
    </w:p>
    <w:p w14:paraId="42CB4AB1">
      <w:pPr>
        <w:rPr>
          <w:color w:val="auto"/>
          <w:highlight w:val="none"/>
        </w:rPr>
        <w:sectPr>
          <w:headerReference r:id="rId5" w:type="default"/>
          <w:footerReference r:id="rId6" w:type="default"/>
          <w:pgSz w:w="11906" w:h="16838"/>
          <w:pgMar w:top="1701" w:right="1531" w:bottom="1701" w:left="1531" w:header="851" w:footer="1077" w:gutter="0"/>
          <w:pgNumType w:start="1"/>
          <w:cols w:space="720" w:num="1"/>
          <w:docGrid w:linePitch="312" w:charSpace="0"/>
        </w:sect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14:paraId="5D74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9" w:hRule="atLeast"/>
        </w:trPr>
        <w:tc>
          <w:tcPr>
            <w:tcW w:w="13652" w:type="dxa"/>
            <w:noWrap w:val="0"/>
            <w:vAlign w:val="top"/>
          </w:tcPr>
          <w:p w14:paraId="69BB7CC6">
            <w:pPr>
              <w:widowControl/>
              <w:jc w:val="center"/>
              <w:rPr>
                <w:b/>
                <w:bCs/>
                <w:color w:val="auto"/>
                <w:szCs w:val="21"/>
                <w:highlight w:val="none"/>
                <w:u w:val="none"/>
              </w:rPr>
            </w:pPr>
            <w:r>
              <w:rPr>
                <w:b/>
                <w:bCs/>
                <w:color w:val="auto"/>
                <w:szCs w:val="21"/>
                <w:highlight w:val="none"/>
                <w:u w:val="none"/>
              </w:rPr>
              <w:t>表</w:t>
            </w:r>
            <w:r>
              <w:rPr>
                <w:rFonts w:hint="eastAsia"/>
                <w:b/>
                <w:bCs/>
                <w:color w:val="auto"/>
                <w:szCs w:val="21"/>
                <w:highlight w:val="none"/>
                <w:u w:val="none"/>
                <w:lang w:val="en-US" w:eastAsia="zh-CN"/>
              </w:rPr>
              <w:t>1.2-2</w:t>
            </w:r>
            <w:r>
              <w:rPr>
                <w:b/>
                <w:bCs/>
                <w:color w:val="auto"/>
                <w:szCs w:val="21"/>
                <w:highlight w:val="none"/>
                <w:u w:val="none"/>
              </w:rPr>
              <w:t>项目与</w:t>
            </w:r>
            <w:r>
              <w:rPr>
                <w:rFonts w:hint="eastAsia"/>
                <w:b/>
                <w:bCs/>
                <w:color w:val="auto"/>
                <w:szCs w:val="21"/>
                <w:highlight w:val="none"/>
                <w:u w:val="none"/>
                <w:lang w:val="en-US" w:eastAsia="zh-CN"/>
              </w:rPr>
              <w:t>北部湾经济区生态环境准入及管控要求</w:t>
            </w:r>
            <w:r>
              <w:rPr>
                <w:b/>
                <w:bCs/>
                <w:color w:val="auto"/>
                <w:szCs w:val="21"/>
                <w:highlight w:val="none"/>
                <w:u w:val="none"/>
              </w:rPr>
              <w:t>符合性分析</w:t>
            </w:r>
          </w:p>
          <w:tbl>
            <w:tblPr>
              <w:tblStyle w:val="45"/>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46"/>
              <w:gridCol w:w="9959"/>
              <w:gridCol w:w="1795"/>
              <w:gridCol w:w="615"/>
            </w:tblGrid>
            <w:tr w14:paraId="2031B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noWrap w:val="0"/>
                  <w:vAlign w:val="center"/>
                </w:tcPr>
                <w:p w14:paraId="13895931">
                  <w:pPr>
                    <w:adjustRightInd w:val="0"/>
                    <w:snapToGrid w:val="0"/>
                    <w:jc w:val="center"/>
                    <w:rPr>
                      <w:rFonts w:hint="default" w:eastAsia="宋体"/>
                      <w:b/>
                      <w:bCs/>
                      <w:color w:val="auto"/>
                      <w:szCs w:val="21"/>
                      <w:highlight w:val="none"/>
                      <w:u w:val="none"/>
                      <w:lang w:val="en-US" w:eastAsia="zh-CN"/>
                    </w:rPr>
                  </w:pPr>
                  <w:r>
                    <w:rPr>
                      <w:rFonts w:hint="eastAsia"/>
                      <w:b/>
                      <w:bCs/>
                      <w:color w:val="auto"/>
                      <w:szCs w:val="21"/>
                      <w:highlight w:val="none"/>
                      <w:u w:val="none"/>
                      <w:lang w:val="en-US" w:eastAsia="zh-CN"/>
                    </w:rPr>
                    <w:t>管控要求类别</w:t>
                  </w:r>
                </w:p>
              </w:tc>
              <w:tc>
                <w:tcPr>
                  <w:tcW w:w="3711" w:type="pct"/>
                  <w:noWrap w:val="0"/>
                  <w:vAlign w:val="center"/>
                </w:tcPr>
                <w:p w14:paraId="3931AB01">
                  <w:pPr>
                    <w:adjustRightInd w:val="0"/>
                    <w:snapToGrid w:val="0"/>
                    <w:jc w:val="center"/>
                    <w:rPr>
                      <w:rFonts w:hint="eastAsia"/>
                      <w:b/>
                      <w:bCs/>
                      <w:color w:val="auto"/>
                      <w:szCs w:val="21"/>
                      <w:highlight w:val="none"/>
                      <w:u w:val="none"/>
                    </w:rPr>
                  </w:pPr>
                  <w:r>
                    <w:rPr>
                      <w:rFonts w:hint="eastAsia"/>
                      <w:b/>
                      <w:bCs/>
                      <w:color w:val="auto"/>
                      <w:szCs w:val="21"/>
                      <w:highlight w:val="none"/>
                      <w:u w:val="none"/>
                    </w:rPr>
                    <w:t>禁止事项清单</w:t>
                  </w:r>
                </w:p>
              </w:tc>
              <w:tc>
                <w:tcPr>
                  <w:tcW w:w="669" w:type="pct"/>
                  <w:noWrap w:val="0"/>
                  <w:vAlign w:val="center"/>
                </w:tcPr>
                <w:p w14:paraId="667D8C44">
                  <w:pPr>
                    <w:adjustRightInd w:val="0"/>
                    <w:snapToGrid w:val="0"/>
                    <w:jc w:val="center"/>
                    <w:rPr>
                      <w:rFonts w:hint="eastAsia"/>
                      <w:b/>
                      <w:bCs/>
                      <w:color w:val="auto"/>
                      <w:szCs w:val="21"/>
                      <w:highlight w:val="none"/>
                      <w:u w:val="none"/>
                    </w:rPr>
                  </w:pPr>
                  <w:r>
                    <w:rPr>
                      <w:rFonts w:hint="eastAsia"/>
                      <w:b/>
                      <w:bCs/>
                      <w:color w:val="auto"/>
                      <w:szCs w:val="21"/>
                      <w:highlight w:val="none"/>
                      <w:u w:val="none"/>
                    </w:rPr>
                    <w:t>项目情况</w:t>
                  </w:r>
                </w:p>
              </w:tc>
              <w:tc>
                <w:tcPr>
                  <w:tcW w:w="229" w:type="pct"/>
                  <w:noWrap w:val="0"/>
                  <w:vAlign w:val="center"/>
                </w:tcPr>
                <w:p w14:paraId="78128F50">
                  <w:pPr>
                    <w:adjustRightInd w:val="0"/>
                    <w:snapToGrid w:val="0"/>
                    <w:jc w:val="center"/>
                    <w:rPr>
                      <w:rFonts w:hint="eastAsia"/>
                      <w:b/>
                      <w:bCs/>
                      <w:color w:val="auto"/>
                      <w:szCs w:val="21"/>
                      <w:highlight w:val="none"/>
                      <w:u w:val="none"/>
                    </w:rPr>
                  </w:pPr>
                  <w:r>
                    <w:rPr>
                      <w:rFonts w:hint="eastAsia"/>
                      <w:b/>
                      <w:bCs/>
                      <w:color w:val="auto"/>
                      <w:szCs w:val="21"/>
                      <w:highlight w:val="none"/>
                      <w:u w:val="none"/>
                    </w:rPr>
                    <w:t>符合性</w:t>
                  </w:r>
                </w:p>
              </w:tc>
            </w:tr>
            <w:tr w14:paraId="44D03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7C085DCB">
                  <w:pPr>
                    <w:pStyle w:val="223"/>
                    <w:widowControl w:val="0"/>
                    <w:jc w:val="center"/>
                    <w:rPr>
                      <w:rFonts w:hint="eastAsia"/>
                      <w:color w:val="auto"/>
                      <w:szCs w:val="21"/>
                      <w:highlight w:val="none"/>
                      <w:u w:val="none"/>
                    </w:rPr>
                  </w:pPr>
                  <w:r>
                    <w:rPr>
                      <w:rFonts w:hAnsi="宋体" w:eastAsia="宋体"/>
                      <w:color w:val="auto"/>
                      <w:kern w:val="2"/>
                      <w:sz w:val="21"/>
                      <w:highlight w:val="none"/>
                      <w:u w:val="none"/>
                      <w:lang w:bidi="ar-SA"/>
                    </w:rPr>
                    <w:t>空间布局约束</w:t>
                  </w:r>
                </w:p>
              </w:tc>
              <w:tc>
                <w:tcPr>
                  <w:tcW w:w="3711" w:type="pct"/>
                  <w:noWrap w:val="0"/>
                  <w:vAlign w:val="center"/>
                </w:tcPr>
                <w:p w14:paraId="5A8B1691">
                  <w:pPr>
                    <w:pStyle w:val="223"/>
                    <w:widowControl w:val="0"/>
                    <w:spacing w:line="240" w:lineRule="auto"/>
                    <w:jc w:val="both"/>
                    <w:rPr>
                      <w:rFonts w:hint="eastAsia"/>
                      <w:color w:val="auto"/>
                      <w:szCs w:val="21"/>
                      <w:highlight w:val="none"/>
                      <w:u w:val="none"/>
                    </w:rPr>
                  </w:pPr>
                  <w:r>
                    <w:rPr>
                      <w:rFonts w:eastAsia="宋体"/>
                      <w:color w:val="auto"/>
                      <w:kern w:val="2"/>
                      <w:sz w:val="21"/>
                      <w:highlight w:val="none"/>
                      <w:u w:val="none"/>
                      <w:lang w:bidi="ar-SA"/>
                    </w:rPr>
                    <w:t>1</w:t>
                  </w:r>
                  <w:r>
                    <w:rPr>
                      <w:rFonts w:hAnsi="宋体" w:eastAsia="宋体"/>
                      <w:color w:val="auto"/>
                      <w:kern w:val="2"/>
                      <w:sz w:val="21"/>
                      <w:highlight w:val="none"/>
                      <w:u w:val="none"/>
                      <w:lang w:bidi="ar-SA"/>
                    </w:rPr>
                    <w:t>．坚持高质量发展和高水平保护并重，引领广西高质量发展的重要增长极和成为具有区域影响力和带动力的重要增长极，建设宜居宜业宜游蓝色生态湾区。</w:t>
                  </w:r>
                </w:p>
              </w:tc>
              <w:tc>
                <w:tcPr>
                  <w:tcW w:w="669" w:type="pct"/>
                  <w:noWrap w:val="0"/>
                  <w:vAlign w:val="center"/>
                </w:tcPr>
                <w:p w14:paraId="07A25898">
                  <w:pPr>
                    <w:adjustRightInd w:val="0"/>
                    <w:snapToGrid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本项目不涉及。</w:t>
                  </w:r>
                </w:p>
              </w:tc>
              <w:tc>
                <w:tcPr>
                  <w:tcW w:w="229" w:type="pct"/>
                  <w:noWrap w:val="0"/>
                  <w:vAlign w:val="center"/>
                </w:tcPr>
                <w:p w14:paraId="7BE5A40C">
                  <w:pPr>
                    <w:adjustRightInd w:val="0"/>
                    <w:snapToGrid w:val="0"/>
                    <w:jc w:val="center"/>
                    <w:rPr>
                      <w:rFonts w:hint="eastAsia" w:eastAsia="宋体"/>
                      <w:color w:val="auto"/>
                      <w:szCs w:val="21"/>
                      <w:highlight w:val="none"/>
                      <w:u w:val="none"/>
                      <w:lang w:val="en-US" w:eastAsia="zh-CN"/>
                    </w:rPr>
                  </w:pPr>
                  <w:r>
                    <w:rPr>
                      <w:rFonts w:hint="eastAsia"/>
                      <w:color w:val="auto"/>
                      <w:szCs w:val="21"/>
                      <w:highlight w:val="none"/>
                      <w:u w:val="none"/>
                      <w:lang w:val="en-US" w:eastAsia="zh-CN"/>
                    </w:rPr>
                    <w:t>符合</w:t>
                  </w:r>
                </w:p>
              </w:tc>
            </w:tr>
            <w:tr w14:paraId="092D5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5C3AB031">
                  <w:pPr>
                    <w:pStyle w:val="223"/>
                    <w:widowControl w:val="0"/>
                    <w:jc w:val="both"/>
                    <w:rPr>
                      <w:color w:val="auto"/>
                      <w:highlight w:val="none"/>
                      <w:u w:val="none"/>
                    </w:rPr>
                  </w:pPr>
                </w:p>
              </w:tc>
              <w:tc>
                <w:tcPr>
                  <w:tcW w:w="3711" w:type="pct"/>
                  <w:noWrap w:val="0"/>
                  <w:vAlign w:val="center"/>
                </w:tcPr>
                <w:p w14:paraId="66EBA56F">
                  <w:pPr>
                    <w:pStyle w:val="223"/>
                    <w:widowControl w:val="0"/>
                    <w:spacing w:line="240" w:lineRule="auto"/>
                    <w:jc w:val="both"/>
                    <w:rPr>
                      <w:rFonts w:hint="eastAsia"/>
                      <w:color w:val="auto"/>
                      <w:szCs w:val="21"/>
                      <w:highlight w:val="none"/>
                      <w:u w:val="none"/>
                    </w:rPr>
                  </w:pPr>
                  <w:r>
                    <w:rPr>
                      <w:rFonts w:eastAsia="宋体"/>
                      <w:color w:val="auto"/>
                      <w:kern w:val="2"/>
                      <w:sz w:val="21"/>
                      <w:highlight w:val="none"/>
                      <w:u w:val="none"/>
                      <w:lang w:bidi="ar-SA"/>
                    </w:rPr>
                    <w:t>2</w:t>
                  </w:r>
                  <w:r>
                    <w:rPr>
                      <w:rFonts w:hAnsi="宋体" w:eastAsia="宋体"/>
                      <w:color w:val="auto"/>
                      <w:kern w:val="2"/>
                      <w:sz w:val="21"/>
                      <w:highlight w:val="none"/>
                      <w:u w:val="none"/>
                      <w:lang w:bidi="ar-SA"/>
                    </w:rPr>
                    <w:t>．实行严格的资源环境生态红线管控，合理开发和节约资源，加强对水源林、防护林、湿地等生态系统的保护与修复。</w:t>
                  </w:r>
                </w:p>
              </w:tc>
              <w:tc>
                <w:tcPr>
                  <w:tcW w:w="669" w:type="pct"/>
                  <w:noWrap w:val="0"/>
                  <w:vAlign w:val="center"/>
                </w:tcPr>
                <w:p w14:paraId="30FA33D2">
                  <w:pPr>
                    <w:widowControl w:val="0"/>
                    <w:jc w:val="center"/>
                    <w:rPr>
                      <w:rFonts w:hint="eastAsia"/>
                      <w:color w:val="auto"/>
                      <w:szCs w:val="21"/>
                      <w:highlight w:val="none"/>
                      <w:u w:val="none"/>
                    </w:rPr>
                  </w:pPr>
                  <w:r>
                    <w:rPr>
                      <w:rFonts w:hint="eastAsia"/>
                      <w:color w:val="auto"/>
                      <w:szCs w:val="21"/>
                      <w:highlight w:val="none"/>
                      <w:u w:val="none"/>
                      <w:lang w:val="en-US" w:eastAsia="zh-CN"/>
                    </w:rPr>
                    <w:t>本项目不涉及。</w:t>
                  </w:r>
                </w:p>
              </w:tc>
              <w:tc>
                <w:tcPr>
                  <w:tcW w:w="229" w:type="pct"/>
                  <w:noWrap w:val="0"/>
                  <w:vAlign w:val="center"/>
                </w:tcPr>
                <w:p w14:paraId="5041C991">
                  <w:pPr>
                    <w:widowControl w:val="0"/>
                    <w:jc w:val="center"/>
                    <w:rPr>
                      <w:rFonts w:hint="eastAsia"/>
                      <w:color w:val="auto"/>
                      <w:szCs w:val="21"/>
                      <w:highlight w:val="none"/>
                      <w:u w:val="none"/>
                    </w:rPr>
                  </w:pPr>
                  <w:r>
                    <w:rPr>
                      <w:rFonts w:hint="eastAsia"/>
                      <w:color w:val="auto"/>
                      <w:szCs w:val="21"/>
                      <w:highlight w:val="none"/>
                      <w:u w:val="none"/>
                      <w:lang w:val="en-US" w:eastAsia="zh-CN"/>
                    </w:rPr>
                    <w:t>符合</w:t>
                  </w:r>
                </w:p>
              </w:tc>
            </w:tr>
            <w:tr w14:paraId="43F23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6174199">
                  <w:pPr>
                    <w:pStyle w:val="223"/>
                    <w:widowControl w:val="0"/>
                    <w:jc w:val="both"/>
                    <w:rPr>
                      <w:color w:val="auto"/>
                      <w:highlight w:val="none"/>
                      <w:u w:val="none"/>
                    </w:rPr>
                  </w:pPr>
                </w:p>
              </w:tc>
              <w:tc>
                <w:tcPr>
                  <w:tcW w:w="3711" w:type="pct"/>
                  <w:noWrap w:val="0"/>
                  <w:vAlign w:val="center"/>
                </w:tcPr>
                <w:p w14:paraId="7846FA97">
                  <w:pPr>
                    <w:pStyle w:val="223"/>
                    <w:widowControl w:val="0"/>
                    <w:spacing w:line="240" w:lineRule="auto"/>
                    <w:jc w:val="both"/>
                    <w:rPr>
                      <w:rFonts w:eastAsia="宋体"/>
                      <w:color w:val="auto"/>
                      <w:kern w:val="2"/>
                      <w:sz w:val="21"/>
                      <w:highlight w:val="none"/>
                      <w:u w:val="none"/>
                      <w:lang w:bidi="ar-SA"/>
                    </w:rPr>
                  </w:pPr>
                  <w:r>
                    <w:rPr>
                      <w:rFonts w:eastAsia="宋体"/>
                      <w:color w:val="auto"/>
                      <w:kern w:val="2"/>
                      <w:sz w:val="21"/>
                      <w:highlight w:val="none"/>
                      <w:u w:val="none"/>
                      <w:lang w:bidi="ar-SA"/>
                    </w:rPr>
                    <w:t>3</w:t>
                  </w:r>
                  <w:r>
                    <w:rPr>
                      <w:rFonts w:hAnsi="宋体" w:eastAsia="宋体"/>
                      <w:color w:val="auto"/>
                      <w:kern w:val="2"/>
                      <w:sz w:val="21"/>
                      <w:highlight w:val="none"/>
                      <w:u w:val="none"/>
                      <w:lang w:bidi="ar-SA"/>
                    </w:rPr>
                    <w:t>．加大滨海湿地保护和修复力度，对红树林、珊瑚礁、海草床等重要海洋生态系统实行最严格的保护措施，加强珍稀濒危物种及重要海洋生态系统的生境保护。加强沿海防护林体系建设，加强对防城江、北仑河、钦江等重要江河源头区、湖库型饮用水源地等区域水土流失预防。推进互花米草防治。</w:t>
                  </w:r>
                </w:p>
              </w:tc>
              <w:tc>
                <w:tcPr>
                  <w:tcW w:w="669" w:type="pct"/>
                  <w:noWrap w:val="0"/>
                  <w:vAlign w:val="center"/>
                </w:tcPr>
                <w:p w14:paraId="6A208165">
                  <w:pPr>
                    <w:widowControl w:val="0"/>
                    <w:spacing w:line="240" w:lineRule="auto"/>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4EB7CA88">
                  <w:pPr>
                    <w:widowControl w:val="0"/>
                    <w:spacing w:line="240" w:lineRule="auto"/>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34992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236655AC">
                  <w:pPr>
                    <w:pStyle w:val="223"/>
                    <w:widowControl w:val="0"/>
                    <w:jc w:val="both"/>
                    <w:rPr>
                      <w:color w:val="auto"/>
                      <w:highlight w:val="none"/>
                      <w:u w:val="none"/>
                    </w:rPr>
                  </w:pPr>
                </w:p>
              </w:tc>
              <w:tc>
                <w:tcPr>
                  <w:tcW w:w="3711" w:type="pct"/>
                  <w:noWrap w:val="0"/>
                  <w:vAlign w:val="center"/>
                </w:tcPr>
                <w:p w14:paraId="0BE7EB69">
                  <w:pPr>
                    <w:pStyle w:val="223"/>
                    <w:widowControl w:val="0"/>
                    <w:spacing w:line="240" w:lineRule="auto"/>
                    <w:jc w:val="both"/>
                    <w:rPr>
                      <w:rFonts w:eastAsia="宋体"/>
                      <w:color w:val="auto"/>
                      <w:kern w:val="2"/>
                      <w:sz w:val="21"/>
                      <w:highlight w:val="none"/>
                      <w:u w:val="none"/>
                      <w:lang w:bidi="ar-SA"/>
                    </w:rPr>
                  </w:pPr>
                  <w:r>
                    <w:rPr>
                      <w:rFonts w:eastAsia="宋体"/>
                      <w:color w:val="auto"/>
                      <w:kern w:val="2"/>
                      <w:sz w:val="21"/>
                      <w:highlight w:val="none"/>
                      <w:u w:val="none"/>
                      <w:lang w:bidi="ar-SA"/>
                    </w:rPr>
                    <w:t>4</w:t>
                  </w:r>
                  <w:r>
                    <w:rPr>
                      <w:rFonts w:hAnsi="宋体" w:eastAsia="宋体"/>
                      <w:color w:val="auto"/>
                      <w:kern w:val="2"/>
                      <w:sz w:val="21"/>
                      <w:highlight w:val="none"/>
                      <w:u w:val="none"/>
                      <w:lang w:bidi="ar-SA"/>
                    </w:rPr>
                    <w:t>．严格围填海管控，</w:t>
                  </w:r>
                  <w:r>
                    <w:rPr>
                      <w:rFonts w:hAnsi="宋体" w:eastAsia="宋体"/>
                      <w:b w:val="0"/>
                      <w:bCs w:val="0"/>
                      <w:color w:val="auto"/>
                      <w:kern w:val="2"/>
                      <w:sz w:val="21"/>
                      <w:highlight w:val="none"/>
                      <w:u w:val="none"/>
                      <w:lang w:bidi="ar-SA"/>
                    </w:rPr>
                    <w:t>禁止在海域</w:t>
                  </w:r>
                  <w:r>
                    <w:rPr>
                      <w:rFonts w:hAnsi="宋体" w:eastAsia="宋体"/>
                      <w:color w:val="auto"/>
                      <w:kern w:val="2"/>
                      <w:sz w:val="21"/>
                      <w:highlight w:val="none"/>
                      <w:u w:val="none"/>
                      <w:lang w:bidi="ar-SA"/>
                    </w:rPr>
                    <w:t>内实施连岛行动。保护北部湾自然岸线，严格控制岸线利用项目准入门槛。合理有序开发利用滩涂资源。</w:t>
                  </w:r>
                </w:p>
              </w:tc>
              <w:tc>
                <w:tcPr>
                  <w:tcW w:w="669" w:type="pct"/>
                  <w:noWrap w:val="0"/>
                  <w:vAlign w:val="center"/>
                </w:tcPr>
                <w:p w14:paraId="34E9607B">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243836AE">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1F4DF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19160150">
                  <w:pPr>
                    <w:pStyle w:val="223"/>
                    <w:widowControl w:val="0"/>
                    <w:jc w:val="both"/>
                    <w:rPr>
                      <w:rFonts w:eastAsia="宋体"/>
                      <w:color w:val="auto"/>
                      <w:kern w:val="2"/>
                      <w:sz w:val="21"/>
                      <w:highlight w:val="none"/>
                      <w:u w:val="none"/>
                      <w:lang w:bidi="ar-SA"/>
                    </w:rPr>
                  </w:pPr>
                </w:p>
              </w:tc>
              <w:tc>
                <w:tcPr>
                  <w:tcW w:w="3711" w:type="pct"/>
                  <w:noWrap w:val="0"/>
                  <w:vAlign w:val="center"/>
                </w:tcPr>
                <w:p w14:paraId="3B0AFD67">
                  <w:pPr>
                    <w:shd w:val="clear" w:color="auto" w:fill="auto"/>
                    <w:adjustRightInd w:val="0"/>
                    <w:snapToGrid w:val="0"/>
                    <w:rPr>
                      <w:rFonts w:eastAsia="宋体"/>
                      <w:color w:val="auto"/>
                      <w:kern w:val="2"/>
                      <w:sz w:val="21"/>
                      <w:highlight w:val="none"/>
                      <w:u w:val="none"/>
                      <w:lang w:bidi="ar-SA"/>
                    </w:rPr>
                  </w:pPr>
                  <w:r>
                    <w:rPr>
                      <w:rFonts w:ascii="Times New Roman" w:hAnsi="Times New Roman" w:eastAsia="宋体" w:cs="Times New Roman"/>
                      <w:color w:val="auto"/>
                      <w:szCs w:val="21"/>
                      <w:highlight w:val="none"/>
                      <w:u w:val="none"/>
                    </w:rPr>
                    <w:t>5</w:t>
                  </w:r>
                  <w:r>
                    <w:rPr>
                      <w:rFonts w:ascii="Times New Roman" w:hAnsi="宋体" w:eastAsia="宋体" w:cs="Times New Roman"/>
                      <w:color w:val="auto"/>
                      <w:szCs w:val="21"/>
                      <w:highlight w:val="none"/>
                      <w:u w:val="none"/>
                    </w:rPr>
                    <w:t>．南流江流域、廉州湾海域超过环境承载力的县市区严格区域主要污染物管控要求，新改扩</w:t>
                  </w:r>
                  <w:r>
                    <w:rPr>
                      <w:rFonts w:hint="eastAsia" w:ascii="Times New Roman" w:hAnsi="Times New Roman" w:cs="Times New Roman"/>
                      <w:color w:val="auto"/>
                      <w:szCs w:val="21"/>
                      <w:highlight w:val="none"/>
                      <w:u w:val="none"/>
                      <w:lang w:eastAsia="zh-CN"/>
                    </w:rPr>
                    <w:t>“</w:t>
                  </w:r>
                  <w:r>
                    <w:rPr>
                      <w:rFonts w:ascii="Times New Roman" w:hAnsi="宋体" w:eastAsia="宋体" w:cs="Times New Roman"/>
                      <w:color w:val="auto"/>
                      <w:szCs w:val="21"/>
                      <w:highlight w:val="none"/>
                      <w:u w:val="none"/>
                    </w:rPr>
                    <w:t>两高</w:t>
                  </w:r>
                  <w:r>
                    <w:rPr>
                      <w:rFonts w:hint="eastAsia" w:ascii="Times New Roman" w:hAnsi="Times New Roman" w:cs="Times New Roman"/>
                      <w:color w:val="auto"/>
                      <w:szCs w:val="21"/>
                      <w:highlight w:val="none"/>
                      <w:u w:val="none"/>
                      <w:lang w:eastAsia="zh-CN"/>
                    </w:rPr>
                    <w:t>”</w:t>
                  </w:r>
                  <w:r>
                    <w:rPr>
                      <w:rFonts w:ascii="Times New Roman" w:hAnsi="宋体" w:eastAsia="宋体" w:cs="Times New Roman"/>
                      <w:color w:val="auto"/>
                      <w:szCs w:val="21"/>
                      <w:highlight w:val="none"/>
                      <w:u w:val="none"/>
                    </w:rPr>
                    <w:t>、重点行业建设项目实行主要污染物区域削减方案。廉州湾沿岸新设排污口选址必须符合《中华人民共和国海洋环境保护法》《</w:t>
                  </w:r>
                  <w:r>
                    <w:rPr>
                      <w:rFonts w:hint="eastAsia" w:hAnsi="宋体" w:cs="Times New Roman"/>
                      <w:color w:val="auto"/>
                      <w:szCs w:val="21"/>
                      <w:highlight w:val="none"/>
                      <w:u w:val="none"/>
                      <w:lang w:eastAsia="zh-CN"/>
                    </w:rPr>
                    <w:t>中华人民共和国防治陆源污染物污染损害海洋环境管理条例</w:t>
                  </w:r>
                  <w:r>
                    <w:rPr>
                      <w:rFonts w:ascii="Times New Roman" w:hAnsi="宋体" w:eastAsia="宋体" w:cs="Times New Roman"/>
                      <w:color w:val="auto"/>
                      <w:szCs w:val="21"/>
                      <w:highlight w:val="none"/>
                      <w:u w:val="none"/>
                    </w:rPr>
                    <w:t>》等有关规定。</w:t>
                  </w:r>
                </w:p>
              </w:tc>
              <w:tc>
                <w:tcPr>
                  <w:tcW w:w="669" w:type="pct"/>
                  <w:noWrap w:val="0"/>
                  <w:vAlign w:val="center"/>
                </w:tcPr>
                <w:p w14:paraId="0E100451">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56543068">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5E118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2A0AA9B3">
                  <w:pPr>
                    <w:pStyle w:val="223"/>
                    <w:widowControl w:val="0"/>
                    <w:jc w:val="both"/>
                    <w:rPr>
                      <w:rFonts w:eastAsia="宋体"/>
                      <w:color w:val="auto"/>
                      <w:kern w:val="2"/>
                      <w:sz w:val="21"/>
                      <w:highlight w:val="none"/>
                      <w:u w:val="none"/>
                      <w:lang w:bidi="ar-SA"/>
                    </w:rPr>
                  </w:pPr>
                </w:p>
              </w:tc>
              <w:tc>
                <w:tcPr>
                  <w:tcW w:w="3711" w:type="pct"/>
                  <w:noWrap w:val="0"/>
                  <w:vAlign w:val="center"/>
                </w:tcPr>
                <w:p w14:paraId="72F04281">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6</w:t>
                  </w:r>
                  <w:r>
                    <w:rPr>
                      <w:rFonts w:hAnsi="宋体" w:eastAsia="宋体"/>
                      <w:color w:val="auto"/>
                      <w:kern w:val="2"/>
                      <w:sz w:val="21"/>
                      <w:highlight w:val="none"/>
                      <w:u w:val="none"/>
                      <w:lang w:bidi="ar-SA"/>
                    </w:rPr>
                    <w:t>．依法依规推动落后产能有序退出。</w:t>
                  </w:r>
                </w:p>
              </w:tc>
              <w:tc>
                <w:tcPr>
                  <w:tcW w:w="669" w:type="pct"/>
                  <w:noWrap w:val="0"/>
                  <w:vAlign w:val="center"/>
                </w:tcPr>
                <w:p w14:paraId="35AB04DC">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655FA4D8">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3EF1C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0A402B6">
                  <w:pPr>
                    <w:pStyle w:val="223"/>
                    <w:widowControl w:val="0"/>
                    <w:jc w:val="both"/>
                    <w:rPr>
                      <w:rFonts w:eastAsia="宋体"/>
                      <w:color w:val="auto"/>
                      <w:kern w:val="2"/>
                      <w:sz w:val="21"/>
                      <w:highlight w:val="none"/>
                      <w:u w:val="none"/>
                      <w:lang w:bidi="ar-SA"/>
                    </w:rPr>
                  </w:pPr>
                </w:p>
              </w:tc>
              <w:tc>
                <w:tcPr>
                  <w:tcW w:w="3711" w:type="pct"/>
                  <w:noWrap w:val="0"/>
                  <w:vAlign w:val="center"/>
                </w:tcPr>
                <w:p w14:paraId="0E8D8DBA">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7</w:t>
                  </w:r>
                  <w:r>
                    <w:rPr>
                      <w:rFonts w:hAnsi="宋体" w:eastAsia="宋体"/>
                      <w:color w:val="auto"/>
                      <w:kern w:val="2"/>
                      <w:sz w:val="21"/>
                      <w:highlight w:val="none"/>
                      <w:u w:val="none"/>
                      <w:lang w:bidi="ar-SA"/>
                    </w:rPr>
                    <w:t>．</w:t>
                  </w:r>
                  <w:r>
                    <w:rPr>
                      <w:rFonts w:hAnsi="宋体" w:eastAsia="宋体"/>
                      <w:b w:val="0"/>
                      <w:bCs w:val="0"/>
                      <w:color w:val="auto"/>
                      <w:kern w:val="2"/>
                      <w:sz w:val="21"/>
                      <w:highlight w:val="none"/>
                      <w:u w:val="none"/>
                      <w:lang w:bidi="ar-SA"/>
                    </w:rPr>
                    <w:t>严禁占用</w:t>
                  </w:r>
                  <w:r>
                    <w:rPr>
                      <w:rFonts w:hAnsi="宋体" w:eastAsia="宋体"/>
                      <w:color w:val="auto"/>
                      <w:kern w:val="2"/>
                      <w:sz w:val="21"/>
                      <w:highlight w:val="none"/>
                      <w:u w:val="none"/>
                      <w:lang w:bidi="ar-SA"/>
                    </w:rPr>
                    <w:t>运河沿线两岸</w:t>
                  </w:r>
                  <w:r>
                    <w:rPr>
                      <w:rFonts w:eastAsia="宋体"/>
                      <w:color w:val="auto"/>
                      <w:kern w:val="2"/>
                      <w:sz w:val="21"/>
                      <w:highlight w:val="none"/>
                      <w:u w:val="none"/>
                      <w:lang w:bidi="ar-SA"/>
                    </w:rPr>
                    <w:t>1</w:t>
                  </w:r>
                  <w:r>
                    <w:rPr>
                      <w:rFonts w:hAnsi="宋体" w:eastAsia="宋体"/>
                      <w:color w:val="auto"/>
                      <w:kern w:val="2"/>
                      <w:sz w:val="21"/>
                      <w:highlight w:val="none"/>
                      <w:u w:val="none"/>
                      <w:lang w:bidi="ar-SA"/>
                    </w:rPr>
                    <w:t>公里范围内预留作为生态廊道的用地，科学规划平陆运河沿岸生态廊道空间和开发保护核心管制区。</w:t>
                  </w:r>
                </w:p>
              </w:tc>
              <w:tc>
                <w:tcPr>
                  <w:tcW w:w="669" w:type="pct"/>
                  <w:noWrap w:val="0"/>
                  <w:vAlign w:val="center"/>
                </w:tcPr>
                <w:p w14:paraId="49F972E0">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09514ACC">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1874A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5A38E6E6">
                  <w:pPr>
                    <w:pStyle w:val="223"/>
                    <w:widowControl w:val="0"/>
                    <w:jc w:val="both"/>
                    <w:rPr>
                      <w:rFonts w:eastAsia="宋体"/>
                      <w:color w:val="auto"/>
                      <w:kern w:val="2"/>
                      <w:sz w:val="21"/>
                      <w:highlight w:val="none"/>
                      <w:u w:val="none"/>
                      <w:lang w:bidi="ar-SA"/>
                    </w:rPr>
                  </w:pPr>
                </w:p>
              </w:tc>
              <w:tc>
                <w:tcPr>
                  <w:tcW w:w="3711" w:type="pct"/>
                  <w:noWrap w:val="0"/>
                  <w:vAlign w:val="center"/>
                </w:tcPr>
                <w:p w14:paraId="1843C02F">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8</w:t>
                  </w:r>
                  <w:r>
                    <w:rPr>
                      <w:rFonts w:hAnsi="宋体" w:eastAsia="宋体"/>
                      <w:color w:val="auto"/>
                      <w:kern w:val="2"/>
                      <w:sz w:val="21"/>
                      <w:highlight w:val="none"/>
                      <w:u w:val="none"/>
                      <w:lang w:bidi="ar-SA"/>
                    </w:rPr>
                    <w:t>．</w:t>
                  </w:r>
                  <w:r>
                    <w:rPr>
                      <w:rFonts w:hint="eastAsia" w:hAnsi="宋体"/>
                      <w:color w:val="auto"/>
                      <w:kern w:val="2"/>
                      <w:sz w:val="21"/>
                      <w:highlight w:val="none"/>
                      <w:u w:val="none"/>
                      <w:lang w:eastAsia="zh-CN" w:bidi="ar-SA"/>
                    </w:rPr>
                    <w:t>执行</w:t>
                  </w:r>
                  <w:r>
                    <w:rPr>
                      <w:rFonts w:hAnsi="宋体" w:eastAsia="宋体"/>
                      <w:color w:val="auto"/>
                      <w:kern w:val="2"/>
                      <w:sz w:val="21"/>
                      <w:highlight w:val="none"/>
                      <w:u w:val="none"/>
                      <w:lang w:bidi="ar-SA"/>
                    </w:rPr>
                    <w:t>平陆运河绿色工程防范管控重点清单、打造特色亮点清单，平陆运河绿色工程评估指标体系。</w:t>
                  </w:r>
                </w:p>
              </w:tc>
              <w:tc>
                <w:tcPr>
                  <w:tcW w:w="669" w:type="pct"/>
                  <w:noWrap w:val="0"/>
                  <w:vAlign w:val="center"/>
                </w:tcPr>
                <w:p w14:paraId="078D0927">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792D1247">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74C09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0161B464">
                  <w:pPr>
                    <w:pStyle w:val="223"/>
                    <w:widowControl w:val="0"/>
                    <w:jc w:val="center"/>
                    <w:rPr>
                      <w:rFonts w:hint="eastAsia"/>
                      <w:color w:val="auto"/>
                      <w:szCs w:val="21"/>
                      <w:highlight w:val="none"/>
                      <w:u w:val="single"/>
                    </w:rPr>
                  </w:pPr>
                  <w:r>
                    <w:rPr>
                      <w:rFonts w:hAnsi="宋体" w:eastAsia="宋体"/>
                      <w:color w:val="auto"/>
                      <w:kern w:val="2"/>
                      <w:sz w:val="21"/>
                      <w:highlight w:val="none"/>
                      <w:u w:val="none"/>
                      <w:lang w:bidi="ar-SA"/>
                    </w:rPr>
                    <w:t>污染物排放管控</w:t>
                  </w:r>
                </w:p>
              </w:tc>
              <w:tc>
                <w:tcPr>
                  <w:tcW w:w="3711" w:type="pct"/>
                  <w:noWrap w:val="0"/>
                  <w:vAlign w:val="center"/>
                </w:tcPr>
                <w:p w14:paraId="7A63C54E">
                  <w:pPr>
                    <w:pStyle w:val="223"/>
                    <w:widowControl w:val="0"/>
                    <w:jc w:val="both"/>
                    <w:rPr>
                      <w:rFonts w:hint="eastAsia" w:eastAsia="宋体"/>
                      <w:color w:val="auto"/>
                      <w:szCs w:val="21"/>
                      <w:highlight w:val="none"/>
                      <w:u w:val="single"/>
                      <w:lang w:eastAsia="zh-CN"/>
                    </w:rPr>
                  </w:pPr>
                  <w:r>
                    <w:rPr>
                      <w:rFonts w:eastAsia="宋体"/>
                      <w:color w:val="auto"/>
                      <w:kern w:val="2"/>
                      <w:sz w:val="21"/>
                      <w:highlight w:val="none"/>
                      <w:u w:val="none"/>
                      <w:lang w:bidi="ar-SA"/>
                    </w:rPr>
                    <w:t>1</w:t>
                  </w:r>
                  <w:r>
                    <w:rPr>
                      <w:rFonts w:hAnsi="宋体" w:eastAsia="宋体"/>
                      <w:color w:val="auto"/>
                      <w:kern w:val="2"/>
                      <w:sz w:val="21"/>
                      <w:highlight w:val="none"/>
                      <w:u w:val="none"/>
                      <w:lang w:bidi="ar-SA"/>
                    </w:rPr>
                    <w:t>．坚持陆海统筹，强化</w:t>
                  </w:r>
                  <w:r>
                    <w:rPr>
                      <w:rFonts w:hint="eastAsia" w:hAnsi="宋体"/>
                      <w:color w:val="auto"/>
                      <w:kern w:val="2"/>
                      <w:sz w:val="21"/>
                      <w:highlight w:val="none"/>
                      <w:u w:val="none"/>
                      <w:lang w:eastAsia="zh-CN" w:bidi="ar-SA"/>
                    </w:rPr>
                    <w:t>重点</w:t>
                  </w:r>
                  <w:r>
                    <w:rPr>
                      <w:rFonts w:hAnsi="宋体" w:eastAsia="宋体"/>
                      <w:color w:val="auto"/>
                      <w:kern w:val="2"/>
                      <w:sz w:val="21"/>
                      <w:highlight w:val="none"/>
                      <w:u w:val="none"/>
                      <w:lang w:bidi="ar-SA"/>
                    </w:rPr>
                    <w:t>海域、入海河流、海岸带的生态环境统筹协同管控，开展北部湾沿海城市生态环境综合治理。推行河长制、湖长制，持续推进钦江、南流江、九洲江等流域综合治理，鼓励施行生态养殖和清洁生产，从源头控制生产、生活污水排放。推行湾长制，协同推进近岸海域污染治理，实施蓝色海湾整治行动和北部湾入海河流综合治理工程，严格控制水产养殖污染、港口码头船舶污染、采沙污染</w:t>
                  </w:r>
                  <w:r>
                    <w:rPr>
                      <w:rFonts w:hint="eastAsia" w:hAnsi="宋体"/>
                      <w:color w:val="auto"/>
                      <w:kern w:val="2"/>
                      <w:sz w:val="21"/>
                      <w:highlight w:val="none"/>
                      <w:u w:val="none"/>
                      <w:lang w:eastAsia="zh-CN" w:bidi="ar-SA"/>
                    </w:rPr>
                    <w:t>。</w:t>
                  </w:r>
                </w:p>
              </w:tc>
              <w:tc>
                <w:tcPr>
                  <w:tcW w:w="669" w:type="pct"/>
                  <w:noWrap w:val="0"/>
                  <w:vAlign w:val="center"/>
                </w:tcPr>
                <w:p w14:paraId="34621E55">
                  <w:pPr>
                    <w:widowControl w:val="0"/>
                    <w:jc w:val="center"/>
                    <w:rPr>
                      <w:rFonts w:hint="eastAsia"/>
                      <w:color w:val="auto"/>
                      <w:szCs w:val="21"/>
                      <w:highlight w:val="none"/>
                      <w:u w:val="single"/>
                    </w:rPr>
                  </w:pPr>
                  <w:r>
                    <w:rPr>
                      <w:rFonts w:hint="eastAsia"/>
                      <w:color w:val="auto"/>
                      <w:szCs w:val="21"/>
                      <w:highlight w:val="none"/>
                      <w:u w:val="none"/>
                      <w:lang w:val="en-US" w:eastAsia="zh-CN"/>
                    </w:rPr>
                    <w:t>本项目不涉及。</w:t>
                  </w:r>
                </w:p>
              </w:tc>
              <w:tc>
                <w:tcPr>
                  <w:tcW w:w="229" w:type="pct"/>
                  <w:noWrap w:val="0"/>
                  <w:vAlign w:val="center"/>
                </w:tcPr>
                <w:p w14:paraId="44D6839B">
                  <w:pPr>
                    <w:widowControl w:val="0"/>
                    <w:jc w:val="center"/>
                    <w:rPr>
                      <w:rFonts w:hint="eastAsia"/>
                      <w:color w:val="auto"/>
                      <w:szCs w:val="21"/>
                      <w:highlight w:val="none"/>
                      <w:u w:val="single"/>
                    </w:rPr>
                  </w:pPr>
                  <w:r>
                    <w:rPr>
                      <w:rFonts w:hint="eastAsia"/>
                      <w:color w:val="auto"/>
                      <w:szCs w:val="21"/>
                      <w:highlight w:val="none"/>
                      <w:u w:val="none"/>
                      <w:lang w:val="en-US" w:eastAsia="zh-CN"/>
                    </w:rPr>
                    <w:t>符合</w:t>
                  </w:r>
                </w:p>
              </w:tc>
            </w:tr>
            <w:tr w14:paraId="73ACA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8A6AADB">
                  <w:pPr>
                    <w:pStyle w:val="223"/>
                    <w:widowControl w:val="0"/>
                    <w:jc w:val="both"/>
                    <w:rPr>
                      <w:color w:val="auto"/>
                      <w:highlight w:val="none"/>
                    </w:rPr>
                  </w:pPr>
                </w:p>
              </w:tc>
              <w:tc>
                <w:tcPr>
                  <w:tcW w:w="3711" w:type="pct"/>
                  <w:noWrap w:val="0"/>
                  <w:vAlign w:val="center"/>
                </w:tcPr>
                <w:p w14:paraId="5027F0B6">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2</w:t>
                  </w:r>
                  <w:r>
                    <w:rPr>
                      <w:rFonts w:hAnsi="宋体" w:eastAsia="宋体"/>
                      <w:color w:val="auto"/>
                      <w:kern w:val="2"/>
                      <w:sz w:val="21"/>
                      <w:highlight w:val="none"/>
                      <w:u w:val="none"/>
                      <w:lang w:bidi="ar-SA"/>
                    </w:rPr>
                    <w:t>．围绕建设蓝色海湾城市群，深入推进北钦防生态环境基础设施一体化，统筹推进北钦防三市生态环境齐保共治。加强港口码头环境保护基础设施建设，重点加强有色矿产、硫磺、煤等堆场配套环保设施建设。建立生态环境联防联治平台和机制，推动建立北部湾城市群跨行政区生态环境保护和生态补偿机制。</w:t>
                  </w:r>
                </w:p>
              </w:tc>
              <w:tc>
                <w:tcPr>
                  <w:tcW w:w="669" w:type="pct"/>
                  <w:noWrap w:val="0"/>
                  <w:vAlign w:val="center"/>
                </w:tcPr>
                <w:p w14:paraId="244A9409">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35A0A184">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4DF2F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EC7572D">
                  <w:pPr>
                    <w:pStyle w:val="223"/>
                    <w:widowControl w:val="0"/>
                    <w:jc w:val="both"/>
                    <w:rPr>
                      <w:rFonts w:eastAsia="宋体"/>
                      <w:color w:val="auto"/>
                      <w:kern w:val="2"/>
                      <w:sz w:val="21"/>
                      <w:highlight w:val="none"/>
                      <w:u w:val="none"/>
                      <w:lang w:bidi="ar-SA"/>
                    </w:rPr>
                  </w:pPr>
                </w:p>
              </w:tc>
              <w:tc>
                <w:tcPr>
                  <w:tcW w:w="3711" w:type="pct"/>
                  <w:noWrap w:val="0"/>
                  <w:vAlign w:val="center"/>
                </w:tcPr>
                <w:p w14:paraId="75391F39">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3</w:t>
                  </w:r>
                  <w:r>
                    <w:rPr>
                      <w:rFonts w:hAnsi="宋体" w:eastAsia="宋体"/>
                      <w:color w:val="auto"/>
                      <w:kern w:val="2"/>
                      <w:sz w:val="21"/>
                      <w:highlight w:val="none"/>
                      <w:u w:val="none"/>
                      <w:lang w:bidi="ar-SA"/>
                    </w:rPr>
                    <w:t>．推进区域大气污染联防联控。共同开展重点行业污染整治和重污染天气联合应对，加强挥发性有机化合物（</w:t>
                  </w:r>
                  <w:r>
                    <w:rPr>
                      <w:rFonts w:eastAsia="宋体"/>
                      <w:color w:val="auto"/>
                      <w:kern w:val="2"/>
                      <w:sz w:val="21"/>
                      <w:highlight w:val="none"/>
                      <w:u w:val="none"/>
                      <w:lang w:bidi="ar-SA"/>
                    </w:rPr>
                    <w:t>VOCs</w:t>
                  </w:r>
                  <w:r>
                    <w:rPr>
                      <w:rFonts w:hAnsi="宋体" w:eastAsia="宋体"/>
                      <w:color w:val="auto"/>
                      <w:kern w:val="2"/>
                      <w:sz w:val="21"/>
                      <w:highlight w:val="none"/>
                      <w:u w:val="none"/>
                      <w:lang w:bidi="ar-SA"/>
                    </w:rPr>
                    <w:t>）和氮氧化物（</w:t>
                  </w:r>
                  <w:r>
                    <w:rPr>
                      <w:rFonts w:eastAsia="宋体"/>
                      <w:color w:val="auto"/>
                      <w:kern w:val="2"/>
                      <w:sz w:val="21"/>
                      <w:highlight w:val="none"/>
                      <w:u w:val="none"/>
                      <w:lang w:bidi="ar-SA"/>
                    </w:rPr>
                    <w:t>NOx</w:t>
                  </w:r>
                  <w:r>
                    <w:rPr>
                      <w:rFonts w:hAnsi="宋体" w:eastAsia="宋体"/>
                      <w:color w:val="auto"/>
                      <w:kern w:val="2"/>
                      <w:sz w:val="21"/>
                      <w:highlight w:val="none"/>
                      <w:u w:val="none"/>
                      <w:lang w:bidi="ar-SA"/>
                    </w:rPr>
                    <w:t>）协同控制，协同应对区域多污染物，联合开展空气污染综合治理，改善空气质量。严格城市空气质量达标管理，改善城市环境空气质量，对大气质量改善进度进行监督和考核。</w:t>
                  </w:r>
                </w:p>
              </w:tc>
              <w:tc>
                <w:tcPr>
                  <w:tcW w:w="669" w:type="pct"/>
                  <w:noWrap w:val="0"/>
                  <w:vAlign w:val="center"/>
                </w:tcPr>
                <w:p w14:paraId="69F93480">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351CEEE8">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1A782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5FD6567">
                  <w:pPr>
                    <w:pStyle w:val="223"/>
                    <w:widowControl w:val="0"/>
                    <w:jc w:val="both"/>
                    <w:rPr>
                      <w:rFonts w:eastAsia="宋体"/>
                      <w:color w:val="auto"/>
                      <w:kern w:val="2"/>
                      <w:sz w:val="21"/>
                      <w:highlight w:val="none"/>
                      <w:u w:val="none"/>
                      <w:lang w:bidi="ar-SA"/>
                    </w:rPr>
                  </w:pPr>
                </w:p>
              </w:tc>
              <w:tc>
                <w:tcPr>
                  <w:tcW w:w="3711" w:type="pct"/>
                  <w:noWrap w:val="0"/>
                  <w:vAlign w:val="center"/>
                </w:tcPr>
                <w:p w14:paraId="783E67A3">
                  <w:pPr>
                    <w:pStyle w:val="223"/>
                    <w:widowControl w:val="0"/>
                    <w:jc w:val="both"/>
                    <w:rPr>
                      <w:rFonts w:hint="eastAsia" w:eastAsia="宋体"/>
                      <w:color w:val="auto"/>
                      <w:kern w:val="2"/>
                      <w:sz w:val="21"/>
                      <w:highlight w:val="none"/>
                      <w:u w:val="none"/>
                      <w:lang w:eastAsia="zh-CN" w:bidi="ar-SA"/>
                    </w:rPr>
                  </w:pPr>
                  <w:r>
                    <w:rPr>
                      <w:rFonts w:eastAsia="宋体"/>
                      <w:color w:val="auto"/>
                      <w:kern w:val="2"/>
                      <w:sz w:val="21"/>
                      <w:highlight w:val="none"/>
                      <w:u w:val="none"/>
                      <w:lang w:bidi="ar-SA"/>
                    </w:rPr>
                    <w:t>4</w:t>
                  </w:r>
                  <w:r>
                    <w:rPr>
                      <w:rFonts w:hAnsi="宋体" w:eastAsia="宋体"/>
                      <w:color w:val="auto"/>
                      <w:kern w:val="2"/>
                      <w:sz w:val="21"/>
                      <w:highlight w:val="none"/>
                      <w:u w:val="none"/>
                      <w:lang w:bidi="ar-SA"/>
                    </w:rPr>
                    <w:t>．严格控制</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两高</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行业项目布局和建设</w:t>
                  </w:r>
                  <w:r>
                    <w:rPr>
                      <w:rFonts w:hint="eastAsia" w:hAnsi="宋体"/>
                      <w:color w:val="auto"/>
                      <w:kern w:val="2"/>
                      <w:sz w:val="21"/>
                      <w:highlight w:val="none"/>
                      <w:u w:val="none"/>
                      <w:lang w:eastAsia="zh-CN" w:bidi="ar-SA"/>
                    </w:rPr>
                    <w:t>，</w:t>
                  </w:r>
                  <w:r>
                    <w:rPr>
                      <w:rFonts w:hAnsi="宋体" w:eastAsia="宋体"/>
                      <w:color w:val="auto"/>
                      <w:kern w:val="2"/>
                      <w:sz w:val="21"/>
                      <w:highlight w:val="none"/>
                      <w:u w:val="none"/>
                      <w:lang w:bidi="ar-SA"/>
                    </w:rPr>
                    <w:t>提升</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两高</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行业清洁生产和减污降碳水平。以碳达峰、碳中和愿景为导向，推动产业转型升级、能源结构优化。开展碳排放权、排污权交易试点。重点管控行业建设项目无主要污染物排放指标来源的，应提出有效的区域削减方案，确保项目投产后区域环境质量不恶化</w:t>
                  </w:r>
                  <w:r>
                    <w:rPr>
                      <w:rFonts w:hint="eastAsia" w:hAnsi="宋体"/>
                      <w:color w:val="auto"/>
                      <w:kern w:val="2"/>
                      <w:sz w:val="21"/>
                      <w:highlight w:val="none"/>
                      <w:u w:val="none"/>
                      <w:lang w:eastAsia="zh-CN" w:bidi="ar-SA"/>
                    </w:rPr>
                    <w:t>。</w:t>
                  </w:r>
                </w:p>
              </w:tc>
              <w:tc>
                <w:tcPr>
                  <w:tcW w:w="669" w:type="pct"/>
                  <w:noWrap w:val="0"/>
                  <w:vAlign w:val="center"/>
                </w:tcPr>
                <w:p w14:paraId="4BB08742">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6FC11734">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49B1C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CD6A995">
                  <w:pPr>
                    <w:pStyle w:val="223"/>
                    <w:widowControl w:val="0"/>
                    <w:jc w:val="both"/>
                    <w:rPr>
                      <w:rFonts w:eastAsia="宋体"/>
                      <w:color w:val="auto"/>
                      <w:kern w:val="2"/>
                      <w:sz w:val="21"/>
                      <w:highlight w:val="none"/>
                      <w:u w:val="none"/>
                      <w:lang w:bidi="ar-SA"/>
                    </w:rPr>
                  </w:pPr>
                </w:p>
              </w:tc>
              <w:tc>
                <w:tcPr>
                  <w:tcW w:w="3711" w:type="pct"/>
                  <w:noWrap w:val="0"/>
                  <w:vAlign w:val="center"/>
                </w:tcPr>
                <w:p w14:paraId="054C3AA3">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5</w:t>
                  </w:r>
                  <w:r>
                    <w:rPr>
                      <w:rFonts w:hAnsi="宋体" w:eastAsia="宋体"/>
                      <w:color w:val="auto"/>
                      <w:kern w:val="2"/>
                      <w:sz w:val="21"/>
                      <w:highlight w:val="none"/>
                      <w:u w:val="none"/>
                      <w:lang w:bidi="ar-SA"/>
                    </w:rPr>
                    <w:t>．</w:t>
                  </w:r>
                  <w:r>
                    <w:rPr>
                      <w:rFonts w:hint="eastAsia" w:hAnsi="宋体"/>
                      <w:color w:val="auto"/>
                      <w:kern w:val="2"/>
                      <w:sz w:val="21"/>
                      <w:highlight w:val="none"/>
                      <w:u w:val="none"/>
                      <w:lang w:eastAsia="zh-CN" w:bidi="ar-SA"/>
                    </w:rPr>
                    <w:t>以</w:t>
                  </w:r>
                  <w:r>
                    <w:rPr>
                      <w:rFonts w:hAnsi="宋体" w:eastAsia="宋体"/>
                      <w:color w:val="auto"/>
                      <w:kern w:val="2"/>
                      <w:sz w:val="21"/>
                      <w:highlight w:val="none"/>
                      <w:u w:val="none"/>
                      <w:lang w:bidi="ar-SA"/>
                    </w:rPr>
                    <w:t>平陆运河、北部湾港</w:t>
                  </w:r>
                  <w:r>
                    <w:rPr>
                      <w:rFonts w:hint="eastAsia" w:hAnsi="宋体"/>
                      <w:color w:val="auto"/>
                      <w:kern w:val="2"/>
                      <w:sz w:val="21"/>
                      <w:highlight w:val="none"/>
                      <w:u w:val="none"/>
                      <w:lang w:eastAsia="zh-CN" w:bidi="ar-SA"/>
                    </w:rPr>
                    <w:t>为重点，</w:t>
                  </w:r>
                  <w:r>
                    <w:rPr>
                      <w:rFonts w:hAnsi="宋体" w:eastAsia="宋体"/>
                      <w:color w:val="auto"/>
                      <w:kern w:val="2"/>
                      <w:sz w:val="21"/>
                      <w:highlight w:val="none"/>
                      <w:u w:val="none"/>
                      <w:lang w:bidi="ar-SA"/>
                    </w:rPr>
                    <w:t>加强船舶和港口污染防治，加快淘汰老旧船舶，鼓励引导高能耗船舶技术改造升级和提前退出。推动新能源、清洁能源动力船舶应用，加快港口供电设施建设，提高船舶岸电设施使用率。</w:t>
                  </w:r>
                </w:p>
              </w:tc>
              <w:tc>
                <w:tcPr>
                  <w:tcW w:w="669" w:type="pct"/>
                  <w:noWrap w:val="0"/>
                  <w:vAlign w:val="center"/>
                </w:tcPr>
                <w:p w14:paraId="658F696C">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643430A7">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6D8F4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0E5A001">
                  <w:pPr>
                    <w:pStyle w:val="223"/>
                    <w:widowControl w:val="0"/>
                    <w:jc w:val="both"/>
                    <w:rPr>
                      <w:rFonts w:eastAsia="宋体"/>
                      <w:color w:val="auto"/>
                      <w:kern w:val="2"/>
                      <w:sz w:val="21"/>
                      <w:highlight w:val="none"/>
                      <w:u w:val="none"/>
                      <w:lang w:bidi="ar-SA"/>
                    </w:rPr>
                  </w:pPr>
                </w:p>
              </w:tc>
              <w:tc>
                <w:tcPr>
                  <w:tcW w:w="3711" w:type="pct"/>
                  <w:noWrap w:val="0"/>
                  <w:vAlign w:val="center"/>
                </w:tcPr>
                <w:p w14:paraId="2C3CAF02">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6</w:t>
                  </w:r>
                  <w:r>
                    <w:rPr>
                      <w:rFonts w:hAnsi="宋体" w:eastAsia="宋体"/>
                      <w:color w:val="auto"/>
                      <w:kern w:val="2"/>
                      <w:sz w:val="21"/>
                      <w:highlight w:val="none"/>
                      <w:u w:val="none"/>
                      <w:lang w:bidi="ar-SA"/>
                    </w:rPr>
                    <w:t>．平陆运河沿线城市实施生活污水集中处理设施能力提升全覆盖工程，开展城市污水处理设施差别化精准提标改造。</w:t>
                  </w:r>
                </w:p>
              </w:tc>
              <w:tc>
                <w:tcPr>
                  <w:tcW w:w="669" w:type="pct"/>
                  <w:noWrap w:val="0"/>
                  <w:vAlign w:val="center"/>
                </w:tcPr>
                <w:p w14:paraId="465B53C7">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1E0B2B2A">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50CEB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7F16E48C">
                  <w:pPr>
                    <w:pStyle w:val="223"/>
                    <w:widowControl w:val="0"/>
                    <w:jc w:val="center"/>
                    <w:rPr>
                      <w:rFonts w:hint="eastAsia"/>
                      <w:color w:val="auto"/>
                      <w:szCs w:val="21"/>
                      <w:highlight w:val="none"/>
                      <w:u w:val="single"/>
                    </w:rPr>
                  </w:pPr>
                  <w:r>
                    <w:rPr>
                      <w:rFonts w:hAnsi="宋体" w:eastAsia="宋体"/>
                      <w:color w:val="auto"/>
                      <w:kern w:val="2"/>
                      <w:sz w:val="21"/>
                      <w:highlight w:val="none"/>
                      <w:u w:val="none"/>
                      <w:lang w:bidi="ar-SA"/>
                    </w:rPr>
                    <w:t>环境风险防控</w:t>
                  </w:r>
                </w:p>
              </w:tc>
              <w:tc>
                <w:tcPr>
                  <w:tcW w:w="3711" w:type="pct"/>
                  <w:noWrap w:val="0"/>
                  <w:vAlign w:val="center"/>
                </w:tcPr>
                <w:p w14:paraId="6E3E35CC">
                  <w:pPr>
                    <w:pStyle w:val="223"/>
                    <w:widowControl w:val="0"/>
                    <w:jc w:val="both"/>
                    <w:rPr>
                      <w:rFonts w:hint="eastAsia"/>
                      <w:color w:val="auto"/>
                      <w:szCs w:val="21"/>
                      <w:highlight w:val="none"/>
                      <w:u w:val="single"/>
                    </w:rPr>
                  </w:pPr>
                  <w:r>
                    <w:rPr>
                      <w:rFonts w:eastAsia="宋体"/>
                      <w:color w:val="auto"/>
                      <w:kern w:val="2"/>
                      <w:sz w:val="21"/>
                      <w:highlight w:val="none"/>
                      <w:u w:val="none"/>
                      <w:lang w:bidi="ar-SA"/>
                    </w:rPr>
                    <w:t>1</w:t>
                  </w:r>
                  <w:r>
                    <w:rPr>
                      <w:rFonts w:hAnsi="宋体" w:eastAsia="宋体"/>
                      <w:color w:val="auto"/>
                      <w:kern w:val="2"/>
                      <w:sz w:val="21"/>
                      <w:highlight w:val="none"/>
                      <w:u w:val="none"/>
                      <w:lang w:bidi="ar-SA"/>
                    </w:rPr>
                    <w:t>．强化沿海工业园区和沿海石油、石化、化工、冶炼及危化品储运等企业的环境风险防控。</w:t>
                  </w:r>
                </w:p>
              </w:tc>
              <w:tc>
                <w:tcPr>
                  <w:tcW w:w="669" w:type="pct"/>
                  <w:noWrap w:val="0"/>
                  <w:vAlign w:val="center"/>
                </w:tcPr>
                <w:p w14:paraId="52C90381">
                  <w:pPr>
                    <w:widowControl w:val="0"/>
                    <w:jc w:val="center"/>
                    <w:rPr>
                      <w:rFonts w:hint="eastAsia"/>
                      <w:color w:val="auto"/>
                      <w:szCs w:val="21"/>
                      <w:highlight w:val="none"/>
                      <w:u w:val="single"/>
                    </w:rPr>
                  </w:pPr>
                  <w:r>
                    <w:rPr>
                      <w:rFonts w:hint="eastAsia"/>
                      <w:color w:val="auto"/>
                      <w:szCs w:val="21"/>
                      <w:highlight w:val="none"/>
                      <w:u w:val="none"/>
                      <w:lang w:val="en-US" w:eastAsia="zh-CN"/>
                    </w:rPr>
                    <w:t>本项目不涉及。</w:t>
                  </w:r>
                </w:p>
              </w:tc>
              <w:tc>
                <w:tcPr>
                  <w:tcW w:w="229" w:type="pct"/>
                  <w:noWrap w:val="0"/>
                  <w:vAlign w:val="center"/>
                </w:tcPr>
                <w:p w14:paraId="79224C52">
                  <w:pPr>
                    <w:widowControl w:val="0"/>
                    <w:jc w:val="center"/>
                    <w:rPr>
                      <w:rFonts w:hint="eastAsia"/>
                      <w:color w:val="auto"/>
                      <w:szCs w:val="21"/>
                      <w:highlight w:val="none"/>
                      <w:u w:val="single"/>
                    </w:rPr>
                  </w:pPr>
                  <w:r>
                    <w:rPr>
                      <w:rFonts w:hint="eastAsia"/>
                      <w:color w:val="auto"/>
                      <w:szCs w:val="21"/>
                      <w:highlight w:val="none"/>
                      <w:u w:val="none"/>
                      <w:lang w:val="en-US" w:eastAsia="zh-CN"/>
                    </w:rPr>
                    <w:t>符合</w:t>
                  </w:r>
                </w:p>
              </w:tc>
            </w:tr>
            <w:tr w14:paraId="7D3D5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9A552C7">
                  <w:pPr>
                    <w:adjustRightInd w:val="0"/>
                    <w:snapToGrid w:val="0"/>
                    <w:rPr>
                      <w:color w:val="auto"/>
                      <w:highlight w:val="none"/>
                    </w:rPr>
                  </w:pPr>
                </w:p>
              </w:tc>
              <w:tc>
                <w:tcPr>
                  <w:tcW w:w="3711" w:type="pct"/>
                  <w:noWrap w:val="0"/>
                  <w:vAlign w:val="center"/>
                </w:tcPr>
                <w:p w14:paraId="65B8053A">
                  <w:pPr>
                    <w:pStyle w:val="223"/>
                    <w:widowControl w:val="0"/>
                    <w:jc w:val="both"/>
                    <w:rPr>
                      <w:color w:val="auto"/>
                      <w:highlight w:val="none"/>
                    </w:rPr>
                  </w:pPr>
                  <w:r>
                    <w:rPr>
                      <w:rFonts w:eastAsia="宋体"/>
                      <w:color w:val="auto"/>
                      <w:kern w:val="2"/>
                      <w:sz w:val="21"/>
                      <w:highlight w:val="none"/>
                      <w:u w:val="none"/>
                      <w:lang w:bidi="ar-SA"/>
                    </w:rPr>
                    <w:t>2</w:t>
                  </w:r>
                  <w:r>
                    <w:rPr>
                      <w:rFonts w:hAnsi="宋体" w:eastAsia="宋体"/>
                      <w:color w:val="auto"/>
                      <w:kern w:val="2"/>
                      <w:sz w:val="21"/>
                      <w:highlight w:val="none"/>
                      <w:u w:val="none"/>
                      <w:lang w:bidi="ar-SA"/>
                    </w:rPr>
                    <w:t>．建立和完善海上溢油、危险化学品泄漏、赤潮应急反应预案，提升应对海洋突发环境事件能力，防范海上溢油、危险化学品泄漏等重大环境风险。加强海洋环境监测，实施海洋环境预警预报工程。</w:t>
                  </w:r>
                </w:p>
              </w:tc>
              <w:tc>
                <w:tcPr>
                  <w:tcW w:w="669" w:type="pct"/>
                  <w:noWrap w:val="0"/>
                  <w:vAlign w:val="center"/>
                </w:tcPr>
                <w:p w14:paraId="360F55C2">
                  <w:pPr>
                    <w:widowControl w:val="0"/>
                    <w:jc w:val="center"/>
                    <w:rPr>
                      <w:rFonts w:hint="eastAsia"/>
                      <w:color w:val="auto"/>
                      <w:szCs w:val="21"/>
                      <w:highlight w:val="none"/>
                      <w:u w:val="single"/>
                    </w:rPr>
                  </w:pPr>
                  <w:r>
                    <w:rPr>
                      <w:rFonts w:hint="eastAsia"/>
                      <w:color w:val="auto"/>
                      <w:szCs w:val="21"/>
                      <w:highlight w:val="none"/>
                      <w:u w:val="none"/>
                      <w:lang w:val="en-US" w:eastAsia="zh-CN"/>
                    </w:rPr>
                    <w:t>本项目依托19号泊位应急物资，加强演练提高事故应急能力。</w:t>
                  </w:r>
                </w:p>
              </w:tc>
              <w:tc>
                <w:tcPr>
                  <w:tcW w:w="229" w:type="pct"/>
                  <w:noWrap w:val="0"/>
                  <w:vAlign w:val="center"/>
                </w:tcPr>
                <w:p w14:paraId="7F689514">
                  <w:pPr>
                    <w:widowControl w:val="0"/>
                    <w:jc w:val="center"/>
                    <w:rPr>
                      <w:rFonts w:hint="eastAsia"/>
                      <w:color w:val="auto"/>
                      <w:szCs w:val="21"/>
                      <w:highlight w:val="none"/>
                      <w:u w:val="single"/>
                    </w:rPr>
                  </w:pPr>
                  <w:r>
                    <w:rPr>
                      <w:rFonts w:hint="eastAsia"/>
                      <w:color w:val="auto"/>
                      <w:szCs w:val="21"/>
                      <w:highlight w:val="none"/>
                      <w:u w:val="none"/>
                      <w:lang w:val="en-US" w:eastAsia="zh-CN"/>
                    </w:rPr>
                    <w:t>符合</w:t>
                  </w:r>
                </w:p>
              </w:tc>
            </w:tr>
            <w:tr w14:paraId="65227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617926C">
                  <w:pPr>
                    <w:adjustRightInd w:val="0"/>
                    <w:snapToGrid w:val="0"/>
                    <w:rPr>
                      <w:rFonts w:hint="eastAsia"/>
                      <w:color w:val="auto"/>
                      <w:szCs w:val="21"/>
                      <w:highlight w:val="none"/>
                      <w:u w:val="single"/>
                    </w:rPr>
                  </w:pPr>
                </w:p>
              </w:tc>
              <w:tc>
                <w:tcPr>
                  <w:tcW w:w="3711" w:type="pct"/>
                  <w:noWrap w:val="0"/>
                  <w:vAlign w:val="center"/>
                </w:tcPr>
                <w:p w14:paraId="4E9728C1">
                  <w:pPr>
                    <w:adjustRightInd w:val="0"/>
                    <w:snapToGrid w:val="0"/>
                    <w:rPr>
                      <w:rFonts w:hint="eastAsia"/>
                      <w:color w:val="auto"/>
                      <w:szCs w:val="21"/>
                      <w:highlight w:val="none"/>
                      <w:u w:val="single"/>
                    </w:rPr>
                  </w:pPr>
                  <w:r>
                    <w:rPr>
                      <w:rFonts w:eastAsia="宋体"/>
                      <w:color w:val="auto"/>
                      <w:kern w:val="2"/>
                      <w:sz w:val="21"/>
                      <w:highlight w:val="none"/>
                      <w:u w:val="none"/>
                      <w:lang w:bidi="ar-SA"/>
                    </w:rPr>
                    <w:t>3</w:t>
                  </w:r>
                  <w:r>
                    <w:rPr>
                      <w:rFonts w:hAnsi="宋体" w:eastAsia="宋体"/>
                      <w:color w:val="auto"/>
                      <w:kern w:val="2"/>
                      <w:sz w:val="21"/>
                      <w:highlight w:val="none"/>
                      <w:u w:val="none"/>
                      <w:lang w:bidi="ar-SA"/>
                    </w:rPr>
                    <w:t>．实行严格的核污染监控管理，提升核安全治理能力，提高核设施安全水平，降低核安全风险，推进放射性污染防治，确保辐射环境质量保持良好，强化核辐射安全监管体系，消除核安全隐患。</w:t>
                  </w:r>
                </w:p>
              </w:tc>
              <w:tc>
                <w:tcPr>
                  <w:tcW w:w="669" w:type="pct"/>
                  <w:noWrap w:val="0"/>
                  <w:vAlign w:val="center"/>
                </w:tcPr>
                <w:p w14:paraId="2B4FCAAC">
                  <w:pPr>
                    <w:widowControl w:val="0"/>
                    <w:jc w:val="center"/>
                    <w:rPr>
                      <w:rFonts w:hint="eastAsia"/>
                      <w:color w:val="auto"/>
                      <w:szCs w:val="21"/>
                      <w:highlight w:val="none"/>
                      <w:u w:val="single"/>
                    </w:rPr>
                  </w:pPr>
                  <w:r>
                    <w:rPr>
                      <w:rFonts w:hint="eastAsia"/>
                      <w:color w:val="auto"/>
                      <w:szCs w:val="21"/>
                      <w:highlight w:val="none"/>
                      <w:u w:val="none"/>
                      <w:lang w:val="en-US" w:eastAsia="zh-CN"/>
                    </w:rPr>
                    <w:t>本项目不涉及。</w:t>
                  </w:r>
                </w:p>
              </w:tc>
              <w:tc>
                <w:tcPr>
                  <w:tcW w:w="229" w:type="pct"/>
                  <w:noWrap w:val="0"/>
                  <w:vAlign w:val="center"/>
                </w:tcPr>
                <w:p w14:paraId="266D4217">
                  <w:pPr>
                    <w:widowControl w:val="0"/>
                    <w:jc w:val="center"/>
                    <w:rPr>
                      <w:rFonts w:hint="eastAsia"/>
                      <w:color w:val="auto"/>
                      <w:szCs w:val="21"/>
                      <w:highlight w:val="none"/>
                      <w:u w:val="single"/>
                    </w:rPr>
                  </w:pPr>
                  <w:r>
                    <w:rPr>
                      <w:rFonts w:hint="eastAsia"/>
                      <w:color w:val="auto"/>
                      <w:szCs w:val="21"/>
                      <w:highlight w:val="none"/>
                      <w:u w:val="none"/>
                      <w:lang w:val="en-US" w:eastAsia="zh-CN"/>
                    </w:rPr>
                    <w:t>符合</w:t>
                  </w:r>
                </w:p>
              </w:tc>
            </w:tr>
            <w:tr w14:paraId="13D75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60703094">
                  <w:pPr>
                    <w:pStyle w:val="223"/>
                    <w:widowControl w:val="0"/>
                    <w:jc w:val="center"/>
                    <w:rPr>
                      <w:rFonts w:hint="eastAsia"/>
                      <w:color w:val="auto"/>
                      <w:szCs w:val="21"/>
                      <w:highlight w:val="none"/>
                      <w:u w:val="single"/>
                    </w:rPr>
                  </w:pPr>
                  <w:r>
                    <w:rPr>
                      <w:rFonts w:hAnsi="宋体" w:eastAsia="宋体"/>
                      <w:color w:val="auto"/>
                      <w:kern w:val="2"/>
                      <w:sz w:val="21"/>
                      <w:highlight w:val="none"/>
                      <w:u w:val="none"/>
                      <w:lang w:bidi="ar-SA"/>
                    </w:rPr>
                    <w:t>资源开发利用效率要求</w:t>
                  </w:r>
                </w:p>
              </w:tc>
              <w:tc>
                <w:tcPr>
                  <w:tcW w:w="3711" w:type="pct"/>
                  <w:noWrap w:val="0"/>
                  <w:vAlign w:val="center"/>
                </w:tcPr>
                <w:p w14:paraId="78BFA627">
                  <w:pPr>
                    <w:pStyle w:val="223"/>
                    <w:widowControl w:val="0"/>
                    <w:jc w:val="both"/>
                    <w:rPr>
                      <w:rFonts w:hint="eastAsia"/>
                      <w:color w:val="auto"/>
                      <w:szCs w:val="21"/>
                      <w:highlight w:val="none"/>
                      <w:u w:val="single"/>
                    </w:rPr>
                  </w:pPr>
                  <w:r>
                    <w:rPr>
                      <w:rFonts w:eastAsia="宋体"/>
                      <w:color w:val="auto"/>
                      <w:kern w:val="2"/>
                      <w:sz w:val="21"/>
                      <w:highlight w:val="none"/>
                      <w:u w:val="none"/>
                      <w:lang w:bidi="ar-SA"/>
                    </w:rPr>
                    <w:t>1</w:t>
                  </w:r>
                  <w:r>
                    <w:rPr>
                      <w:rFonts w:hAnsi="宋体" w:eastAsia="宋体"/>
                      <w:color w:val="auto"/>
                      <w:kern w:val="2"/>
                      <w:sz w:val="21"/>
                      <w:highlight w:val="none"/>
                      <w:u w:val="none"/>
                      <w:lang w:bidi="ar-SA"/>
                    </w:rPr>
                    <w:t>．严格执行能耗</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双控</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，新建项目能源利用效率应达到国内先进水平。</w:t>
                  </w:r>
                </w:p>
              </w:tc>
              <w:tc>
                <w:tcPr>
                  <w:tcW w:w="669" w:type="pct"/>
                  <w:noWrap w:val="0"/>
                  <w:vAlign w:val="center"/>
                </w:tcPr>
                <w:p w14:paraId="460BDD6B">
                  <w:pPr>
                    <w:widowControl w:val="0"/>
                    <w:jc w:val="center"/>
                    <w:rPr>
                      <w:rFonts w:hint="eastAsia"/>
                      <w:color w:val="auto"/>
                      <w:szCs w:val="21"/>
                      <w:highlight w:val="none"/>
                      <w:u w:val="single"/>
                    </w:rPr>
                  </w:pPr>
                  <w:r>
                    <w:rPr>
                      <w:rFonts w:hint="eastAsia"/>
                      <w:color w:val="auto"/>
                      <w:szCs w:val="21"/>
                      <w:highlight w:val="none"/>
                      <w:u w:val="none"/>
                      <w:lang w:val="en-US" w:eastAsia="zh-CN"/>
                    </w:rPr>
                    <w:t>本项目不涉及。</w:t>
                  </w:r>
                </w:p>
              </w:tc>
              <w:tc>
                <w:tcPr>
                  <w:tcW w:w="229" w:type="pct"/>
                  <w:noWrap w:val="0"/>
                  <w:vAlign w:val="center"/>
                </w:tcPr>
                <w:p w14:paraId="4D9E1044">
                  <w:pPr>
                    <w:widowControl w:val="0"/>
                    <w:jc w:val="center"/>
                    <w:rPr>
                      <w:rFonts w:hint="eastAsia"/>
                      <w:color w:val="auto"/>
                      <w:szCs w:val="21"/>
                      <w:highlight w:val="none"/>
                      <w:u w:val="single"/>
                    </w:rPr>
                  </w:pPr>
                  <w:r>
                    <w:rPr>
                      <w:rFonts w:hint="eastAsia"/>
                      <w:color w:val="auto"/>
                      <w:szCs w:val="21"/>
                      <w:highlight w:val="none"/>
                      <w:u w:val="none"/>
                      <w:lang w:val="en-US" w:eastAsia="zh-CN"/>
                    </w:rPr>
                    <w:t>符合</w:t>
                  </w:r>
                </w:p>
              </w:tc>
            </w:tr>
            <w:tr w14:paraId="37C30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9B60D51">
                  <w:pPr>
                    <w:pStyle w:val="223"/>
                    <w:widowControl w:val="0"/>
                    <w:jc w:val="both"/>
                    <w:rPr>
                      <w:color w:val="auto"/>
                      <w:highlight w:val="none"/>
                    </w:rPr>
                  </w:pPr>
                </w:p>
              </w:tc>
              <w:tc>
                <w:tcPr>
                  <w:tcW w:w="3711" w:type="pct"/>
                  <w:noWrap w:val="0"/>
                  <w:vAlign w:val="center"/>
                </w:tcPr>
                <w:p w14:paraId="1A515258">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2</w:t>
                  </w:r>
                  <w:r>
                    <w:rPr>
                      <w:rFonts w:hAnsi="宋体" w:eastAsia="宋体"/>
                      <w:color w:val="auto"/>
                      <w:kern w:val="2"/>
                      <w:sz w:val="21"/>
                      <w:highlight w:val="none"/>
                      <w:u w:val="none"/>
                      <w:lang w:bidi="ar-SA"/>
                    </w:rPr>
                    <w:t>．实施水资源消耗总量和强度</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双控</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w:t>
                  </w:r>
                </w:p>
              </w:tc>
              <w:tc>
                <w:tcPr>
                  <w:tcW w:w="669" w:type="pct"/>
                  <w:noWrap w:val="0"/>
                  <w:vAlign w:val="center"/>
                </w:tcPr>
                <w:p w14:paraId="0C5A2B4F">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77F2E467">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bl>
          <w:p w14:paraId="7689F72C">
            <w:pPr>
              <w:keepNext w:val="0"/>
              <w:keepLines w:val="0"/>
              <w:pageBreakBefore w:val="0"/>
              <w:widowControl w:val="0"/>
              <w:numPr>
                <w:ilvl w:val="0"/>
                <w:numId w:val="4"/>
              </w:numPr>
              <w:kinsoku/>
              <w:wordWrap/>
              <w:overflowPunct/>
              <w:topLinePunct w:val="0"/>
              <w:autoSpaceDE w:val="0"/>
              <w:autoSpaceDN w:val="0"/>
              <w:bidi w:val="0"/>
              <w:adjustRightInd w:val="0"/>
              <w:snapToGrid w:val="0"/>
              <w:spacing w:before="157" w:beforeLines="50" w:line="360"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与《钦州市生态环境分区管控动态更新成果（2023版）》相符性分析</w:t>
            </w:r>
          </w:p>
          <w:p w14:paraId="66984735">
            <w:pP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根据《钦州市生态环境局关于印发&lt;钦州市生态环境分区管控动态更新成果（2023版）的通知&gt;》，调整</w:t>
            </w:r>
            <w:r>
              <w:rPr>
                <w:rFonts w:ascii="宋体" w:hAnsi="宋体" w:eastAsia="宋体" w:cs="宋体"/>
                <w:color w:val="auto"/>
                <w:sz w:val="24"/>
                <w:szCs w:val="24"/>
                <w:highlight w:val="none"/>
              </w:rPr>
              <w:t>后全市陆域共划分为64个环境管控</w:t>
            </w:r>
            <w:r>
              <w:rPr>
                <w:rFonts w:hint="eastAsia" w:ascii="宋体" w:hAnsi="宋体" w:eastAsia="宋体" w:cs="宋体"/>
                <w:color w:val="auto"/>
                <w:sz w:val="24"/>
                <w:szCs w:val="24"/>
                <w:highlight w:val="none"/>
                <w:lang w:eastAsia="zh-CN"/>
              </w:rPr>
              <w:t>单元，优先保护单元</w:t>
            </w:r>
            <w:r>
              <w:rPr>
                <w:rFonts w:hint="eastAsia" w:ascii="宋体" w:hAnsi="宋体" w:eastAsia="宋体" w:cs="宋体"/>
                <w:color w:val="auto"/>
                <w:sz w:val="24"/>
                <w:szCs w:val="24"/>
                <w:highlight w:val="none"/>
                <w:lang w:val="en-US" w:eastAsia="zh-CN"/>
              </w:rPr>
              <w:t>34个，重点保护单元26个，一般保护单元4个；近岸海域共划分为63个环境管控单元，其中</w:t>
            </w:r>
            <w:r>
              <w:rPr>
                <w:rFonts w:hint="eastAsia" w:ascii="宋体" w:hAnsi="宋体" w:eastAsia="宋体" w:cs="宋体"/>
                <w:color w:val="auto"/>
                <w:sz w:val="24"/>
                <w:szCs w:val="24"/>
                <w:highlight w:val="none"/>
                <w:lang w:eastAsia="zh-CN"/>
              </w:rPr>
              <w:t>优先保护单元</w:t>
            </w:r>
            <w:r>
              <w:rPr>
                <w:rFonts w:hint="eastAsia" w:ascii="宋体" w:hAnsi="宋体" w:eastAsia="宋体" w:cs="宋体"/>
                <w:color w:val="auto"/>
                <w:sz w:val="24"/>
                <w:szCs w:val="24"/>
                <w:highlight w:val="none"/>
                <w:lang w:val="en-US" w:eastAsia="zh-CN"/>
              </w:rPr>
              <w:t>25个，重点保护单元31个，一般保护单元7个。项目与钦州市生态环境准入及管控要求相符性分析见下表。</w:t>
            </w:r>
          </w:p>
          <w:p w14:paraId="3B3E202A">
            <w:pPr>
              <w:widowControl/>
              <w:jc w:val="center"/>
              <w:rPr>
                <w:b/>
                <w:bCs/>
                <w:color w:val="auto"/>
                <w:szCs w:val="21"/>
                <w:highlight w:val="none"/>
                <w:u w:val="none"/>
              </w:rPr>
            </w:pPr>
            <w:r>
              <w:rPr>
                <w:b/>
                <w:bCs/>
                <w:color w:val="auto"/>
                <w:szCs w:val="21"/>
                <w:highlight w:val="none"/>
                <w:u w:val="none"/>
              </w:rPr>
              <w:t>表</w:t>
            </w:r>
            <w:r>
              <w:rPr>
                <w:rFonts w:hint="eastAsia"/>
                <w:b/>
                <w:bCs/>
                <w:color w:val="auto"/>
                <w:szCs w:val="21"/>
                <w:highlight w:val="none"/>
                <w:u w:val="none"/>
                <w:lang w:val="en-US" w:eastAsia="zh-CN"/>
              </w:rPr>
              <w:t>1.2-3</w:t>
            </w:r>
            <w:r>
              <w:rPr>
                <w:b/>
                <w:bCs/>
                <w:color w:val="auto"/>
                <w:szCs w:val="21"/>
                <w:highlight w:val="none"/>
                <w:u w:val="none"/>
              </w:rPr>
              <w:t>项目与</w:t>
            </w:r>
            <w:r>
              <w:rPr>
                <w:rFonts w:hint="eastAsia"/>
                <w:b/>
                <w:bCs/>
                <w:color w:val="auto"/>
                <w:szCs w:val="21"/>
                <w:highlight w:val="none"/>
                <w:u w:val="none"/>
                <w:lang w:eastAsia="zh-CN"/>
              </w:rPr>
              <w:t>钦州市</w:t>
            </w:r>
            <w:r>
              <w:rPr>
                <w:rFonts w:hint="eastAsia"/>
                <w:b/>
                <w:bCs/>
                <w:color w:val="auto"/>
                <w:szCs w:val="21"/>
                <w:highlight w:val="none"/>
                <w:u w:val="none"/>
                <w:lang w:val="en-US" w:eastAsia="zh-CN"/>
              </w:rPr>
              <w:t>生态环境准入及管控要求</w:t>
            </w:r>
            <w:r>
              <w:rPr>
                <w:b/>
                <w:bCs/>
                <w:color w:val="auto"/>
                <w:szCs w:val="21"/>
                <w:highlight w:val="none"/>
                <w:u w:val="none"/>
              </w:rPr>
              <w:t>符合性分析</w:t>
            </w:r>
          </w:p>
          <w:tbl>
            <w:tblPr>
              <w:tblStyle w:val="45"/>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46"/>
              <w:gridCol w:w="9959"/>
              <w:gridCol w:w="1795"/>
              <w:gridCol w:w="615"/>
            </w:tblGrid>
            <w:tr w14:paraId="258AD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noWrap w:val="0"/>
                  <w:vAlign w:val="center"/>
                </w:tcPr>
                <w:p w14:paraId="7E592A7C">
                  <w:pPr>
                    <w:adjustRightInd w:val="0"/>
                    <w:snapToGrid w:val="0"/>
                    <w:jc w:val="center"/>
                    <w:rPr>
                      <w:rFonts w:hint="default" w:eastAsia="宋体"/>
                      <w:b/>
                      <w:bCs/>
                      <w:color w:val="auto"/>
                      <w:sz w:val="21"/>
                      <w:szCs w:val="21"/>
                      <w:highlight w:val="none"/>
                      <w:u w:val="none"/>
                      <w:lang w:val="en-US" w:eastAsia="zh-CN"/>
                    </w:rPr>
                  </w:pPr>
                  <w:r>
                    <w:rPr>
                      <w:rFonts w:hint="eastAsia"/>
                      <w:b/>
                      <w:bCs/>
                      <w:color w:val="auto"/>
                      <w:sz w:val="21"/>
                      <w:szCs w:val="21"/>
                      <w:highlight w:val="none"/>
                      <w:u w:val="none"/>
                      <w:lang w:val="en-US" w:eastAsia="zh-CN"/>
                    </w:rPr>
                    <w:t>管控要求类别</w:t>
                  </w:r>
                </w:p>
              </w:tc>
              <w:tc>
                <w:tcPr>
                  <w:tcW w:w="3711" w:type="pct"/>
                  <w:noWrap w:val="0"/>
                  <w:vAlign w:val="center"/>
                </w:tcPr>
                <w:p w14:paraId="5460B2AA">
                  <w:pPr>
                    <w:adjustRightInd w:val="0"/>
                    <w:snapToGrid w:val="0"/>
                    <w:jc w:val="center"/>
                    <w:rPr>
                      <w:rFonts w:hint="eastAsia"/>
                      <w:b/>
                      <w:bCs/>
                      <w:color w:val="auto"/>
                      <w:sz w:val="21"/>
                      <w:szCs w:val="21"/>
                      <w:highlight w:val="none"/>
                      <w:u w:val="none"/>
                    </w:rPr>
                  </w:pPr>
                  <w:r>
                    <w:rPr>
                      <w:rFonts w:hint="eastAsia"/>
                      <w:b/>
                      <w:bCs/>
                      <w:color w:val="auto"/>
                      <w:sz w:val="21"/>
                      <w:szCs w:val="21"/>
                      <w:highlight w:val="none"/>
                      <w:u w:val="none"/>
                    </w:rPr>
                    <w:t>禁止事项清单</w:t>
                  </w:r>
                </w:p>
              </w:tc>
              <w:tc>
                <w:tcPr>
                  <w:tcW w:w="669" w:type="pct"/>
                  <w:noWrap w:val="0"/>
                  <w:vAlign w:val="center"/>
                </w:tcPr>
                <w:p w14:paraId="24928995">
                  <w:pPr>
                    <w:adjustRightInd w:val="0"/>
                    <w:snapToGrid w:val="0"/>
                    <w:jc w:val="center"/>
                    <w:rPr>
                      <w:rFonts w:hint="eastAsia"/>
                      <w:b/>
                      <w:bCs/>
                      <w:color w:val="auto"/>
                      <w:sz w:val="21"/>
                      <w:szCs w:val="21"/>
                      <w:highlight w:val="none"/>
                      <w:u w:val="none"/>
                    </w:rPr>
                  </w:pPr>
                  <w:r>
                    <w:rPr>
                      <w:rFonts w:hint="eastAsia"/>
                      <w:b/>
                      <w:bCs/>
                      <w:color w:val="auto"/>
                      <w:sz w:val="21"/>
                      <w:szCs w:val="21"/>
                      <w:highlight w:val="none"/>
                      <w:u w:val="none"/>
                    </w:rPr>
                    <w:t>项目情况</w:t>
                  </w:r>
                </w:p>
              </w:tc>
              <w:tc>
                <w:tcPr>
                  <w:tcW w:w="229" w:type="pct"/>
                  <w:noWrap w:val="0"/>
                  <w:vAlign w:val="center"/>
                </w:tcPr>
                <w:p w14:paraId="745B4522">
                  <w:pPr>
                    <w:adjustRightInd w:val="0"/>
                    <w:snapToGrid w:val="0"/>
                    <w:jc w:val="center"/>
                    <w:rPr>
                      <w:rFonts w:hint="eastAsia"/>
                      <w:b/>
                      <w:bCs/>
                      <w:color w:val="auto"/>
                      <w:sz w:val="21"/>
                      <w:szCs w:val="21"/>
                      <w:highlight w:val="none"/>
                      <w:u w:val="none"/>
                    </w:rPr>
                  </w:pPr>
                  <w:r>
                    <w:rPr>
                      <w:rFonts w:hint="eastAsia"/>
                      <w:b/>
                      <w:bCs/>
                      <w:color w:val="auto"/>
                      <w:sz w:val="21"/>
                      <w:szCs w:val="21"/>
                      <w:highlight w:val="none"/>
                      <w:u w:val="none"/>
                    </w:rPr>
                    <w:t>符合性</w:t>
                  </w:r>
                </w:p>
              </w:tc>
            </w:tr>
            <w:tr w14:paraId="3237B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08AE7FB2">
                  <w:pPr>
                    <w:pStyle w:val="223"/>
                    <w:widowControl w:val="0"/>
                    <w:jc w:val="center"/>
                    <w:rPr>
                      <w:rFonts w:hint="eastAsia"/>
                      <w:color w:val="auto"/>
                      <w:sz w:val="21"/>
                      <w:szCs w:val="21"/>
                      <w:highlight w:val="none"/>
                      <w:u w:val="none"/>
                    </w:rPr>
                  </w:pPr>
                  <w:r>
                    <w:rPr>
                      <w:rFonts w:hAnsi="宋体" w:eastAsia="宋体"/>
                      <w:color w:val="auto"/>
                      <w:kern w:val="2"/>
                      <w:sz w:val="21"/>
                      <w:szCs w:val="21"/>
                      <w:highlight w:val="none"/>
                      <w:u w:val="none"/>
                      <w:lang w:bidi="ar-SA"/>
                    </w:rPr>
                    <w:t>空间布局约束</w:t>
                  </w:r>
                </w:p>
              </w:tc>
              <w:tc>
                <w:tcPr>
                  <w:tcW w:w="3711" w:type="pct"/>
                  <w:noWrap w:val="0"/>
                  <w:vAlign w:val="center"/>
                </w:tcPr>
                <w:p w14:paraId="37A0176C">
                  <w:pPr>
                    <w:keepNext w:val="0"/>
                    <w:keepLines w:val="0"/>
                    <w:widowControl/>
                    <w:suppressLineNumbers w:val="0"/>
                    <w:jc w:val="left"/>
                    <w:rPr>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自然保护地、水源保护区、公益林、天然林等具有法律地位，有管理条例、规定、办法的各类保护地，其管控要求原则上按照各类保护地的现行规定进行管理，重叠区域以最严格的要求进行管理。纳入生态保护红线管理的各类自然保护地，还应执行国家、自治区</w:t>
                  </w:r>
                </w:p>
                <w:p w14:paraId="41DA73C8">
                  <w:pPr>
                    <w:keepNext w:val="0"/>
                    <w:keepLines w:val="0"/>
                    <w:widowControl/>
                    <w:suppressLineNumbers w:val="0"/>
                    <w:jc w:val="left"/>
                    <w:rPr>
                      <w:rFonts w:hint="eastAsia"/>
                      <w:color w:val="auto"/>
                      <w:sz w:val="21"/>
                      <w:szCs w:val="21"/>
                      <w:highlight w:val="none"/>
                      <w:u w:val="none"/>
                    </w:rPr>
                  </w:pPr>
                  <w:r>
                    <w:rPr>
                      <w:rFonts w:hint="eastAsia" w:ascii="宋体" w:hAnsi="宋体" w:eastAsia="宋体" w:cs="宋体"/>
                      <w:color w:val="auto"/>
                      <w:kern w:val="0"/>
                      <w:sz w:val="21"/>
                      <w:szCs w:val="21"/>
                      <w:highlight w:val="none"/>
                      <w:lang w:val="en-US" w:eastAsia="zh-CN" w:bidi="ar"/>
                    </w:rPr>
                    <w:t>有关生态保护红线内各类开发活动的准入及管控规定和要求。</w:t>
                  </w:r>
                </w:p>
              </w:tc>
              <w:tc>
                <w:tcPr>
                  <w:tcW w:w="870" w:type="dxa"/>
                  <w:noWrap w:val="0"/>
                  <w:vAlign w:val="center"/>
                </w:tcPr>
                <w:p w14:paraId="76B1DAE2">
                  <w:pPr>
                    <w:widowControl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580D136B">
                  <w:pPr>
                    <w:widowControl w:val="0"/>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1E085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2BC575F6">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30959970">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．红树林依据《广西壮族自治区红树林资源保护条例》进行管理。开展红树林修复要依法依规进行，并符合红树林资源保护规划等相关要求。</w:t>
                  </w:r>
                </w:p>
              </w:tc>
              <w:tc>
                <w:tcPr>
                  <w:tcW w:w="870" w:type="dxa"/>
                  <w:noWrap w:val="0"/>
                  <w:vAlign w:val="center"/>
                </w:tcPr>
                <w:p w14:paraId="184B423F">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024D78C0">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21ECA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30F0CCF">
                  <w:pPr>
                    <w:pStyle w:val="223"/>
                    <w:widowControl w:val="0"/>
                    <w:jc w:val="both"/>
                    <w:rPr>
                      <w:color w:val="auto"/>
                      <w:sz w:val="21"/>
                      <w:szCs w:val="21"/>
                      <w:highlight w:val="none"/>
                      <w:u w:val="none"/>
                    </w:rPr>
                  </w:pPr>
                </w:p>
              </w:tc>
              <w:tc>
                <w:tcPr>
                  <w:tcW w:w="3711" w:type="pct"/>
                  <w:noWrap w:val="0"/>
                  <w:vAlign w:val="center"/>
                </w:tcPr>
                <w:p w14:paraId="34ACBA43">
                  <w:pPr>
                    <w:pStyle w:val="223"/>
                    <w:widowControl w:val="0"/>
                    <w:spacing w:line="240" w:lineRule="auto"/>
                    <w:jc w:val="both"/>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．重要湿地依据《中华人民共和国湿地保护法》《国家湿地公园管理办法》《广西壮族自治区湿地保护条例》进行管理。</w:t>
                  </w:r>
                </w:p>
              </w:tc>
              <w:tc>
                <w:tcPr>
                  <w:tcW w:w="669" w:type="pct"/>
                  <w:noWrap w:val="0"/>
                  <w:vAlign w:val="center"/>
                </w:tcPr>
                <w:p w14:paraId="4FC3A9D4">
                  <w:pPr>
                    <w:widowControl w:val="0"/>
                    <w:jc w:val="center"/>
                    <w:rPr>
                      <w:rFonts w:hint="eastAsia"/>
                      <w:color w:val="auto"/>
                      <w:sz w:val="21"/>
                      <w:szCs w:val="21"/>
                      <w:highlight w:val="none"/>
                      <w:u w:val="none"/>
                    </w:rPr>
                  </w:pPr>
                  <w:r>
                    <w:rPr>
                      <w:rFonts w:hint="eastAsia"/>
                      <w:color w:val="auto"/>
                      <w:sz w:val="21"/>
                      <w:szCs w:val="21"/>
                      <w:highlight w:val="none"/>
                      <w:u w:val="none"/>
                      <w:lang w:val="en-US" w:eastAsia="zh-CN"/>
                    </w:rPr>
                    <w:t>本项目不涉及。</w:t>
                  </w:r>
                </w:p>
              </w:tc>
              <w:tc>
                <w:tcPr>
                  <w:tcW w:w="229" w:type="pct"/>
                  <w:noWrap w:val="0"/>
                  <w:vAlign w:val="center"/>
                </w:tcPr>
                <w:p w14:paraId="462514B1">
                  <w:pPr>
                    <w:widowControl w:val="0"/>
                    <w:jc w:val="center"/>
                    <w:rPr>
                      <w:rFonts w:hint="eastAsia"/>
                      <w:color w:val="auto"/>
                      <w:sz w:val="21"/>
                      <w:szCs w:val="21"/>
                      <w:highlight w:val="none"/>
                      <w:u w:val="none"/>
                    </w:rPr>
                  </w:pPr>
                  <w:r>
                    <w:rPr>
                      <w:rFonts w:hint="eastAsia"/>
                      <w:color w:val="auto"/>
                      <w:sz w:val="21"/>
                      <w:szCs w:val="21"/>
                      <w:highlight w:val="none"/>
                      <w:u w:val="none"/>
                      <w:lang w:val="en-US" w:eastAsia="zh-CN"/>
                    </w:rPr>
                    <w:t>符合</w:t>
                  </w:r>
                </w:p>
              </w:tc>
            </w:tr>
            <w:tr w14:paraId="6F76A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5D2EDA4">
                  <w:pPr>
                    <w:pStyle w:val="223"/>
                    <w:widowControl w:val="0"/>
                    <w:jc w:val="both"/>
                    <w:rPr>
                      <w:color w:val="auto"/>
                      <w:sz w:val="21"/>
                      <w:szCs w:val="21"/>
                      <w:highlight w:val="none"/>
                      <w:u w:val="none"/>
                    </w:rPr>
                  </w:pPr>
                </w:p>
              </w:tc>
              <w:tc>
                <w:tcPr>
                  <w:tcW w:w="3711" w:type="pct"/>
                  <w:noWrap w:val="0"/>
                  <w:vAlign w:val="center"/>
                </w:tcPr>
                <w:p w14:paraId="5A95F1C5">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产业在十万大山、五皇山、六万大山、茅尾海等生物多样性保护区及水源涵养区等重点生态功能区的布局，鼓励发展生态保护型旅游业、生态农业，统筹推进特色农业和旅游业融合发展。</w:t>
                  </w:r>
                </w:p>
              </w:tc>
              <w:tc>
                <w:tcPr>
                  <w:tcW w:w="870" w:type="dxa"/>
                  <w:noWrap w:val="0"/>
                  <w:vAlign w:val="center"/>
                </w:tcPr>
                <w:p w14:paraId="69F2CC9A">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1AF176D3">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334D1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28EAEE93">
                  <w:pPr>
                    <w:pStyle w:val="223"/>
                    <w:widowControl w:val="0"/>
                    <w:jc w:val="both"/>
                    <w:rPr>
                      <w:color w:val="auto"/>
                      <w:sz w:val="21"/>
                      <w:szCs w:val="21"/>
                      <w:highlight w:val="none"/>
                      <w:u w:val="none"/>
                    </w:rPr>
                  </w:pPr>
                </w:p>
              </w:tc>
              <w:tc>
                <w:tcPr>
                  <w:tcW w:w="3711" w:type="pct"/>
                  <w:noWrap w:val="0"/>
                  <w:vAlign w:val="center"/>
                </w:tcPr>
                <w:p w14:paraId="2295F5CD">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．以供给侧结构性改革为导向，坚持培育新增产能与淘汰落后产能相结合，严格审批，防止新增落后产能。严格控制“两高”和产能过剩行业新上项目，遏制高耗能产业无序发展和低水平扩张。</w:t>
                  </w:r>
                </w:p>
              </w:tc>
              <w:tc>
                <w:tcPr>
                  <w:tcW w:w="870" w:type="dxa"/>
                  <w:noWrap w:val="0"/>
                  <w:vAlign w:val="center"/>
                </w:tcPr>
                <w:p w14:paraId="323B4B2D">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5482B9CC">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7C47F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7CEDF83">
                  <w:pPr>
                    <w:pStyle w:val="223"/>
                    <w:widowControl w:val="0"/>
                    <w:jc w:val="both"/>
                    <w:rPr>
                      <w:color w:val="auto"/>
                      <w:sz w:val="21"/>
                      <w:szCs w:val="21"/>
                      <w:highlight w:val="none"/>
                      <w:u w:val="none"/>
                    </w:rPr>
                  </w:pPr>
                </w:p>
              </w:tc>
              <w:tc>
                <w:tcPr>
                  <w:tcW w:w="3711" w:type="pct"/>
                  <w:noWrap w:val="0"/>
                  <w:vAlign w:val="center"/>
                </w:tcPr>
                <w:p w14:paraId="2CDDEC47">
                  <w:pPr>
                    <w:pStyle w:val="223"/>
                    <w:widowControl w:val="0"/>
                    <w:spacing w:line="240" w:lineRule="auto"/>
                    <w:jc w:val="both"/>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．全市产业准入执行《广西壮族自治区人民政府办公厅关于印发北钦防一体化产业协同发展限制布局清单（工业类</w:t>
                  </w:r>
                  <w:r>
                    <w:rPr>
                      <w:rFonts w:hint="default" w:ascii="Times New Roman" w:hAnsi="Times New Roman" w:eastAsia="宋体" w:cs="Times New Roman"/>
                      <w:color w:val="auto"/>
                      <w:kern w:val="0"/>
                      <w:sz w:val="21"/>
                      <w:szCs w:val="21"/>
                      <w:highlight w:val="none"/>
                      <w:lang w:val="en-US" w:eastAsia="zh-CN" w:bidi="ar"/>
                    </w:rPr>
                    <w:t>2021</w:t>
                  </w:r>
                  <w:r>
                    <w:rPr>
                      <w:rFonts w:hint="eastAsia" w:ascii="宋体" w:hAnsi="宋体" w:eastAsia="宋体" w:cs="宋体"/>
                      <w:color w:val="auto"/>
                      <w:kern w:val="0"/>
                      <w:sz w:val="21"/>
                      <w:szCs w:val="21"/>
                      <w:highlight w:val="none"/>
                      <w:lang w:val="en-US" w:eastAsia="zh-CN" w:bidi="ar"/>
                    </w:rPr>
                    <w:t>年版）的通知》（桂政办函〔</w:t>
                  </w:r>
                  <w:r>
                    <w:rPr>
                      <w:rFonts w:hint="default" w:ascii="Times New Roman" w:hAnsi="Times New Roman" w:eastAsia="宋体" w:cs="Times New Roman"/>
                      <w:color w:val="auto"/>
                      <w:kern w:val="0"/>
                      <w:sz w:val="21"/>
                      <w:szCs w:val="21"/>
                      <w:highlight w:val="none"/>
                      <w:lang w:val="en-US" w:eastAsia="zh-CN" w:bidi="ar"/>
                    </w:rPr>
                    <w:t>2021</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号）要求，限制布局炼铁、炼钢、铝冶炼、平板玻璃制造。</w:t>
                  </w:r>
                </w:p>
              </w:tc>
              <w:tc>
                <w:tcPr>
                  <w:tcW w:w="870" w:type="dxa"/>
                  <w:noWrap w:val="0"/>
                  <w:vAlign w:val="center"/>
                </w:tcPr>
                <w:p w14:paraId="46E45176">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00D61722">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2A042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1683425F">
                  <w:pPr>
                    <w:pStyle w:val="223"/>
                    <w:widowControl w:val="0"/>
                    <w:jc w:val="both"/>
                    <w:rPr>
                      <w:color w:val="auto"/>
                      <w:sz w:val="21"/>
                      <w:szCs w:val="21"/>
                      <w:highlight w:val="none"/>
                      <w:u w:val="none"/>
                    </w:rPr>
                  </w:pPr>
                </w:p>
              </w:tc>
              <w:tc>
                <w:tcPr>
                  <w:tcW w:w="3711" w:type="pct"/>
                  <w:noWrap w:val="0"/>
                  <w:vAlign w:val="center"/>
                </w:tcPr>
                <w:p w14:paraId="32406F21">
                  <w:pPr>
                    <w:pStyle w:val="223"/>
                    <w:widowControl w:val="0"/>
                    <w:spacing w:line="240" w:lineRule="auto"/>
                    <w:jc w:val="both"/>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．新建、扩建的石化、化工、焦化项目应按照《关于加强高耗能、高排放建设项目生态环境源头防控的指导意见》布设在依法合规设立并经规划环评的产业园区。</w:t>
                  </w:r>
                </w:p>
              </w:tc>
              <w:tc>
                <w:tcPr>
                  <w:tcW w:w="870" w:type="dxa"/>
                  <w:noWrap w:val="0"/>
                  <w:vAlign w:val="center"/>
                </w:tcPr>
                <w:p w14:paraId="7293D0EB">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57A6A758">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2EC99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15E0F342">
                  <w:pPr>
                    <w:pStyle w:val="223"/>
                    <w:widowControl w:val="0"/>
                    <w:jc w:val="both"/>
                    <w:rPr>
                      <w:color w:val="auto"/>
                      <w:sz w:val="21"/>
                      <w:szCs w:val="21"/>
                      <w:highlight w:val="none"/>
                      <w:u w:val="none"/>
                    </w:rPr>
                  </w:pPr>
                </w:p>
              </w:tc>
              <w:tc>
                <w:tcPr>
                  <w:tcW w:w="3711" w:type="pct"/>
                  <w:noWrap w:val="0"/>
                  <w:vAlign w:val="center"/>
                </w:tcPr>
                <w:p w14:paraId="1F4DA97E">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．禁止违法占用、损害自然岸线。海洋开发和海岸开发各类活动，大陆自然岸线保有率标准不低于</w:t>
                  </w:r>
                  <w:r>
                    <w:rPr>
                      <w:rFonts w:hint="default" w:ascii="Times New Roman" w:hAnsi="Times New Roman" w:eastAsia="宋体" w:cs="Times New Roman"/>
                      <w:color w:val="auto"/>
                      <w:kern w:val="0"/>
                      <w:sz w:val="21"/>
                      <w:szCs w:val="21"/>
                      <w:highlight w:val="none"/>
                      <w:lang w:val="en-US" w:eastAsia="zh-CN" w:bidi="ar"/>
                    </w:rPr>
                    <w:t>35%</w:t>
                  </w:r>
                  <w:r>
                    <w:rPr>
                      <w:rFonts w:hint="eastAsia" w:ascii="宋体" w:hAnsi="宋体" w:eastAsia="宋体" w:cs="宋体"/>
                      <w:color w:val="auto"/>
                      <w:kern w:val="0"/>
                      <w:sz w:val="21"/>
                      <w:szCs w:val="21"/>
                      <w:highlight w:val="none"/>
                      <w:lang w:val="en-US" w:eastAsia="zh-CN" w:bidi="ar"/>
                    </w:rPr>
                    <w:t>、无居民海岛岸线长度保有率标准不低于</w:t>
                  </w:r>
                  <w:r>
                    <w:rPr>
                      <w:rFonts w:hint="default" w:ascii="Times New Roman" w:hAnsi="Times New Roman" w:eastAsia="宋体" w:cs="Times New Roman"/>
                      <w:color w:val="auto"/>
                      <w:kern w:val="0"/>
                      <w:sz w:val="21"/>
                      <w:szCs w:val="21"/>
                      <w:highlight w:val="none"/>
                      <w:lang w:val="en-US" w:eastAsia="zh-CN" w:bidi="ar"/>
                    </w:rPr>
                    <w:t>85%</w:t>
                  </w:r>
                  <w:r>
                    <w:rPr>
                      <w:rFonts w:hint="eastAsia" w:ascii="宋体" w:hAnsi="宋体" w:eastAsia="宋体" w:cs="宋体"/>
                      <w:color w:val="auto"/>
                      <w:kern w:val="0"/>
                      <w:sz w:val="21"/>
                      <w:szCs w:val="21"/>
                      <w:highlight w:val="none"/>
                      <w:lang w:val="en-US" w:eastAsia="zh-CN" w:bidi="ar"/>
                    </w:rPr>
                    <w:t>。</w:t>
                  </w:r>
                </w:p>
              </w:tc>
              <w:tc>
                <w:tcPr>
                  <w:tcW w:w="870" w:type="dxa"/>
                  <w:noWrap w:val="0"/>
                  <w:vAlign w:val="center"/>
                </w:tcPr>
                <w:p w14:paraId="5400852E">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6504601E">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4F128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0B620BB">
                  <w:pPr>
                    <w:pStyle w:val="223"/>
                    <w:widowControl w:val="0"/>
                    <w:jc w:val="both"/>
                    <w:rPr>
                      <w:color w:val="auto"/>
                      <w:sz w:val="21"/>
                      <w:szCs w:val="21"/>
                      <w:highlight w:val="none"/>
                      <w:u w:val="none"/>
                    </w:rPr>
                  </w:pPr>
                </w:p>
              </w:tc>
              <w:tc>
                <w:tcPr>
                  <w:tcW w:w="3711" w:type="pct"/>
                  <w:noWrap w:val="0"/>
                  <w:vAlign w:val="center"/>
                </w:tcPr>
                <w:p w14:paraId="44662818">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．推进海域资源市场化配置，严控新增围填海造地，完善围填海总量管控，除国家重大战略项目外，全面停止新增围填海项目审批，全面清理非法占用海洋生态保护红线区域的围填海项目。</w:t>
                  </w:r>
                </w:p>
              </w:tc>
              <w:tc>
                <w:tcPr>
                  <w:tcW w:w="870" w:type="dxa"/>
                  <w:noWrap w:val="0"/>
                  <w:vAlign w:val="center"/>
                </w:tcPr>
                <w:p w14:paraId="0A80B843">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26970BD0">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4A6B6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E3DC8AE">
                  <w:pPr>
                    <w:pStyle w:val="223"/>
                    <w:widowControl w:val="0"/>
                    <w:jc w:val="both"/>
                    <w:rPr>
                      <w:color w:val="auto"/>
                      <w:sz w:val="21"/>
                      <w:szCs w:val="21"/>
                      <w:highlight w:val="none"/>
                      <w:u w:val="none"/>
                    </w:rPr>
                  </w:pPr>
                </w:p>
              </w:tc>
              <w:tc>
                <w:tcPr>
                  <w:tcW w:w="3711" w:type="pct"/>
                  <w:noWrap w:val="0"/>
                  <w:vAlign w:val="center"/>
                </w:tcPr>
                <w:p w14:paraId="5031AC15">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val="en-US" w:eastAsia="zh-CN" w:bidi="ar"/>
                    </w:rPr>
                    <w:t>．科学论证在三娘湾海洋保护区、茅尾海中部海洋保护区及周边区域的开发利用活动，严格落实保护区管理要求。</w:t>
                  </w:r>
                </w:p>
              </w:tc>
              <w:tc>
                <w:tcPr>
                  <w:tcW w:w="870" w:type="dxa"/>
                  <w:noWrap w:val="0"/>
                  <w:vAlign w:val="center"/>
                </w:tcPr>
                <w:p w14:paraId="68A9083A">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02826D75">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4E8B4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C81F667">
                  <w:pPr>
                    <w:pStyle w:val="223"/>
                    <w:widowControl w:val="0"/>
                    <w:jc w:val="both"/>
                    <w:rPr>
                      <w:color w:val="auto"/>
                      <w:sz w:val="21"/>
                      <w:szCs w:val="21"/>
                      <w:highlight w:val="none"/>
                      <w:u w:val="none"/>
                    </w:rPr>
                  </w:pPr>
                </w:p>
              </w:tc>
              <w:tc>
                <w:tcPr>
                  <w:tcW w:w="3711" w:type="pct"/>
                  <w:noWrap w:val="0"/>
                  <w:vAlign w:val="center"/>
                </w:tcPr>
                <w:p w14:paraId="5930F71B">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11</w:t>
                  </w:r>
                  <w:r>
                    <w:rPr>
                      <w:rFonts w:hint="eastAsia" w:ascii="宋体" w:hAnsi="宋体" w:eastAsia="宋体" w:cs="宋体"/>
                      <w:color w:val="auto"/>
                      <w:kern w:val="0"/>
                      <w:sz w:val="21"/>
                      <w:szCs w:val="21"/>
                      <w:highlight w:val="none"/>
                      <w:lang w:val="en-US" w:eastAsia="zh-CN" w:bidi="ar"/>
                    </w:rPr>
                    <w:t>．严格按照相关法律法规及国土空间规划等要求，规范设置和监管入海排污口。禁止采挖海砂、设置直排排污口及其他破坏河口生态功能的开发活动。</w:t>
                  </w:r>
                </w:p>
              </w:tc>
              <w:tc>
                <w:tcPr>
                  <w:tcW w:w="870" w:type="dxa"/>
                  <w:noWrap w:val="0"/>
                  <w:vAlign w:val="center"/>
                </w:tcPr>
                <w:p w14:paraId="5A20F668">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2B46A149">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33F19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5E3BBF1">
                  <w:pPr>
                    <w:pStyle w:val="223"/>
                    <w:widowControl w:val="0"/>
                    <w:jc w:val="both"/>
                    <w:rPr>
                      <w:color w:val="auto"/>
                      <w:sz w:val="21"/>
                      <w:szCs w:val="21"/>
                      <w:highlight w:val="none"/>
                      <w:u w:val="none"/>
                    </w:rPr>
                  </w:pPr>
                </w:p>
              </w:tc>
              <w:tc>
                <w:tcPr>
                  <w:tcW w:w="3711" w:type="pct"/>
                  <w:noWrap w:val="0"/>
                  <w:vAlign w:val="center"/>
                </w:tcPr>
                <w:p w14:paraId="1F8525B7">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12</w:t>
                  </w:r>
                  <w:r>
                    <w:rPr>
                      <w:rFonts w:hint="eastAsia" w:ascii="宋体" w:hAnsi="宋体" w:eastAsia="宋体" w:cs="宋体"/>
                      <w:color w:val="auto"/>
                      <w:kern w:val="0"/>
                      <w:sz w:val="21"/>
                      <w:szCs w:val="21"/>
                      <w:highlight w:val="none"/>
                      <w:lang w:val="en-US" w:eastAsia="zh-CN" w:bidi="ar"/>
                    </w:rPr>
                    <w:t>．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禁止毁坏海岸防护设施、沿海防护林、沿海城镇园林和绿地。</w:t>
                  </w:r>
                </w:p>
              </w:tc>
              <w:tc>
                <w:tcPr>
                  <w:tcW w:w="870" w:type="dxa"/>
                  <w:noWrap w:val="0"/>
                  <w:vAlign w:val="center"/>
                </w:tcPr>
                <w:p w14:paraId="3BAC943B">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489AC0CC">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49A27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23D0FF1D">
                  <w:pPr>
                    <w:pStyle w:val="223"/>
                    <w:widowControl w:val="0"/>
                    <w:jc w:val="both"/>
                    <w:rPr>
                      <w:color w:val="auto"/>
                      <w:sz w:val="21"/>
                      <w:szCs w:val="21"/>
                      <w:highlight w:val="none"/>
                      <w:u w:val="none"/>
                    </w:rPr>
                  </w:pPr>
                </w:p>
              </w:tc>
              <w:tc>
                <w:tcPr>
                  <w:tcW w:w="3711" w:type="pct"/>
                  <w:noWrap w:val="0"/>
                  <w:vAlign w:val="center"/>
                </w:tcPr>
                <w:p w14:paraId="12704724">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13</w:t>
                  </w:r>
                  <w:r>
                    <w:rPr>
                      <w:rFonts w:hint="eastAsia" w:ascii="宋体" w:hAnsi="宋体" w:eastAsia="宋体" w:cs="宋体"/>
                      <w:color w:val="auto"/>
                      <w:kern w:val="0"/>
                      <w:sz w:val="21"/>
                      <w:szCs w:val="21"/>
                      <w:highlight w:val="none"/>
                      <w:lang w:val="en-US" w:eastAsia="zh-CN" w:bidi="ar"/>
                    </w:rPr>
                    <w:t>．严格用途管制，坚持陆海统筹，严禁国家产业政策淘汰类、限制类项目在滨海湿地布局，实现山水林田湖草整体保护、系统修复、综合治理。</w:t>
                  </w:r>
                </w:p>
              </w:tc>
              <w:tc>
                <w:tcPr>
                  <w:tcW w:w="870" w:type="dxa"/>
                  <w:noWrap w:val="0"/>
                  <w:vAlign w:val="center"/>
                </w:tcPr>
                <w:p w14:paraId="21AADDFD">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22FE3EA8">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6BB46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64F11B1C">
                  <w:pPr>
                    <w:pStyle w:val="223"/>
                    <w:widowControl w:val="0"/>
                    <w:jc w:val="both"/>
                    <w:rPr>
                      <w:color w:val="auto"/>
                      <w:sz w:val="21"/>
                      <w:szCs w:val="21"/>
                      <w:highlight w:val="none"/>
                      <w:u w:val="none"/>
                    </w:rPr>
                  </w:pPr>
                </w:p>
              </w:tc>
              <w:tc>
                <w:tcPr>
                  <w:tcW w:w="3711" w:type="pct"/>
                  <w:noWrap w:val="0"/>
                  <w:vAlign w:val="center"/>
                </w:tcPr>
                <w:p w14:paraId="710BB49C">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14</w:t>
                  </w:r>
                  <w:r>
                    <w:rPr>
                      <w:rFonts w:hint="eastAsia" w:ascii="宋体" w:hAnsi="宋体" w:eastAsia="宋体" w:cs="宋体"/>
                      <w:color w:val="auto"/>
                      <w:kern w:val="0"/>
                      <w:sz w:val="21"/>
                      <w:szCs w:val="21"/>
                      <w:highlight w:val="none"/>
                      <w:lang w:val="en-US" w:eastAsia="zh-CN" w:bidi="ar"/>
                    </w:rPr>
                    <w:t>．禁止在氮磷浓度严重超标的近岸海域新增或者扩大投饵、投肥海水养殖规模。</w:t>
                  </w:r>
                </w:p>
              </w:tc>
              <w:tc>
                <w:tcPr>
                  <w:tcW w:w="870" w:type="dxa"/>
                  <w:noWrap w:val="0"/>
                  <w:vAlign w:val="center"/>
                </w:tcPr>
                <w:p w14:paraId="4C42842D">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63DA98EA">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79650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84EB0ED">
                  <w:pPr>
                    <w:pStyle w:val="223"/>
                    <w:widowControl w:val="0"/>
                    <w:jc w:val="both"/>
                    <w:rPr>
                      <w:color w:val="auto"/>
                      <w:sz w:val="21"/>
                      <w:szCs w:val="21"/>
                      <w:highlight w:val="none"/>
                      <w:u w:val="none"/>
                    </w:rPr>
                  </w:pPr>
                </w:p>
              </w:tc>
              <w:tc>
                <w:tcPr>
                  <w:tcW w:w="3711" w:type="pct"/>
                  <w:noWrap w:val="0"/>
                  <w:vAlign w:val="center"/>
                </w:tcPr>
                <w:p w14:paraId="7E28AA55">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15</w:t>
                  </w:r>
                  <w:r>
                    <w:rPr>
                      <w:rFonts w:hint="eastAsia" w:ascii="宋体" w:hAnsi="宋体" w:eastAsia="宋体" w:cs="宋体"/>
                      <w:color w:val="auto"/>
                      <w:kern w:val="0"/>
                      <w:sz w:val="21"/>
                      <w:szCs w:val="21"/>
                      <w:highlight w:val="none"/>
                      <w:lang w:val="en-US" w:eastAsia="zh-CN" w:bidi="ar"/>
                    </w:rPr>
                    <w:t>．平陆运河沿线两岸原则上预留</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公里作为生态廊道构建用地，将平陆运河沿线建设成为维护当地自然与文化特色的区域生物廊道、生境走廊、休闲绿道、风景廊道和绿色运河经济带等。</w:t>
                  </w:r>
                </w:p>
              </w:tc>
              <w:tc>
                <w:tcPr>
                  <w:tcW w:w="870" w:type="dxa"/>
                  <w:noWrap w:val="0"/>
                  <w:vAlign w:val="center"/>
                </w:tcPr>
                <w:p w14:paraId="6BCC506E">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600D4D8E">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31BB4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1BDDF639">
                  <w:pPr>
                    <w:pStyle w:val="223"/>
                    <w:widowControl w:val="0"/>
                    <w:jc w:val="both"/>
                    <w:rPr>
                      <w:color w:val="auto"/>
                      <w:sz w:val="21"/>
                      <w:szCs w:val="21"/>
                      <w:highlight w:val="none"/>
                      <w:u w:val="none"/>
                    </w:rPr>
                  </w:pPr>
                </w:p>
              </w:tc>
              <w:tc>
                <w:tcPr>
                  <w:tcW w:w="3711" w:type="pct"/>
                  <w:noWrap w:val="0"/>
                  <w:vAlign w:val="center"/>
                </w:tcPr>
                <w:p w14:paraId="2621A9DD">
                  <w:pPr>
                    <w:pStyle w:val="223"/>
                    <w:widowControl w:val="0"/>
                    <w:spacing w:line="240" w:lineRule="auto"/>
                    <w:jc w:val="both"/>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16</w:t>
                  </w:r>
                  <w:r>
                    <w:rPr>
                      <w:rFonts w:hint="eastAsia" w:ascii="宋体" w:hAnsi="宋体" w:eastAsia="宋体" w:cs="宋体"/>
                      <w:color w:val="auto"/>
                      <w:kern w:val="0"/>
                      <w:sz w:val="21"/>
                      <w:szCs w:val="21"/>
                      <w:highlight w:val="none"/>
                      <w:lang w:val="en-US" w:eastAsia="zh-CN" w:bidi="ar"/>
                    </w:rPr>
                    <w:t>．禁止平陆运河建设违规占用环评批复范围之外的红树林，严格落实红树林生态恢复和管护要求。</w:t>
                  </w:r>
                </w:p>
              </w:tc>
              <w:tc>
                <w:tcPr>
                  <w:tcW w:w="870" w:type="dxa"/>
                  <w:noWrap w:val="0"/>
                  <w:vAlign w:val="center"/>
                </w:tcPr>
                <w:p w14:paraId="39E91222">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2F4C7E65">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39B62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D998F55">
                  <w:pPr>
                    <w:pStyle w:val="223"/>
                    <w:widowControl w:val="0"/>
                    <w:jc w:val="both"/>
                    <w:rPr>
                      <w:color w:val="auto"/>
                      <w:sz w:val="21"/>
                      <w:szCs w:val="21"/>
                      <w:highlight w:val="none"/>
                      <w:u w:val="none"/>
                    </w:rPr>
                  </w:pPr>
                </w:p>
              </w:tc>
              <w:tc>
                <w:tcPr>
                  <w:tcW w:w="3711" w:type="pct"/>
                  <w:noWrap w:val="0"/>
                  <w:vAlign w:val="center"/>
                </w:tcPr>
                <w:p w14:paraId="2FB74CFD">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17</w:t>
                  </w:r>
                  <w:r>
                    <w:rPr>
                      <w:rFonts w:hint="eastAsia" w:ascii="宋体" w:hAnsi="宋体" w:eastAsia="宋体" w:cs="宋体"/>
                      <w:color w:val="auto"/>
                      <w:kern w:val="0"/>
                      <w:sz w:val="21"/>
                      <w:szCs w:val="21"/>
                      <w:highlight w:val="none"/>
                      <w:lang w:val="en-US" w:eastAsia="zh-CN" w:bidi="ar"/>
                    </w:rPr>
                    <w:t>．除上述空间布局约束外，还应遵循国土空间规划管控要求。</w:t>
                  </w:r>
                </w:p>
              </w:tc>
              <w:tc>
                <w:tcPr>
                  <w:tcW w:w="870" w:type="dxa"/>
                  <w:noWrap w:val="0"/>
                  <w:vAlign w:val="center"/>
                </w:tcPr>
                <w:p w14:paraId="3A0AA090">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73629302">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3A47C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4A37A9C0">
                  <w:pPr>
                    <w:pStyle w:val="223"/>
                    <w:widowControl w:val="0"/>
                    <w:jc w:val="center"/>
                    <w:rPr>
                      <w:rFonts w:hint="eastAsia"/>
                      <w:color w:val="auto"/>
                      <w:sz w:val="21"/>
                      <w:szCs w:val="21"/>
                      <w:highlight w:val="none"/>
                      <w:u w:val="single"/>
                    </w:rPr>
                  </w:pPr>
                  <w:r>
                    <w:rPr>
                      <w:rFonts w:hAnsi="宋体" w:eastAsia="宋体"/>
                      <w:color w:val="auto"/>
                      <w:kern w:val="2"/>
                      <w:sz w:val="21"/>
                      <w:szCs w:val="21"/>
                      <w:highlight w:val="none"/>
                      <w:u w:val="none"/>
                      <w:lang w:bidi="ar-SA"/>
                    </w:rPr>
                    <w:t>污染物排放管控</w:t>
                  </w:r>
                </w:p>
              </w:tc>
              <w:tc>
                <w:tcPr>
                  <w:tcW w:w="3711" w:type="pct"/>
                  <w:noWrap w:val="0"/>
                  <w:vAlign w:val="center"/>
                </w:tcPr>
                <w:p w14:paraId="579EE22D">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以有色金属、建材、制糖、石化化工、造纸等行业为重点，推进节能改造和污染物深度治理；新建、改建、扩建的制浆造纸、印染、纺织、煤化工、石化、煤电等建设项目新增主要污染物排放应控制在区域总量的要求，确保环境质量达标。</w:t>
                  </w:r>
                </w:p>
              </w:tc>
              <w:tc>
                <w:tcPr>
                  <w:tcW w:w="870" w:type="dxa"/>
                  <w:noWrap w:val="0"/>
                  <w:vAlign w:val="center"/>
                </w:tcPr>
                <w:p w14:paraId="2B25A428">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34CFD3EC">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7133A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596989F">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21733D11">
                  <w:pPr>
                    <w:keepNext w:val="0"/>
                    <w:keepLines w:val="0"/>
                    <w:widowControl/>
                    <w:suppressLineNumbers w:val="0"/>
                    <w:jc w:val="left"/>
                    <w:rPr>
                      <w:rFonts w:hint="eastAsia"/>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持续加强工业集聚区污水集中处理设施建设，提高工业企业水循环利用率、污染物预处理能力及污染集中治理能力，补齐基础设施短板，按照“清污分流、雨污分流”原则，实施废水分类收集、分质处理，入园企业在达到国家或地方规定的排放标准后接入园区集中式污水处理设施稳定达标排放；加快推进深海排放基础设施建设。</w:t>
                  </w:r>
                </w:p>
              </w:tc>
              <w:tc>
                <w:tcPr>
                  <w:tcW w:w="870" w:type="dxa"/>
                  <w:noWrap w:val="0"/>
                  <w:vAlign w:val="center"/>
                </w:tcPr>
                <w:p w14:paraId="1B495736">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32A5ED73">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601B0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exact"/>
                <w:jc w:val="center"/>
              </w:trPr>
              <w:tc>
                <w:tcPr>
                  <w:tcW w:w="390" w:type="pct"/>
                  <w:vMerge w:val="continue"/>
                  <w:noWrap w:val="0"/>
                  <w:vAlign w:val="center"/>
                </w:tcPr>
                <w:p w14:paraId="3EB5A198">
                  <w:pPr>
                    <w:pStyle w:val="223"/>
                    <w:widowControl w:val="0"/>
                    <w:jc w:val="center"/>
                    <w:rPr>
                      <w:rFonts w:hint="eastAsia"/>
                      <w:color w:val="auto"/>
                      <w:sz w:val="21"/>
                      <w:szCs w:val="21"/>
                      <w:highlight w:val="none"/>
                      <w:u w:val="single"/>
                    </w:rPr>
                  </w:pPr>
                </w:p>
              </w:tc>
              <w:tc>
                <w:tcPr>
                  <w:tcW w:w="3711" w:type="pct"/>
                  <w:noWrap w:val="0"/>
                  <w:vAlign w:val="center"/>
                </w:tcPr>
                <w:p w14:paraId="5EB5E574">
                  <w:pPr>
                    <w:keepNext w:val="0"/>
                    <w:keepLines w:val="0"/>
                    <w:widowControl/>
                    <w:suppressLineNumbers w:val="0"/>
                    <w:jc w:val="left"/>
                    <w:rPr>
                      <w:rFonts w:hint="eastAsia" w:eastAsia="宋体"/>
                      <w:color w:val="auto"/>
                      <w:sz w:val="21"/>
                      <w:szCs w:val="21"/>
                      <w:highlight w:val="none"/>
                      <w:u w:val="single"/>
                      <w:lang w:eastAsia="zh-CN"/>
                    </w:rPr>
                  </w:pP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开展陆海统筹流域治理，深化钦江、大风江、茅岭江、南流江等流域水环境综合整治，钦江、南流江流域切实开展截污、拔污、清污、治污专项行动，以“控磷除氮”为重点，抓好养殖、生活、工业、农业面源等污染综合治理和河道生态修复，推进河流入海断面水质持续改善，进一步削减入海河流总氮、总磷等的排海量。全面开展茅尾海、钦州湾等重点海域综合整治。严厉打击非法用海抽砂行为，优化茅尾海等海域养殖规划布局，整治非法养殖。完善钦州港区污水截流及雨污分流、海上水产养殖尾水整治。</w:t>
                  </w:r>
                </w:p>
              </w:tc>
              <w:tc>
                <w:tcPr>
                  <w:tcW w:w="669" w:type="pct"/>
                  <w:noWrap w:val="0"/>
                  <w:vAlign w:val="center"/>
                </w:tcPr>
                <w:p w14:paraId="77D4AEC0">
                  <w:pPr>
                    <w:widowControl w:val="0"/>
                    <w:jc w:val="center"/>
                    <w:rPr>
                      <w:rFonts w:hint="eastAsia" w:eastAsia="宋体"/>
                      <w:color w:val="auto"/>
                      <w:sz w:val="21"/>
                      <w:szCs w:val="21"/>
                      <w:highlight w:val="none"/>
                      <w:u w:val="none"/>
                      <w:lang w:eastAsia="zh-CN"/>
                    </w:rPr>
                  </w:pPr>
                  <w:r>
                    <w:rPr>
                      <w:rFonts w:hint="eastAsia"/>
                      <w:color w:val="auto"/>
                      <w:sz w:val="21"/>
                      <w:szCs w:val="21"/>
                      <w:highlight w:val="none"/>
                      <w:u w:val="none"/>
                      <w:lang w:eastAsia="zh-CN"/>
                    </w:rPr>
                    <w:t>本项目不涉及。</w:t>
                  </w:r>
                </w:p>
              </w:tc>
              <w:tc>
                <w:tcPr>
                  <w:tcW w:w="229" w:type="pct"/>
                  <w:noWrap w:val="0"/>
                  <w:vAlign w:val="center"/>
                </w:tcPr>
                <w:p w14:paraId="3B725A0D">
                  <w:pPr>
                    <w:widowControl w:val="0"/>
                    <w:jc w:val="center"/>
                    <w:rPr>
                      <w:rFonts w:hint="eastAsia" w:eastAsia="宋体"/>
                      <w:color w:val="auto"/>
                      <w:sz w:val="21"/>
                      <w:szCs w:val="21"/>
                      <w:highlight w:val="none"/>
                      <w:u w:val="none"/>
                      <w:lang w:eastAsia="zh-CN"/>
                    </w:rPr>
                  </w:pPr>
                  <w:r>
                    <w:rPr>
                      <w:rFonts w:hint="eastAsia"/>
                      <w:color w:val="auto"/>
                      <w:sz w:val="21"/>
                      <w:szCs w:val="21"/>
                      <w:highlight w:val="none"/>
                      <w:u w:val="none"/>
                      <w:lang w:eastAsia="zh-CN"/>
                    </w:rPr>
                    <w:t>符合</w:t>
                  </w:r>
                </w:p>
              </w:tc>
            </w:tr>
            <w:tr w14:paraId="3D566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DED5FD3">
                  <w:pPr>
                    <w:pStyle w:val="223"/>
                    <w:widowControl w:val="0"/>
                    <w:jc w:val="both"/>
                    <w:rPr>
                      <w:color w:val="auto"/>
                      <w:sz w:val="21"/>
                      <w:szCs w:val="21"/>
                      <w:highlight w:val="none"/>
                    </w:rPr>
                  </w:pPr>
                </w:p>
              </w:tc>
              <w:tc>
                <w:tcPr>
                  <w:tcW w:w="3711" w:type="pct"/>
                  <w:noWrap w:val="0"/>
                  <w:vAlign w:val="center"/>
                </w:tcPr>
                <w:p w14:paraId="55A4E700">
                  <w:pPr>
                    <w:keepNext w:val="0"/>
                    <w:keepLines w:val="0"/>
                    <w:widowControl/>
                    <w:suppressLineNumbers w:val="0"/>
                    <w:jc w:val="left"/>
                    <w:rPr>
                      <w:rFonts w:eastAsia="宋体"/>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完善城镇污水处理厂配套管网建设，加强乡镇级污水处理设施及配套管网建设和改造，实施雨污分流改造，持续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tc>
              <w:tc>
                <w:tcPr>
                  <w:tcW w:w="870" w:type="dxa"/>
                  <w:noWrap w:val="0"/>
                  <w:vAlign w:val="center"/>
                </w:tcPr>
                <w:p w14:paraId="31E81FBE">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本项目不涉及。</w:t>
                  </w:r>
                </w:p>
              </w:tc>
              <w:tc>
                <w:tcPr>
                  <w:tcW w:w="298" w:type="dxa"/>
                  <w:noWrap w:val="0"/>
                  <w:vAlign w:val="center"/>
                </w:tcPr>
                <w:p w14:paraId="4D29F306">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符合</w:t>
                  </w:r>
                </w:p>
              </w:tc>
            </w:tr>
            <w:tr w14:paraId="2925B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4815E2F">
                  <w:pPr>
                    <w:pStyle w:val="223"/>
                    <w:widowControl w:val="0"/>
                    <w:jc w:val="both"/>
                    <w:rPr>
                      <w:color w:val="auto"/>
                      <w:sz w:val="21"/>
                      <w:szCs w:val="21"/>
                      <w:highlight w:val="none"/>
                    </w:rPr>
                  </w:pPr>
                </w:p>
              </w:tc>
              <w:tc>
                <w:tcPr>
                  <w:tcW w:w="3711" w:type="pct"/>
                  <w:noWrap w:val="0"/>
                  <w:vAlign w:val="center"/>
                </w:tcPr>
                <w:p w14:paraId="0A61A86C">
                  <w:pPr>
                    <w:keepNext w:val="0"/>
                    <w:keepLines w:val="0"/>
                    <w:widowControl/>
                    <w:suppressLineNumbers w:val="0"/>
                    <w:jc w:val="left"/>
                    <w:rPr>
                      <w:rFonts w:eastAsia="宋体"/>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．加强工业企业无组织废气排放控制，加强挥发性有机物（</w:t>
                  </w:r>
                  <w:r>
                    <w:rPr>
                      <w:rFonts w:hint="default" w:ascii="Times New Roman" w:hAnsi="Times New Roman" w:eastAsia="宋体" w:cs="Times New Roman"/>
                      <w:color w:val="auto"/>
                      <w:kern w:val="0"/>
                      <w:sz w:val="21"/>
                      <w:szCs w:val="21"/>
                      <w:highlight w:val="none"/>
                      <w:lang w:val="en-US" w:eastAsia="zh-CN" w:bidi="ar"/>
                    </w:rPr>
                    <w:t>VOCs</w:t>
                  </w:r>
                  <w:r>
                    <w:rPr>
                      <w:rFonts w:hint="eastAsia" w:ascii="宋体" w:hAnsi="宋体" w:eastAsia="宋体" w:cs="宋体"/>
                      <w:color w:val="auto"/>
                      <w:kern w:val="0"/>
                      <w:sz w:val="21"/>
                      <w:szCs w:val="21"/>
                      <w:highlight w:val="none"/>
                      <w:lang w:val="en-US" w:eastAsia="zh-CN" w:bidi="ar"/>
                    </w:rPr>
                    <w:t>）排放企业综合防治，加快高效</w:t>
                  </w:r>
                  <w:r>
                    <w:rPr>
                      <w:rFonts w:hint="default" w:ascii="Times New Roman" w:hAnsi="Times New Roman" w:eastAsia="宋体" w:cs="Times New Roman"/>
                      <w:color w:val="auto"/>
                      <w:kern w:val="0"/>
                      <w:sz w:val="21"/>
                      <w:szCs w:val="21"/>
                      <w:highlight w:val="none"/>
                      <w:lang w:val="en-US" w:eastAsia="zh-CN" w:bidi="ar"/>
                    </w:rPr>
                    <w:t>VOCs</w:t>
                  </w:r>
                  <w:r>
                    <w:rPr>
                      <w:rFonts w:hint="eastAsia" w:ascii="宋体" w:hAnsi="宋体" w:eastAsia="宋体" w:cs="宋体"/>
                      <w:color w:val="auto"/>
                      <w:kern w:val="0"/>
                      <w:sz w:val="21"/>
                      <w:szCs w:val="21"/>
                      <w:highlight w:val="none"/>
                      <w:lang w:val="en-US" w:eastAsia="zh-CN" w:bidi="ar"/>
                    </w:rPr>
                    <w:t>收集治理设施建设，大力提升</w:t>
                  </w:r>
                  <w:r>
                    <w:rPr>
                      <w:rFonts w:hint="default" w:ascii="Times New Roman" w:hAnsi="Times New Roman" w:eastAsia="宋体" w:cs="Times New Roman"/>
                      <w:color w:val="auto"/>
                      <w:kern w:val="0"/>
                      <w:sz w:val="21"/>
                      <w:szCs w:val="21"/>
                      <w:highlight w:val="none"/>
                      <w:lang w:val="en-US" w:eastAsia="zh-CN" w:bidi="ar"/>
                    </w:rPr>
                    <w:t>VOCs</w:t>
                  </w:r>
                  <w:r>
                    <w:rPr>
                      <w:rFonts w:hint="eastAsia" w:ascii="宋体" w:hAnsi="宋体" w:eastAsia="宋体" w:cs="宋体"/>
                      <w:color w:val="auto"/>
                      <w:kern w:val="0"/>
                      <w:sz w:val="21"/>
                      <w:szCs w:val="21"/>
                      <w:highlight w:val="none"/>
                      <w:lang w:val="en-US" w:eastAsia="zh-CN" w:bidi="ar"/>
                    </w:rPr>
                    <w:t>排放收集率、去除率和治理设施运行率。推进工业涂装、石化、包装印刷、木材加工、汽修等行业和油品储运销的</w:t>
                  </w:r>
                  <w:r>
                    <w:rPr>
                      <w:rFonts w:hint="default" w:ascii="Times New Roman" w:hAnsi="Times New Roman" w:eastAsia="宋体" w:cs="Times New Roman"/>
                      <w:color w:val="auto"/>
                      <w:kern w:val="0"/>
                      <w:sz w:val="21"/>
                      <w:szCs w:val="21"/>
                      <w:highlight w:val="none"/>
                      <w:lang w:val="en-US" w:eastAsia="zh-CN" w:bidi="ar"/>
                    </w:rPr>
                    <w:t>VOCs</w:t>
                  </w:r>
                  <w:r>
                    <w:rPr>
                      <w:rFonts w:hint="eastAsia" w:ascii="宋体" w:hAnsi="宋体" w:eastAsia="宋体" w:cs="宋体"/>
                      <w:color w:val="auto"/>
                      <w:kern w:val="0"/>
                      <w:sz w:val="21"/>
                      <w:szCs w:val="21"/>
                      <w:highlight w:val="none"/>
                      <w:lang w:val="en-US" w:eastAsia="zh-CN" w:bidi="ar"/>
                    </w:rPr>
                    <w:t>综合治理。</w:t>
                  </w:r>
                </w:p>
              </w:tc>
              <w:tc>
                <w:tcPr>
                  <w:tcW w:w="870" w:type="dxa"/>
                  <w:noWrap w:val="0"/>
                  <w:vAlign w:val="center"/>
                </w:tcPr>
                <w:p w14:paraId="61556357">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本项目不涉及。</w:t>
                  </w:r>
                </w:p>
              </w:tc>
              <w:tc>
                <w:tcPr>
                  <w:tcW w:w="298" w:type="dxa"/>
                  <w:noWrap w:val="0"/>
                  <w:vAlign w:val="center"/>
                </w:tcPr>
                <w:p w14:paraId="4BE22198">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符合</w:t>
                  </w:r>
                </w:p>
              </w:tc>
            </w:tr>
            <w:tr w14:paraId="1DC03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B0440E9">
                  <w:pPr>
                    <w:pStyle w:val="223"/>
                    <w:widowControl w:val="0"/>
                    <w:jc w:val="both"/>
                    <w:rPr>
                      <w:color w:val="auto"/>
                      <w:sz w:val="21"/>
                      <w:szCs w:val="21"/>
                      <w:highlight w:val="none"/>
                    </w:rPr>
                  </w:pPr>
                </w:p>
              </w:tc>
              <w:tc>
                <w:tcPr>
                  <w:tcW w:w="3711" w:type="pct"/>
                  <w:noWrap w:val="0"/>
                  <w:vAlign w:val="center"/>
                </w:tcPr>
                <w:p w14:paraId="513A8202">
                  <w:pPr>
                    <w:keepNext w:val="0"/>
                    <w:keepLines w:val="0"/>
                    <w:widowControl/>
                    <w:suppressLineNumbers w:val="0"/>
                    <w:jc w:val="left"/>
                    <w:rPr>
                      <w:rFonts w:eastAsia="宋体"/>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．完善园区集中供热设施，积极推广集中供热，有条件的工业聚集区建设集中喷涂工程中心，配备高效治污设施，替代企业独立喷涂工序。</w:t>
                  </w:r>
                </w:p>
              </w:tc>
              <w:tc>
                <w:tcPr>
                  <w:tcW w:w="870" w:type="dxa"/>
                  <w:noWrap w:val="0"/>
                  <w:vAlign w:val="center"/>
                </w:tcPr>
                <w:p w14:paraId="78D5E919">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本项目不涉及。</w:t>
                  </w:r>
                </w:p>
              </w:tc>
              <w:tc>
                <w:tcPr>
                  <w:tcW w:w="298" w:type="dxa"/>
                  <w:noWrap w:val="0"/>
                  <w:vAlign w:val="center"/>
                </w:tcPr>
                <w:p w14:paraId="360D7638">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符合</w:t>
                  </w:r>
                </w:p>
              </w:tc>
            </w:tr>
            <w:tr w14:paraId="51BC2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77E1FD6">
                  <w:pPr>
                    <w:pStyle w:val="223"/>
                    <w:widowControl w:val="0"/>
                    <w:jc w:val="both"/>
                    <w:rPr>
                      <w:color w:val="auto"/>
                      <w:sz w:val="21"/>
                      <w:szCs w:val="21"/>
                      <w:highlight w:val="none"/>
                    </w:rPr>
                  </w:pPr>
                </w:p>
              </w:tc>
              <w:tc>
                <w:tcPr>
                  <w:tcW w:w="3711" w:type="pct"/>
                  <w:noWrap w:val="0"/>
                  <w:vAlign w:val="center"/>
                </w:tcPr>
                <w:p w14:paraId="3E395E3A">
                  <w:pPr>
                    <w:keepNext w:val="0"/>
                    <w:keepLines w:val="0"/>
                    <w:widowControl/>
                    <w:suppressLineNumbers w:val="0"/>
                    <w:jc w:val="left"/>
                    <w:rPr>
                      <w:rFonts w:eastAsia="宋体"/>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．推进城镇生活垃圾处理基础设施扩能建设，强化渗滤液处理设施运营管理，防止渗滤液积存或违规倾倒垃圾渗滤液至市政管网；加强农村生活垃圾收运、处理体系建设，降低农村垃圾焚烧污染。</w:t>
                  </w:r>
                </w:p>
              </w:tc>
              <w:tc>
                <w:tcPr>
                  <w:tcW w:w="870" w:type="dxa"/>
                  <w:noWrap w:val="0"/>
                  <w:vAlign w:val="center"/>
                </w:tcPr>
                <w:p w14:paraId="2A077746">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本项目不涉及。</w:t>
                  </w:r>
                </w:p>
              </w:tc>
              <w:tc>
                <w:tcPr>
                  <w:tcW w:w="298" w:type="dxa"/>
                  <w:noWrap w:val="0"/>
                  <w:vAlign w:val="center"/>
                </w:tcPr>
                <w:p w14:paraId="5AA6768B">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符合</w:t>
                  </w:r>
                </w:p>
              </w:tc>
            </w:tr>
            <w:tr w14:paraId="73E27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2838C9B">
                  <w:pPr>
                    <w:pStyle w:val="223"/>
                    <w:widowControl w:val="0"/>
                    <w:jc w:val="both"/>
                    <w:rPr>
                      <w:color w:val="auto"/>
                      <w:sz w:val="21"/>
                      <w:szCs w:val="21"/>
                      <w:highlight w:val="none"/>
                    </w:rPr>
                  </w:pPr>
                </w:p>
              </w:tc>
              <w:tc>
                <w:tcPr>
                  <w:tcW w:w="3711" w:type="pct"/>
                  <w:noWrap w:val="0"/>
                  <w:vAlign w:val="center"/>
                </w:tcPr>
                <w:p w14:paraId="338D0AF4">
                  <w:pPr>
                    <w:keepNext w:val="0"/>
                    <w:keepLines w:val="0"/>
                    <w:widowControl/>
                    <w:suppressLineNumbers w:val="0"/>
                    <w:jc w:val="left"/>
                    <w:rPr>
                      <w:rFonts w:eastAsia="宋体"/>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．新建、改建、扩建涉及重点重金属排放建设项目依照相关规定实行总量控制。</w:t>
                  </w:r>
                </w:p>
              </w:tc>
              <w:tc>
                <w:tcPr>
                  <w:tcW w:w="870" w:type="dxa"/>
                  <w:noWrap w:val="0"/>
                  <w:vAlign w:val="center"/>
                </w:tcPr>
                <w:p w14:paraId="72220D57">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本项目不涉及。</w:t>
                  </w:r>
                </w:p>
              </w:tc>
              <w:tc>
                <w:tcPr>
                  <w:tcW w:w="298" w:type="dxa"/>
                  <w:noWrap w:val="0"/>
                  <w:vAlign w:val="center"/>
                </w:tcPr>
                <w:p w14:paraId="244DEB36">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符合</w:t>
                  </w:r>
                </w:p>
              </w:tc>
            </w:tr>
            <w:tr w14:paraId="58A05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566C6C6">
                  <w:pPr>
                    <w:pStyle w:val="223"/>
                    <w:widowControl w:val="0"/>
                    <w:jc w:val="both"/>
                    <w:rPr>
                      <w:color w:val="auto"/>
                      <w:sz w:val="21"/>
                      <w:szCs w:val="21"/>
                      <w:highlight w:val="none"/>
                    </w:rPr>
                  </w:pPr>
                </w:p>
              </w:tc>
              <w:tc>
                <w:tcPr>
                  <w:tcW w:w="3711" w:type="pct"/>
                  <w:noWrap w:val="0"/>
                  <w:vAlign w:val="center"/>
                </w:tcPr>
                <w:p w14:paraId="0B957A6A">
                  <w:pPr>
                    <w:keepNext w:val="0"/>
                    <w:keepLines w:val="0"/>
                    <w:widowControl/>
                    <w:suppressLineNumbers w:val="0"/>
                    <w:jc w:val="left"/>
                    <w:rPr>
                      <w:rFonts w:eastAsia="宋体"/>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新建“两高”项目应采用先进适用的工艺技术和装备，单位产品物耗、能耗、水耗等达到清洁生产先进水平，依法制定并严格落实防治土壤与地下水污染的措施。按照《关于加强重点行业建设项目区域削减措施监督管理的通知》要求，依据区域环境质量改善目标，制定配套区域污染物削减方案，采取有效的污染物区域削减措施，腾出足够的环境容量。</w:t>
                  </w:r>
                </w:p>
              </w:tc>
              <w:tc>
                <w:tcPr>
                  <w:tcW w:w="870" w:type="dxa"/>
                  <w:noWrap w:val="0"/>
                  <w:vAlign w:val="center"/>
                </w:tcPr>
                <w:p w14:paraId="6C522BD7">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本项目不涉及。</w:t>
                  </w:r>
                </w:p>
              </w:tc>
              <w:tc>
                <w:tcPr>
                  <w:tcW w:w="298" w:type="dxa"/>
                  <w:noWrap w:val="0"/>
                  <w:vAlign w:val="center"/>
                </w:tcPr>
                <w:p w14:paraId="07272BCC">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符合</w:t>
                  </w:r>
                </w:p>
              </w:tc>
            </w:tr>
            <w:tr w14:paraId="1673D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54B94FE2">
                  <w:pPr>
                    <w:pStyle w:val="223"/>
                    <w:widowControl w:val="0"/>
                    <w:jc w:val="both"/>
                    <w:rPr>
                      <w:color w:val="auto"/>
                      <w:sz w:val="21"/>
                      <w:szCs w:val="21"/>
                      <w:highlight w:val="none"/>
                    </w:rPr>
                  </w:pPr>
                </w:p>
              </w:tc>
              <w:tc>
                <w:tcPr>
                  <w:tcW w:w="3711" w:type="pct"/>
                  <w:noWrap w:val="0"/>
                  <w:vAlign w:val="center"/>
                </w:tcPr>
                <w:p w14:paraId="63EC9604">
                  <w:pPr>
                    <w:keepNext w:val="0"/>
                    <w:keepLines w:val="0"/>
                    <w:widowControl/>
                    <w:suppressLineNumbers w:val="0"/>
                    <w:jc w:val="left"/>
                    <w:rPr>
                      <w:rFonts w:eastAsia="宋体"/>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val="en-US" w:eastAsia="zh-CN" w:bidi="ar"/>
                    </w:rPr>
                    <w:t>．加强海陆联动，严格控制陆源污染物排放。规范入海排污口设置，全面清理非法或设置不合理的入海排污口。加快推进钦州港三墩作业区配套深海排放管道工程。</w:t>
                  </w:r>
                </w:p>
              </w:tc>
              <w:tc>
                <w:tcPr>
                  <w:tcW w:w="669" w:type="pct"/>
                  <w:noWrap w:val="0"/>
                  <w:vAlign w:val="center"/>
                </w:tcPr>
                <w:p w14:paraId="3717A9ED">
                  <w:pPr>
                    <w:widowControl w:val="0"/>
                    <w:jc w:val="center"/>
                    <w:rPr>
                      <w:rFonts w:hint="eastAsia" w:eastAsia="宋体"/>
                      <w:color w:val="auto"/>
                      <w:kern w:val="2"/>
                      <w:sz w:val="21"/>
                      <w:szCs w:val="21"/>
                      <w:highlight w:val="none"/>
                      <w:u w:val="none"/>
                      <w:lang w:eastAsia="zh-CN" w:bidi="ar-SA"/>
                    </w:rPr>
                  </w:pPr>
                  <w:r>
                    <w:rPr>
                      <w:rFonts w:hint="eastAsia" w:eastAsia="宋体"/>
                      <w:color w:val="auto"/>
                      <w:kern w:val="2"/>
                      <w:sz w:val="21"/>
                      <w:szCs w:val="21"/>
                      <w:highlight w:val="none"/>
                      <w:u w:val="none"/>
                      <w:lang w:eastAsia="zh-CN" w:bidi="ar-SA"/>
                    </w:rPr>
                    <w:t>本项目不涉及。</w:t>
                  </w:r>
                </w:p>
              </w:tc>
              <w:tc>
                <w:tcPr>
                  <w:tcW w:w="229" w:type="pct"/>
                  <w:noWrap w:val="0"/>
                  <w:vAlign w:val="center"/>
                </w:tcPr>
                <w:p w14:paraId="2E92A3C7">
                  <w:pPr>
                    <w:widowControl w:val="0"/>
                    <w:jc w:val="center"/>
                    <w:rPr>
                      <w:rFonts w:hint="eastAsia" w:eastAsia="宋体"/>
                      <w:color w:val="auto"/>
                      <w:kern w:val="2"/>
                      <w:sz w:val="21"/>
                      <w:szCs w:val="21"/>
                      <w:highlight w:val="none"/>
                      <w:u w:val="none"/>
                      <w:lang w:eastAsia="zh-CN" w:bidi="ar-SA"/>
                    </w:rPr>
                  </w:pPr>
                  <w:r>
                    <w:rPr>
                      <w:rFonts w:hint="eastAsia" w:eastAsia="宋体"/>
                      <w:color w:val="auto"/>
                      <w:kern w:val="2"/>
                      <w:sz w:val="21"/>
                      <w:szCs w:val="21"/>
                      <w:highlight w:val="none"/>
                      <w:u w:val="none"/>
                      <w:lang w:eastAsia="zh-CN" w:bidi="ar-SA"/>
                    </w:rPr>
                    <w:t>符合</w:t>
                  </w:r>
                </w:p>
              </w:tc>
            </w:tr>
            <w:tr w14:paraId="71B9B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348AA36">
                  <w:pPr>
                    <w:pStyle w:val="223"/>
                    <w:widowControl w:val="0"/>
                    <w:jc w:val="both"/>
                    <w:rPr>
                      <w:color w:val="auto"/>
                      <w:sz w:val="21"/>
                      <w:szCs w:val="21"/>
                      <w:highlight w:val="none"/>
                    </w:rPr>
                  </w:pPr>
                </w:p>
              </w:tc>
              <w:tc>
                <w:tcPr>
                  <w:tcW w:w="3711" w:type="pct"/>
                  <w:noWrap w:val="0"/>
                  <w:vAlign w:val="center"/>
                </w:tcPr>
                <w:p w14:paraId="22B60325">
                  <w:pPr>
                    <w:keepNext w:val="0"/>
                    <w:keepLines w:val="0"/>
                    <w:widowControl/>
                    <w:suppressLineNumbers w:val="0"/>
                    <w:jc w:val="left"/>
                    <w:rPr>
                      <w:rFonts w:eastAsia="宋体"/>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11</w:t>
                  </w:r>
                  <w:r>
                    <w:rPr>
                      <w:rFonts w:hint="eastAsia" w:ascii="宋体" w:hAnsi="宋体" w:eastAsia="宋体" w:cs="宋体"/>
                      <w:color w:val="auto"/>
                      <w:kern w:val="0"/>
                      <w:sz w:val="21"/>
                      <w:szCs w:val="21"/>
                      <w:highlight w:val="none"/>
                      <w:lang w:val="en-US" w:eastAsia="zh-CN" w:bidi="ar"/>
                    </w:rPr>
                    <w:t>．积极治理船舶污染，推进与城市公共转运及处置设施的有效衔接，全面贯彻落实《广西北部湾港船舶污染物接收、转运、处置能力评估及相应设施建设方案》，建设完善船舶污染物接收处理设施，提高含油污水、化学品洗舱水、船舶垃圾等接收处置能力及污染事故应急能力。加强钦州港码头和船舶修造厂等绿色岸电、环卫设施、污水处理设施建设使用。</w:t>
                  </w:r>
                </w:p>
              </w:tc>
              <w:tc>
                <w:tcPr>
                  <w:tcW w:w="669" w:type="pct"/>
                  <w:noWrap w:val="0"/>
                  <w:vAlign w:val="center"/>
                </w:tcPr>
                <w:p w14:paraId="7D31190C">
                  <w:pPr>
                    <w:widowControl w:val="0"/>
                    <w:jc w:val="center"/>
                    <w:rPr>
                      <w:rFonts w:hint="default" w:eastAsia="宋体"/>
                      <w:color w:val="auto"/>
                      <w:kern w:val="2"/>
                      <w:sz w:val="21"/>
                      <w:szCs w:val="21"/>
                      <w:highlight w:val="none"/>
                      <w:u w:val="none"/>
                      <w:lang w:val="en-US" w:eastAsia="zh-CN" w:bidi="ar-SA"/>
                    </w:rPr>
                  </w:pPr>
                  <w:r>
                    <w:rPr>
                      <w:rFonts w:hint="eastAsia" w:eastAsia="宋体"/>
                      <w:color w:val="auto"/>
                      <w:kern w:val="2"/>
                      <w:sz w:val="21"/>
                      <w:szCs w:val="21"/>
                      <w:highlight w:val="none"/>
                      <w:u w:val="none"/>
                      <w:lang w:val="en-US" w:eastAsia="zh-CN" w:bidi="ar-SA"/>
                    </w:rPr>
                    <w:t>项目施工船舶污水、船舶生活污水、船舶生活垃圾经收集后交由有资质单位处置。</w:t>
                  </w:r>
                </w:p>
              </w:tc>
              <w:tc>
                <w:tcPr>
                  <w:tcW w:w="229" w:type="pct"/>
                  <w:noWrap w:val="0"/>
                  <w:vAlign w:val="center"/>
                </w:tcPr>
                <w:p w14:paraId="52735337">
                  <w:pPr>
                    <w:widowControl w:val="0"/>
                    <w:jc w:val="center"/>
                    <w:rPr>
                      <w:rFonts w:hint="eastAsia" w:eastAsia="宋体"/>
                      <w:color w:val="auto"/>
                      <w:kern w:val="2"/>
                      <w:sz w:val="21"/>
                      <w:szCs w:val="21"/>
                      <w:highlight w:val="none"/>
                      <w:u w:val="none"/>
                      <w:lang w:val="en-US" w:eastAsia="zh-CN" w:bidi="ar-SA"/>
                    </w:rPr>
                  </w:pPr>
                  <w:r>
                    <w:rPr>
                      <w:rFonts w:hint="eastAsia" w:eastAsia="宋体"/>
                      <w:color w:val="auto"/>
                      <w:kern w:val="2"/>
                      <w:sz w:val="21"/>
                      <w:szCs w:val="21"/>
                      <w:highlight w:val="none"/>
                      <w:u w:val="none"/>
                      <w:lang w:val="en-US" w:eastAsia="zh-CN" w:bidi="ar-SA"/>
                    </w:rPr>
                    <w:t>符合</w:t>
                  </w:r>
                </w:p>
              </w:tc>
            </w:tr>
            <w:tr w14:paraId="344A4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B717E56">
                  <w:pPr>
                    <w:pStyle w:val="223"/>
                    <w:widowControl w:val="0"/>
                    <w:jc w:val="both"/>
                    <w:rPr>
                      <w:rFonts w:eastAsia="宋体"/>
                      <w:color w:val="auto"/>
                      <w:kern w:val="2"/>
                      <w:sz w:val="21"/>
                      <w:szCs w:val="21"/>
                      <w:highlight w:val="none"/>
                      <w:u w:val="none"/>
                      <w:lang w:bidi="ar-SA"/>
                    </w:rPr>
                  </w:pPr>
                </w:p>
              </w:tc>
              <w:tc>
                <w:tcPr>
                  <w:tcW w:w="3711" w:type="pct"/>
                  <w:noWrap w:val="0"/>
                  <w:vAlign w:val="center"/>
                </w:tcPr>
                <w:p w14:paraId="70924C35">
                  <w:pPr>
                    <w:keepNext w:val="0"/>
                    <w:keepLines w:val="0"/>
                    <w:widowControl/>
                    <w:suppressLineNumbers w:val="0"/>
                    <w:jc w:val="left"/>
                    <w:rPr>
                      <w:rFonts w:eastAsia="宋体"/>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12</w:t>
                  </w:r>
                  <w:r>
                    <w:rPr>
                      <w:rFonts w:hint="eastAsia" w:ascii="宋体" w:hAnsi="宋体" w:eastAsia="宋体" w:cs="宋体"/>
                      <w:color w:val="auto"/>
                      <w:kern w:val="0"/>
                      <w:sz w:val="21"/>
                      <w:szCs w:val="21"/>
                      <w:highlight w:val="none"/>
                      <w:lang w:val="en-US" w:eastAsia="zh-CN" w:bidi="ar"/>
                    </w:rPr>
                    <w:t>．加强港口码头环保基础设施处理和建设。完善堆场防风抑尘设施，降低扬尘污染。港区实行雨污分流和污水分质处理，防止堆场废水通过雨水沟直排入海，完善配套污水处理设施和管网建设，实现污水集中处理、回用或达标排放。</w:t>
                  </w:r>
                </w:p>
              </w:tc>
              <w:tc>
                <w:tcPr>
                  <w:tcW w:w="669" w:type="pct"/>
                  <w:noWrap w:val="0"/>
                  <w:vAlign w:val="center"/>
                </w:tcPr>
                <w:p w14:paraId="02963280">
                  <w:pPr>
                    <w:widowControl w:val="0"/>
                    <w:jc w:val="both"/>
                    <w:rPr>
                      <w:rFonts w:hint="eastAsia" w:eastAsia="宋体"/>
                      <w:color w:val="auto"/>
                      <w:kern w:val="2"/>
                      <w:sz w:val="21"/>
                      <w:szCs w:val="21"/>
                      <w:highlight w:val="none"/>
                      <w:u w:val="none"/>
                      <w:lang w:eastAsia="zh-CN" w:bidi="ar-SA"/>
                    </w:rPr>
                  </w:pPr>
                  <w:r>
                    <w:rPr>
                      <w:rFonts w:hint="eastAsia" w:eastAsia="宋体"/>
                      <w:color w:val="auto"/>
                      <w:kern w:val="2"/>
                      <w:sz w:val="21"/>
                      <w:szCs w:val="21"/>
                      <w:highlight w:val="none"/>
                      <w:u w:val="none"/>
                      <w:lang w:eastAsia="zh-CN" w:bidi="ar-SA"/>
                    </w:rPr>
                    <w:t>本项目不涉及。</w:t>
                  </w:r>
                </w:p>
              </w:tc>
              <w:tc>
                <w:tcPr>
                  <w:tcW w:w="229" w:type="pct"/>
                  <w:noWrap w:val="0"/>
                  <w:vAlign w:val="center"/>
                </w:tcPr>
                <w:p w14:paraId="5F5284C6">
                  <w:pPr>
                    <w:widowControl w:val="0"/>
                    <w:jc w:val="center"/>
                    <w:rPr>
                      <w:rFonts w:hint="eastAsia" w:eastAsia="宋体"/>
                      <w:color w:val="auto"/>
                      <w:kern w:val="2"/>
                      <w:sz w:val="21"/>
                      <w:szCs w:val="21"/>
                      <w:highlight w:val="none"/>
                      <w:u w:val="none"/>
                      <w:lang w:eastAsia="zh-CN" w:bidi="ar-SA"/>
                    </w:rPr>
                  </w:pPr>
                  <w:r>
                    <w:rPr>
                      <w:rFonts w:hint="eastAsia" w:eastAsia="宋体"/>
                      <w:color w:val="auto"/>
                      <w:kern w:val="2"/>
                      <w:sz w:val="21"/>
                      <w:szCs w:val="21"/>
                      <w:highlight w:val="none"/>
                      <w:u w:val="none"/>
                      <w:lang w:eastAsia="zh-CN" w:bidi="ar-SA"/>
                    </w:rPr>
                    <w:t>符合</w:t>
                  </w:r>
                </w:p>
              </w:tc>
            </w:tr>
            <w:tr w14:paraId="30636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D4F4B7F">
                  <w:pPr>
                    <w:pStyle w:val="223"/>
                    <w:widowControl w:val="0"/>
                    <w:jc w:val="both"/>
                    <w:rPr>
                      <w:rFonts w:eastAsia="宋体"/>
                      <w:color w:val="auto"/>
                      <w:kern w:val="2"/>
                      <w:sz w:val="21"/>
                      <w:szCs w:val="21"/>
                      <w:highlight w:val="none"/>
                      <w:u w:val="none"/>
                      <w:lang w:bidi="ar-SA"/>
                    </w:rPr>
                  </w:pPr>
                </w:p>
              </w:tc>
              <w:tc>
                <w:tcPr>
                  <w:tcW w:w="3711" w:type="pct"/>
                  <w:noWrap w:val="0"/>
                  <w:vAlign w:val="center"/>
                </w:tcPr>
                <w:p w14:paraId="35B2CAFD">
                  <w:pPr>
                    <w:keepNext w:val="0"/>
                    <w:keepLines w:val="0"/>
                    <w:widowControl/>
                    <w:suppressLineNumbers w:val="0"/>
                    <w:jc w:val="left"/>
                    <w:rPr>
                      <w:rFonts w:hint="eastAsia" w:eastAsia="宋体"/>
                      <w:color w:val="auto"/>
                      <w:kern w:val="2"/>
                      <w:sz w:val="21"/>
                      <w:szCs w:val="21"/>
                      <w:highlight w:val="none"/>
                      <w:u w:val="none"/>
                      <w:lang w:eastAsia="zh-CN" w:bidi="ar-SA"/>
                    </w:rPr>
                  </w:pPr>
                  <w:r>
                    <w:rPr>
                      <w:rFonts w:hint="default" w:ascii="Times New Roman" w:hAnsi="Times New Roman" w:eastAsia="宋体" w:cs="Times New Roman"/>
                      <w:color w:val="auto"/>
                      <w:kern w:val="0"/>
                      <w:sz w:val="21"/>
                      <w:szCs w:val="21"/>
                      <w:highlight w:val="none"/>
                      <w:lang w:val="en-US" w:eastAsia="zh-CN" w:bidi="ar"/>
                    </w:rPr>
                    <w:t>13</w:t>
                  </w:r>
                  <w:r>
                    <w:rPr>
                      <w:rFonts w:hint="eastAsia" w:ascii="宋体" w:hAnsi="宋体" w:eastAsia="宋体" w:cs="宋体"/>
                      <w:color w:val="auto"/>
                      <w:kern w:val="0"/>
                      <w:sz w:val="21"/>
                      <w:szCs w:val="21"/>
                      <w:highlight w:val="none"/>
                      <w:lang w:val="en-US" w:eastAsia="zh-CN" w:bidi="ar"/>
                    </w:rPr>
                    <w:t>．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795" w:type="dxa"/>
                  <w:noWrap w:val="0"/>
                  <w:vAlign w:val="center"/>
                </w:tcPr>
                <w:p w14:paraId="1D5B809A">
                  <w:pPr>
                    <w:widowControl w:val="0"/>
                    <w:jc w:val="center"/>
                    <w:rPr>
                      <w:rFonts w:hint="default" w:eastAsia="宋体"/>
                      <w:color w:val="auto"/>
                      <w:kern w:val="2"/>
                      <w:sz w:val="21"/>
                      <w:szCs w:val="21"/>
                      <w:highlight w:val="none"/>
                      <w:u w:val="none"/>
                      <w:lang w:val="en-US" w:eastAsia="zh-CN" w:bidi="ar-SA"/>
                    </w:rPr>
                  </w:pPr>
                  <w:r>
                    <w:rPr>
                      <w:rFonts w:hint="eastAsia" w:eastAsia="宋体"/>
                      <w:color w:val="auto"/>
                      <w:kern w:val="2"/>
                      <w:sz w:val="21"/>
                      <w:szCs w:val="21"/>
                      <w:highlight w:val="none"/>
                      <w:u w:val="none"/>
                      <w:lang w:val="en-US" w:eastAsia="zh-CN" w:bidi="ar-SA"/>
                    </w:rPr>
                    <w:t>项目施工船舶污水、船舶生活污水、船舶生活垃圾经收集后交由有资质单位处置。</w:t>
                  </w:r>
                </w:p>
              </w:tc>
              <w:tc>
                <w:tcPr>
                  <w:tcW w:w="615" w:type="dxa"/>
                  <w:noWrap w:val="0"/>
                  <w:vAlign w:val="center"/>
                </w:tcPr>
                <w:p w14:paraId="18AB1BCE">
                  <w:pPr>
                    <w:widowControl w:val="0"/>
                    <w:jc w:val="center"/>
                    <w:rPr>
                      <w:rFonts w:eastAsia="宋体"/>
                      <w:color w:val="auto"/>
                      <w:kern w:val="2"/>
                      <w:sz w:val="21"/>
                      <w:szCs w:val="21"/>
                      <w:highlight w:val="none"/>
                      <w:u w:val="none"/>
                      <w:lang w:bidi="ar-SA"/>
                    </w:rPr>
                  </w:pPr>
                  <w:r>
                    <w:rPr>
                      <w:rFonts w:hint="eastAsia" w:eastAsia="宋体"/>
                      <w:color w:val="auto"/>
                      <w:kern w:val="2"/>
                      <w:sz w:val="21"/>
                      <w:szCs w:val="21"/>
                      <w:highlight w:val="none"/>
                      <w:u w:val="none"/>
                      <w:lang w:val="en-US" w:eastAsia="zh-CN" w:bidi="ar-SA"/>
                    </w:rPr>
                    <w:t>符合</w:t>
                  </w:r>
                </w:p>
              </w:tc>
            </w:tr>
            <w:tr w14:paraId="47642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5AD97134">
                  <w:pPr>
                    <w:pStyle w:val="223"/>
                    <w:widowControl w:val="0"/>
                    <w:jc w:val="both"/>
                    <w:rPr>
                      <w:rFonts w:eastAsia="宋体"/>
                      <w:color w:val="auto"/>
                      <w:kern w:val="2"/>
                      <w:sz w:val="21"/>
                      <w:szCs w:val="21"/>
                      <w:highlight w:val="none"/>
                      <w:u w:val="none"/>
                      <w:lang w:bidi="ar-SA"/>
                    </w:rPr>
                  </w:pPr>
                </w:p>
              </w:tc>
              <w:tc>
                <w:tcPr>
                  <w:tcW w:w="3711" w:type="pct"/>
                  <w:noWrap w:val="0"/>
                  <w:vAlign w:val="center"/>
                </w:tcPr>
                <w:p w14:paraId="5B3884E7">
                  <w:pPr>
                    <w:keepNext w:val="0"/>
                    <w:keepLines w:val="0"/>
                    <w:widowControl/>
                    <w:suppressLineNumbers w:val="0"/>
                    <w:jc w:val="left"/>
                    <w:rPr>
                      <w:rFonts w:eastAsia="宋体"/>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14</w:t>
                  </w:r>
                  <w:r>
                    <w:rPr>
                      <w:rFonts w:hint="eastAsia" w:ascii="宋体" w:hAnsi="宋体" w:eastAsia="宋体" w:cs="宋体"/>
                      <w:color w:val="auto"/>
                      <w:kern w:val="0"/>
                      <w:sz w:val="21"/>
                      <w:szCs w:val="21"/>
                      <w:highlight w:val="none"/>
                      <w:lang w:val="en-US" w:eastAsia="zh-CN" w:bidi="ar"/>
                    </w:rPr>
                    <w:t>．按照养殖容量控制养殖规模和养殖密度，发展健康、生态养殖方式，推动海水养殖环保设施建设，规范海水养殖尾水排放，加强对蓝圆鲹和二长棘鲷产卵场的保护。旅游休闲娱乐区的污水和垃圾应科学处置、达标排放，禁止直接排入海域。</w:t>
                  </w:r>
                </w:p>
              </w:tc>
              <w:tc>
                <w:tcPr>
                  <w:tcW w:w="669" w:type="pct"/>
                  <w:noWrap w:val="0"/>
                  <w:vAlign w:val="center"/>
                </w:tcPr>
                <w:p w14:paraId="7FCB319F">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本项目不涉及。</w:t>
                  </w:r>
                </w:p>
              </w:tc>
              <w:tc>
                <w:tcPr>
                  <w:tcW w:w="229" w:type="pct"/>
                  <w:noWrap w:val="0"/>
                  <w:vAlign w:val="center"/>
                </w:tcPr>
                <w:p w14:paraId="06F25D55">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符合</w:t>
                  </w:r>
                </w:p>
              </w:tc>
            </w:tr>
            <w:tr w14:paraId="094AB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6029343">
                  <w:pPr>
                    <w:pStyle w:val="223"/>
                    <w:widowControl w:val="0"/>
                    <w:jc w:val="both"/>
                    <w:rPr>
                      <w:rFonts w:eastAsia="宋体"/>
                      <w:color w:val="auto"/>
                      <w:kern w:val="2"/>
                      <w:sz w:val="21"/>
                      <w:szCs w:val="21"/>
                      <w:highlight w:val="none"/>
                      <w:u w:val="none"/>
                      <w:lang w:bidi="ar-SA"/>
                    </w:rPr>
                  </w:pPr>
                </w:p>
              </w:tc>
              <w:tc>
                <w:tcPr>
                  <w:tcW w:w="3711" w:type="pct"/>
                  <w:noWrap w:val="0"/>
                  <w:vAlign w:val="center"/>
                </w:tcPr>
                <w:p w14:paraId="253AE01F">
                  <w:pPr>
                    <w:keepNext w:val="0"/>
                    <w:keepLines w:val="0"/>
                    <w:widowControl/>
                    <w:suppressLineNumbers w:val="0"/>
                    <w:jc w:val="left"/>
                    <w:rPr>
                      <w:rFonts w:eastAsia="宋体"/>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15</w:t>
                  </w:r>
                  <w:r>
                    <w:rPr>
                      <w:rFonts w:hint="eastAsia" w:ascii="宋体" w:hAnsi="宋体" w:eastAsia="宋体" w:cs="宋体"/>
                      <w:color w:val="auto"/>
                      <w:kern w:val="0"/>
                      <w:sz w:val="21"/>
                      <w:szCs w:val="21"/>
                      <w:highlight w:val="none"/>
                      <w:lang w:val="en-US" w:eastAsia="zh-CN" w:bidi="ar"/>
                    </w:rPr>
                    <w:t>．推动造纸行业节能改造，加大有机废液、有机废物、生物质气体的回收利用，固体废物近零排放。</w:t>
                  </w:r>
                </w:p>
              </w:tc>
              <w:tc>
                <w:tcPr>
                  <w:tcW w:w="669" w:type="pct"/>
                  <w:noWrap w:val="0"/>
                  <w:vAlign w:val="center"/>
                </w:tcPr>
                <w:p w14:paraId="4AA368BD">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本项目不涉及。</w:t>
                  </w:r>
                </w:p>
              </w:tc>
              <w:tc>
                <w:tcPr>
                  <w:tcW w:w="229" w:type="pct"/>
                  <w:noWrap w:val="0"/>
                  <w:vAlign w:val="center"/>
                </w:tcPr>
                <w:p w14:paraId="3A3799EB">
                  <w:pPr>
                    <w:widowControl w:val="0"/>
                    <w:jc w:val="center"/>
                    <w:rPr>
                      <w:rFonts w:eastAsia="宋体"/>
                      <w:color w:val="auto"/>
                      <w:kern w:val="2"/>
                      <w:sz w:val="21"/>
                      <w:szCs w:val="21"/>
                      <w:highlight w:val="none"/>
                      <w:u w:val="none"/>
                      <w:lang w:bidi="ar-SA"/>
                    </w:rPr>
                  </w:pPr>
                  <w:r>
                    <w:rPr>
                      <w:rFonts w:hint="eastAsia"/>
                      <w:color w:val="auto"/>
                      <w:sz w:val="21"/>
                      <w:szCs w:val="21"/>
                      <w:highlight w:val="none"/>
                      <w:u w:val="none"/>
                      <w:lang w:val="en-US" w:eastAsia="zh-CN"/>
                    </w:rPr>
                    <w:t>符合</w:t>
                  </w:r>
                </w:p>
              </w:tc>
            </w:tr>
            <w:tr w14:paraId="26B5E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067A2105">
                  <w:pPr>
                    <w:pStyle w:val="223"/>
                    <w:widowControl w:val="0"/>
                    <w:jc w:val="center"/>
                    <w:rPr>
                      <w:rFonts w:hint="eastAsia"/>
                      <w:color w:val="auto"/>
                      <w:sz w:val="21"/>
                      <w:szCs w:val="21"/>
                      <w:highlight w:val="none"/>
                      <w:u w:val="single"/>
                    </w:rPr>
                  </w:pPr>
                  <w:r>
                    <w:rPr>
                      <w:rFonts w:hAnsi="宋体" w:eastAsia="宋体"/>
                      <w:color w:val="auto"/>
                      <w:kern w:val="2"/>
                      <w:sz w:val="21"/>
                      <w:szCs w:val="21"/>
                      <w:highlight w:val="none"/>
                      <w:u w:val="none"/>
                      <w:lang w:bidi="ar-SA"/>
                    </w:rPr>
                    <w:t>环境风险防控</w:t>
                  </w:r>
                </w:p>
              </w:tc>
              <w:tc>
                <w:tcPr>
                  <w:tcW w:w="3711" w:type="pct"/>
                  <w:noWrap w:val="0"/>
                  <w:vAlign w:val="center"/>
                </w:tcPr>
                <w:p w14:paraId="0B3EB4B9">
                  <w:pPr>
                    <w:keepNext w:val="0"/>
                    <w:keepLines w:val="0"/>
                    <w:widowControl/>
                    <w:suppressLineNumbers w:val="0"/>
                    <w:jc w:val="left"/>
                    <w:rPr>
                      <w:rFonts w:hint="eastAsia"/>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669" w:type="pct"/>
                  <w:noWrap w:val="0"/>
                  <w:vAlign w:val="center"/>
                </w:tcPr>
                <w:p w14:paraId="6881D1DC">
                  <w:pPr>
                    <w:widowControl w:val="0"/>
                    <w:jc w:val="center"/>
                    <w:rPr>
                      <w:rFonts w:hint="eastAsia"/>
                      <w:color w:val="auto"/>
                      <w:sz w:val="21"/>
                      <w:szCs w:val="21"/>
                      <w:highlight w:val="none"/>
                      <w:u w:val="single"/>
                    </w:rPr>
                  </w:pPr>
                  <w:r>
                    <w:rPr>
                      <w:rFonts w:hint="eastAsia"/>
                      <w:color w:val="auto"/>
                      <w:sz w:val="21"/>
                      <w:szCs w:val="21"/>
                      <w:highlight w:val="none"/>
                      <w:u w:val="none"/>
                      <w:lang w:val="en-US" w:eastAsia="zh-CN"/>
                    </w:rPr>
                    <w:t>本项目不涉及。</w:t>
                  </w:r>
                </w:p>
              </w:tc>
              <w:tc>
                <w:tcPr>
                  <w:tcW w:w="229" w:type="pct"/>
                  <w:noWrap w:val="0"/>
                  <w:vAlign w:val="center"/>
                </w:tcPr>
                <w:p w14:paraId="2596B927">
                  <w:pPr>
                    <w:widowControl w:val="0"/>
                    <w:jc w:val="center"/>
                    <w:rPr>
                      <w:rFonts w:hint="eastAsia"/>
                      <w:color w:val="auto"/>
                      <w:sz w:val="21"/>
                      <w:szCs w:val="21"/>
                      <w:highlight w:val="none"/>
                      <w:u w:val="single"/>
                    </w:rPr>
                  </w:pPr>
                  <w:r>
                    <w:rPr>
                      <w:rFonts w:hint="eastAsia"/>
                      <w:color w:val="auto"/>
                      <w:sz w:val="21"/>
                      <w:szCs w:val="21"/>
                      <w:highlight w:val="none"/>
                      <w:u w:val="none"/>
                      <w:lang w:val="en-US" w:eastAsia="zh-CN"/>
                    </w:rPr>
                    <w:t>符合</w:t>
                  </w:r>
                </w:p>
              </w:tc>
            </w:tr>
            <w:tr w14:paraId="45C6C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1F6484EC">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30E2E99F">
                  <w:pPr>
                    <w:keepNext w:val="0"/>
                    <w:keepLines w:val="0"/>
                    <w:widowControl/>
                    <w:suppressLineNumbers w:val="0"/>
                    <w:jc w:val="left"/>
                    <w:rPr>
                      <w:rFonts w:hint="eastAsia"/>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．选择涉重涉危企业、化工园区、集中式饮用水水源地等重要区域开展突发环境事件风险、环境健康风险评估，实施分类分级风险管控。</w:t>
                  </w:r>
                </w:p>
              </w:tc>
              <w:tc>
                <w:tcPr>
                  <w:tcW w:w="870" w:type="dxa"/>
                  <w:noWrap w:val="0"/>
                  <w:vAlign w:val="center"/>
                </w:tcPr>
                <w:p w14:paraId="571A6238">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3C919735">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3271D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FFC9D62">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736A9187">
                  <w:pPr>
                    <w:keepNext w:val="0"/>
                    <w:keepLines w:val="0"/>
                    <w:widowControl/>
                    <w:suppressLineNumbers w:val="0"/>
                    <w:jc w:val="left"/>
                    <w:rPr>
                      <w:rFonts w:hint="default"/>
                      <w:color w:val="auto"/>
                      <w:sz w:val="21"/>
                      <w:szCs w:val="21"/>
                      <w:highlight w:val="none"/>
                      <w:u w:val="single"/>
                      <w:lang w:val="en-US"/>
                    </w:rPr>
                  </w:pP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强化饮用水水源地环境风险排查，加强环境风险源管理，建立健全饮用水水源地应急预案。推进县级及以上饮用水水源地自动监测预警能力建设，实施水源地应急防护工程。加强大气污染防治协作和部门联动，建立健全大气污染联防联控机制。建立健全用地土壤环境联动监督管理机制，实行联动监管。</w:t>
                  </w:r>
                </w:p>
              </w:tc>
              <w:tc>
                <w:tcPr>
                  <w:tcW w:w="870" w:type="dxa"/>
                  <w:noWrap w:val="0"/>
                  <w:vAlign w:val="center"/>
                </w:tcPr>
                <w:p w14:paraId="101DB70E">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0C89D596">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49F9D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EDEC5F9">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11D25EE6">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．严格建设项目环境准入，永久基本农田集中区域禁止规划新建可能造成土壤污染的建设项目；新（改、扩）建涉有毒有害物质可能造成土壤污染的建设项目，提出并落实污染防治要求。</w:t>
                  </w:r>
                </w:p>
              </w:tc>
              <w:tc>
                <w:tcPr>
                  <w:tcW w:w="870" w:type="dxa"/>
                  <w:noWrap w:val="0"/>
                  <w:vAlign w:val="center"/>
                </w:tcPr>
                <w:p w14:paraId="41C68A3D">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14216089">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76283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84572C8">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141121DE">
                  <w:pPr>
                    <w:pStyle w:val="223"/>
                    <w:widowControl w:val="0"/>
                    <w:jc w:val="both"/>
                    <w:rPr>
                      <w:rFonts w:hint="eastAsia"/>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．强化全域矿产资源开发监管，建立矿石生态环境动态监测网络，禁止矿山废水、废气、废渣的无序排放。</w:t>
                  </w:r>
                </w:p>
              </w:tc>
              <w:tc>
                <w:tcPr>
                  <w:tcW w:w="870" w:type="dxa"/>
                  <w:noWrap w:val="0"/>
                  <w:vAlign w:val="center"/>
                </w:tcPr>
                <w:p w14:paraId="6DBB3EB9">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20E4636C">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0624B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5CC7C68E">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609254DE">
                  <w:pPr>
                    <w:keepNext w:val="0"/>
                    <w:keepLines w:val="0"/>
                    <w:widowControl/>
                    <w:suppressLineNumbers w:val="0"/>
                    <w:jc w:val="left"/>
                    <w:rPr>
                      <w:rFonts w:hint="eastAsia"/>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严格管控涉海重大工程环境风险，全面排查陆域环境风险源、海上溢油、危险化学品泄漏等环境风险隐患，健全完善海上溢油及危化品泄漏污染环境应急响应机制，完善分类分级的海上应急监测及处置预案，在石化基地、危化品储存区等邻近海域部署快速监测能力和应急处置物资设备。建立健全海洋生态补偿和生态损害赔偿制度。</w:t>
                  </w:r>
                </w:p>
              </w:tc>
              <w:tc>
                <w:tcPr>
                  <w:tcW w:w="669" w:type="pct"/>
                  <w:noWrap w:val="0"/>
                  <w:vAlign w:val="center"/>
                </w:tcPr>
                <w:p w14:paraId="601617B0">
                  <w:pPr>
                    <w:widowControl w:val="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本项目为港池维护性疏浚工程，不属于涉海重大工程，项目施工配备应急物资，并进行应急演练，项目环境风险可控。</w:t>
                  </w:r>
                </w:p>
              </w:tc>
              <w:tc>
                <w:tcPr>
                  <w:tcW w:w="229" w:type="pct"/>
                  <w:noWrap w:val="0"/>
                  <w:vAlign w:val="center"/>
                </w:tcPr>
                <w:p w14:paraId="62C70E2D">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6AA44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991E5CA">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5321557F">
                  <w:pPr>
                    <w:pStyle w:val="223"/>
                    <w:widowControl w:val="0"/>
                    <w:jc w:val="both"/>
                    <w:rPr>
                      <w:rFonts w:hint="eastAsia"/>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．强化沿海工业园区和沿海石油、石化、化工、冶炼及危化品储运等企业的环境风险防控，加强企业和园区环境应急物资储备。</w:t>
                  </w:r>
                </w:p>
              </w:tc>
              <w:tc>
                <w:tcPr>
                  <w:tcW w:w="870" w:type="dxa"/>
                  <w:noWrap w:val="0"/>
                  <w:vAlign w:val="center"/>
                </w:tcPr>
                <w:p w14:paraId="724272AB">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43866EF9">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564E3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4C89049">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6A7B4FFD">
                  <w:pPr>
                    <w:keepNext w:val="0"/>
                    <w:keepLines w:val="0"/>
                    <w:widowControl/>
                    <w:suppressLineNumbers w:val="0"/>
                    <w:jc w:val="left"/>
                    <w:rPr>
                      <w:rFonts w:hint="eastAsia"/>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．加强海洋生态灾害应急体系建设，强化海水浴场、电厂取排水口等海洋生态灾害高风险区域的联防联控。</w:t>
                  </w:r>
                </w:p>
              </w:tc>
              <w:tc>
                <w:tcPr>
                  <w:tcW w:w="870" w:type="dxa"/>
                  <w:noWrap w:val="0"/>
                  <w:vAlign w:val="center"/>
                </w:tcPr>
                <w:p w14:paraId="3759EC9F">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01CAACA7">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71CC7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70F585C">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6B91464F">
                  <w:pPr>
                    <w:keepNext w:val="0"/>
                    <w:keepLines w:val="0"/>
                    <w:widowControl/>
                    <w:suppressLineNumbers w:val="0"/>
                    <w:jc w:val="left"/>
                    <w:rPr>
                      <w:rFonts w:hint="eastAsia"/>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．加强倾倒区使用状况监督管理工作，做好废弃物向海洋倾倒活动的风险管控。</w:t>
                  </w:r>
                </w:p>
              </w:tc>
              <w:tc>
                <w:tcPr>
                  <w:tcW w:w="669" w:type="pct"/>
                  <w:noWrap w:val="0"/>
                  <w:vAlign w:val="center"/>
                </w:tcPr>
                <w:p w14:paraId="47219A43">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项目施工前申请倾倒许可证，并按照相关要求做好疏浚物的运输、倾倒工作。</w:t>
                  </w:r>
                </w:p>
              </w:tc>
              <w:tc>
                <w:tcPr>
                  <w:tcW w:w="229" w:type="pct"/>
                  <w:noWrap w:val="0"/>
                  <w:vAlign w:val="center"/>
                </w:tcPr>
                <w:p w14:paraId="4EB72F5B">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404D6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0B8AB494">
                  <w:pPr>
                    <w:pStyle w:val="223"/>
                    <w:widowControl w:val="0"/>
                    <w:jc w:val="center"/>
                    <w:rPr>
                      <w:rFonts w:hint="eastAsia"/>
                      <w:color w:val="auto"/>
                      <w:sz w:val="21"/>
                      <w:szCs w:val="21"/>
                      <w:highlight w:val="none"/>
                      <w:u w:val="single"/>
                    </w:rPr>
                  </w:pPr>
                  <w:r>
                    <w:rPr>
                      <w:rFonts w:hAnsi="宋体" w:eastAsia="宋体"/>
                      <w:color w:val="auto"/>
                      <w:kern w:val="2"/>
                      <w:sz w:val="21"/>
                      <w:szCs w:val="21"/>
                      <w:highlight w:val="none"/>
                      <w:u w:val="none"/>
                      <w:lang w:bidi="ar-SA"/>
                    </w:rPr>
                    <w:t>资源开发利用效率要求</w:t>
                  </w:r>
                </w:p>
              </w:tc>
              <w:tc>
                <w:tcPr>
                  <w:tcW w:w="3711" w:type="pct"/>
                  <w:noWrap w:val="0"/>
                  <w:vAlign w:val="center"/>
                </w:tcPr>
                <w:p w14:paraId="52DA4F25">
                  <w:pPr>
                    <w:keepNext w:val="0"/>
                    <w:keepLines w:val="0"/>
                    <w:widowControl/>
                    <w:suppressLineNumbers w:val="0"/>
                    <w:jc w:val="left"/>
                    <w:rPr>
                      <w:rFonts w:hint="eastAsia"/>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．能源：强化和完善能耗双控制度，严格落实《石化化工重点行业严格能效约束推动节能降碳行动方案（</w:t>
                  </w:r>
                  <w:r>
                    <w:rPr>
                      <w:rFonts w:hint="default" w:ascii="Times New Roman" w:hAnsi="Times New Roman" w:eastAsia="宋体" w:cs="Times New Roman"/>
                      <w:color w:val="auto"/>
                      <w:kern w:val="0"/>
                      <w:sz w:val="21"/>
                      <w:szCs w:val="21"/>
                      <w:highlight w:val="none"/>
                      <w:lang w:val="en-US" w:eastAsia="zh-CN" w:bidi="ar"/>
                    </w:rPr>
                    <w:t>2021</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2025</w:t>
                  </w:r>
                  <w:r>
                    <w:rPr>
                      <w:rFonts w:hint="eastAsia" w:ascii="宋体" w:hAnsi="宋体" w:eastAsia="宋体" w:cs="宋体"/>
                      <w:color w:val="auto"/>
                      <w:kern w:val="0"/>
                      <w:sz w:val="21"/>
                      <w:szCs w:val="21"/>
                      <w:highlight w:val="none"/>
                      <w:lang w:val="en-US" w:eastAsia="zh-CN" w:bidi="ar"/>
                    </w:rPr>
                    <w:t>年）》等有关要求。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tc>
              <w:tc>
                <w:tcPr>
                  <w:tcW w:w="669" w:type="pct"/>
                  <w:noWrap w:val="0"/>
                  <w:vAlign w:val="center"/>
                </w:tcPr>
                <w:p w14:paraId="585A3770">
                  <w:pPr>
                    <w:widowControl w:val="0"/>
                    <w:jc w:val="center"/>
                    <w:rPr>
                      <w:rFonts w:hint="eastAsia"/>
                      <w:color w:val="auto"/>
                      <w:sz w:val="21"/>
                      <w:szCs w:val="21"/>
                      <w:highlight w:val="none"/>
                      <w:u w:val="single"/>
                    </w:rPr>
                  </w:pPr>
                  <w:r>
                    <w:rPr>
                      <w:rFonts w:hint="eastAsia"/>
                      <w:color w:val="auto"/>
                      <w:sz w:val="21"/>
                      <w:szCs w:val="21"/>
                      <w:highlight w:val="none"/>
                      <w:u w:val="none"/>
                      <w:lang w:val="en-US" w:eastAsia="zh-CN"/>
                    </w:rPr>
                    <w:t>本项目不涉及。</w:t>
                  </w:r>
                </w:p>
              </w:tc>
              <w:tc>
                <w:tcPr>
                  <w:tcW w:w="229" w:type="pct"/>
                  <w:noWrap w:val="0"/>
                  <w:vAlign w:val="center"/>
                </w:tcPr>
                <w:p w14:paraId="21907129">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p w14:paraId="57DE6116">
                  <w:pPr>
                    <w:pStyle w:val="77"/>
                    <w:rPr>
                      <w:rFonts w:hint="eastAsia"/>
                      <w:color w:val="auto"/>
                      <w:sz w:val="21"/>
                      <w:szCs w:val="21"/>
                      <w:highlight w:val="none"/>
                    </w:rPr>
                  </w:pPr>
                </w:p>
              </w:tc>
            </w:tr>
            <w:tr w14:paraId="3B619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F85C25A">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2C7D38BF">
                  <w:pPr>
                    <w:keepNext w:val="0"/>
                    <w:keepLines w:val="0"/>
                    <w:widowControl/>
                    <w:suppressLineNumbers w:val="0"/>
                    <w:jc w:val="left"/>
                    <w:rPr>
                      <w:rFonts w:hint="eastAsia"/>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．土地资源：严格执行自治区下达的土地资源利用总量及效率管控指标要求。突出节约集约用海原则，合理控制规模，优化空间布局，提高海域空间资源的整体使用效能。</w:t>
                  </w:r>
                </w:p>
              </w:tc>
              <w:tc>
                <w:tcPr>
                  <w:tcW w:w="870" w:type="dxa"/>
                  <w:noWrap w:val="0"/>
                  <w:vAlign w:val="center"/>
                </w:tcPr>
                <w:p w14:paraId="73B4B4A8">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5A0677F6">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32DD7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180D9B3">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50226B7B">
                  <w:pPr>
                    <w:keepNext w:val="0"/>
                    <w:keepLines w:val="0"/>
                    <w:widowControl/>
                    <w:suppressLineNumbers w:val="0"/>
                    <w:jc w:val="left"/>
                    <w:rPr>
                      <w:rFonts w:hint="eastAsia"/>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水资源：实行水资源消耗总量和强度“双控”。严格用水总量指标管理，健全市、县（市、区）行政区域的用水总量控制指标体系，统筹生活、生产、生态用水，大力推进农业、工业、城镇等领域节水。严格按照地下水开发利用控制目标控制地下水资源开采。</w:t>
                  </w:r>
                </w:p>
              </w:tc>
              <w:tc>
                <w:tcPr>
                  <w:tcW w:w="669" w:type="pct"/>
                  <w:noWrap w:val="0"/>
                  <w:vAlign w:val="center"/>
                </w:tcPr>
                <w:p w14:paraId="01E8EC68">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本项目主要用水为施工人员生活用水，用水量较少，用水主要依托19#泊位供水，不涉及地下水开发利用。</w:t>
                  </w:r>
                </w:p>
              </w:tc>
              <w:tc>
                <w:tcPr>
                  <w:tcW w:w="229" w:type="pct"/>
                  <w:noWrap w:val="0"/>
                  <w:vAlign w:val="center"/>
                </w:tcPr>
                <w:p w14:paraId="003C44C7">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7ACE6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E0469CE">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6FC91861">
                  <w:pPr>
                    <w:keepNext w:val="0"/>
                    <w:keepLines w:val="0"/>
                    <w:widowControl/>
                    <w:suppressLineNumbers w:val="0"/>
                    <w:jc w:val="left"/>
                    <w:rPr>
                      <w:rFonts w:hint="eastAsia"/>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矿产资源：严格执行自治区、市、县矿产资源总体规划中关于矿产资源开发管控和矿产资源高效利用的目标要求。着力提高资源开发利用效率和水平，加快发展绿色矿业；严格控制海岸线的开发建设、海砂开采活动，规范海砂资源开发秩序，加强海岸沙滩保护和矿产开发监管。</w:t>
                  </w:r>
                </w:p>
              </w:tc>
              <w:tc>
                <w:tcPr>
                  <w:tcW w:w="870" w:type="dxa"/>
                  <w:noWrap w:val="0"/>
                  <w:vAlign w:val="center"/>
                </w:tcPr>
                <w:p w14:paraId="1C1A4999">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205B6935">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53DC4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288C0A35">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70227AAB">
                  <w:pPr>
                    <w:keepNext w:val="0"/>
                    <w:keepLines w:val="0"/>
                    <w:widowControl/>
                    <w:suppressLineNumbers w:val="0"/>
                    <w:jc w:val="left"/>
                    <w:rPr>
                      <w:rFonts w:hint="eastAsia"/>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岸线资源：涉及岸线开发的工业区和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669" w:type="pct"/>
                  <w:noWrap w:val="0"/>
                  <w:vAlign w:val="center"/>
                </w:tcPr>
                <w:p w14:paraId="5DD08B85">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项目为港池维护性疏浚，不涉及岸线利用和改变。</w:t>
                  </w:r>
                </w:p>
              </w:tc>
              <w:tc>
                <w:tcPr>
                  <w:tcW w:w="229" w:type="pct"/>
                  <w:noWrap w:val="0"/>
                  <w:vAlign w:val="center"/>
                </w:tcPr>
                <w:p w14:paraId="04BC2D66">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r w14:paraId="73E90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9766089">
                  <w:pPr>
                    <w:pStyle w:val="223"/>
                    <w:widowControl w:val="0"/>
                    <w:jc w:val="center"/>
                    <w:rPr>
                      <w:rFonts w:hAnsi="宋体" w:eastAsia="宋体"/>
                      <w:color w:val="auto"/>
                      <w:kern w:val="2"/>
                      <w:sz w:val="21"/>
                      <w:szCs w:val="21"/>
                      <w:highlight w:val="none"/>
                      <w:u w:val="none"/>
                      <w:lang w:bidi="ar-SA"/>
                    </w:rPr>
                  </w:pPr>
                </w:p>
              </w:tc>
              <w:tc>
                <w:tcPr>
                  <w:tcW w:w="3711" w:type="pct"/>
                  <w:noWrap w:val="0"/>
                  <w:vAlign w:val="center"/>
                </w:tcPr>
                <w:p w14:paraId="2EE84D7E">
                  <w:pPr>
                    <w:keepNext w:val="0"/>
                    <w:keepLines w:val="0"/>
                    <w:widowControl/>
                    <w:suppressLineNumbers w:val="0"/>
                    <w:jc w:val="left"/>
                    <w:rPr>
                      <w:rFonts w:hint="eastAsia"/>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．高污染燃料禁燃区：禁止新建、扩建燃用高污染燃料的项目和设施，已经建成的应逐步或依法限期改用天然气、电或其他清洁能源。</w:t>
                  </w:r>
                </w:p>
              </w:tc>
              <w:tc>
                <w:tcPr>
                  <w:tcW w:w="870" w:type="dxa"/>
                  <w:noWrap w:val="0"/>
                  <w:vAlign w:val="center"/>
                </w:tcPr>
                <w:p w14:paraId="698F5CC3">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98" w:type="dxa"/>
                  <w:noWrap w:val="0"/>
                  <w:vAlign w:val="center"/>
                </w:tcPr>
                <w:p w14:paraId="6C03D7D4">
                  <w:pPr>
                    <w:widowControl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符合</w:t>
                  </w:r>
                </w:p>
              </w:tc>
            </w:tr>
          </w:tbl>
          <w:p w14:paraId="6F737A2D">
            <w:pPr>
              <w:pStyle w:val="77"/>
              <w:rPr>
                <w:rFonts w:hint="eastAsia" w:ascii="宋体" w:hAnsi="宋体" w:eastAsia="宋体" w:cs="宋体"/>
                <w:color w:val="auto"/>
                <w:sz w:val="24"/>
                <w:szCs w:val="24"/>
                <w:highlight w:val="none"/>
                <w:lang w:val="en-US" w:eastAsia="zh-CN"/>
              </w:rPr>
            </w:pPr>
          </w:p>
          <w:p w14:paraId="5CE00275">
            <w:pP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lang w:val="en-US" w:eastAsia="zh-CN"/>
              </w:rPr>
              <w:t>根据项目《广西“生态云”平台建设项目智能研判报告》，本项目涉及1个管控单元，其中优先保护单元0个，重点管控单元1个，一般管控单</w:t>
            </w:r>
            <w:r>
              <w:rPr>
                <w:rFonts w:hint="eastAsia" w:ascii="宋体" w:hAnsi="宋体" w:eastAsia="宋体" w:cs="宋体"/>
                <w:color w:val="auto"/>
                <w:sz w:val="24"/>
                <w:szCs w:val="24"/>
                <w:highlight w:val="none"/>
                <w:u w:val="none"/>
                <w:lang w:val="en-US" w:eastAsia="zh-CN"/>
              </w:rPr>
              <w:t>元0个。项目涉及的管控单元详见下表。</w:t>
            </w:r>
          </w:p>
          <w:p w14:paraId="4067BB48">
            <w:pPr>
              <w:widowControl/>
              <w:jc w:val="center"/>
              <w:rPr>
                <w:rFonts w:hint="eastAsia" w:eastAsia="宋体"/>
                <w:b/>
                <w:bCs/>
                <w:color w:val="auto"/>
                <w:szCs w:val="21"/>
                <w:highlight w:val="none"/>
                <w:u w:val="none"/>
                <w:lang w:eastAsia="zh-CN"/>
              </w:rPr>
            </w:pPr>
            <w:r>
              <w:rPr>
                <w:b/>
                <w:bCs/>
                <w:color w:val="auto"/>
                <w:szCs w:val="21"/>
                <w:highlight w:val="none"/>
                <w:u w:val="none"/>
              </w:rPr>
              <w:t>表</w:t>
            </w:r>
            <w:r>
              <w:rPr>
                <w:rFonts w:hint="eastAsia"/>
                <w:b/>
                <w:bCs/>
                <w:color w:val="auto"/>
                <w:szCs w:val="21"/>
                <w:highlight w:val="none"/>
                <w:u w:val="none"/>
                <w:lang w:val="en-US" w:eastAsia="zh-CN"/>
              </w:rPr>
              <w:t>1.1-4</w:t>
            </w:r>
            <w:r>
              <w:rPr>
                <w:b/>
                <w:bCs/>
                <w:color w:val="auto"/>
                <w:szCs w:val="21"/>
                <w:highlight w:val="none"/>
                <w:u w:val="none"/>
              </w:rPr>
              <w:t>项目</w:t>
            </w:r>
            <w:r>
              <w:rPr>
                <w:rFonts w:hint="eastAsia"/>
                <w:b/>
                <w:bCs/>
                <w:color w:val="auto"/>
                <w:szCs w:val="21"/>
                <w:highlight w:val="none"/>
                <w:u w:val="none"/>
                <w:lang w:eastAsia="zh-CN"/>
              </w:rPr>
              <w:t>涉及钦州市近岸海域环境管控单元一览表</w:t>
            </w:r>
          </w:p>
          <w:tbl>
            <w:tblPr>
              <w:tblStyle w:val="4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94"/>
              <w:gridCol w:w="3684"/>
              <w:gridCol w:w="6318"/>
              <w:gridCol w:w="2925"/>
            </w:tblGrid>
            <w:tr w14:paraId="13EBF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184" w:type="pct"/>
                  <w:noWrap w:val="0"/>
                  <w:vAlign w:val="center"/>
                </w:tcPr>
                <w:p w14:paraId="14D996EE">
                  <w:pPr>
                    <w:adjustRightInd w:val="0"/>
                    <w:snapToGrid w:val="0"/>
                    <w:jc w:val="center"/>
                    <w:rPr>
                      <w:rFonts w:hint="eastAsia" w:eastAsia="宋体"/>
                      <w:color w:val="auto"/>
                      <w:sz w:val="21"/>
                      <w:szCs w:val="21"/>
                      <w:highlight w:val="none"/>
                      <w:u w:val="none"/>
                      <w:lang w:eastAsia="zh-CN"/>
                    </w:rPr>
                  </w:pPr>
                  <w:r>
                    <w:rPr>
                      <w:rFonts w:hint="eastAsia"/>
                      <w:color w:val="auto"/>
                      <w:sz w:val="21"/>
                      <w:szCs w:val="21"/>
                      <w:highlight w:val="none"/>
                      <w:u w:val="none"/>
                      <w:lang w:eastAsia="zh-CN"/>
                    </w:rPr>
                    <w:t>序号</w:t>
                  </w:r>
                </w:p>
              </w:tc>
              <w:tc>
                <w:tcPr>
                  <w:tcW w:w="1372" w:type="pct"/>
                  <w:noWrap w:val="0"/>
                  <w:vAlign w:val="center"/>
                </w:tcPr>
                <w:p w14:paraId="4E40E387">
                  <w:pPr>
                    <w:adjustRightInd w:val="0"/>
                    <w:snapToGrid w:val="0"/>
                    <w:jc w:val="center"/>
                    <w:rPr>
                      <w:rFonts w:hint="eastAsia" w:eastAsia="宋体"/>
                      <w:color w:val="auto"/>
                      <w:sz w:val="21"/>
                      <w:szCs w:val="21"/>
                      <w:highlight w:val="none"/>
                      <w:u w:val="none"/>
                      <w:lang w:eastAsia="zh-CN"/>
                    </w:rPr>
                  </w:pPr>
                  <w:r>
                    <w:rPr>
                      <w:rFonts w:hint="eastAsia"/>
                      <w:color w:val="auto"/>
                      <w:sz w:val="21"/>
                      <w:szCs w:val="21"/>
                      <w:highlight w:val="none"/>
                      <w:u w:val="none"/>
                      <w:lang w:eastAsia="zh-CN"/>
                    </w:rPr>
                    <w:t>环境管控单元编码</w:t>
                  </w:r>
                </w:p>
              </w:tc>
              <w:tc>
                <w:tcPr>
                  <w:tcW w:w="2353" w:type="pct"/>
                  <w:noWrap w:val="0"/>
                  <w:vAlign w:val="center"/>
                </w:tcPr>
                <w:p w14:paraId="3A0FF08B">
                  <w:pPr>
                    <w:adjustRightInd w:val="0"/>
                    <w:snapToGrid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eastAsia="zh-CN"/>
                    </w:rPr>
                    <w:t>环境管控单元名称</w:t>
                  </w:r>
                </w:p>
              </w:tc>
              <w:tc>
                <w:tcPr>
                  <w:tcW w:w="1089" w:type="pct"/>
                  <w:noWrap w:val="0"/>
                  <w:vAlign w:val="center"/>
                </w:tcPr>
                <w:p w14:paraId="1E11F8FA">
                  <w:pPr>
                    <w:adjustRightInd w:val="0"/>
                    <w:snapToGrid w:val="0"/>
                    <w:jc w:val="center"/>
                    <w:rPr>
                      <w:rFonts w:hint="eastAsia" w:eastAsia="宋体"/>
                      <w:color w:val="auto"/>
                      <w:sz w:val="21"/>
                      <w:szCs w:val="21"/>
                      <w:highlight w:val="none"/>
                      <w:u w:val="none"/>
                      <w:lang w:eastAsia="zh-CN"/>
                    </w:rPr>
                  </w:pPr>
                  <w:r>
                    <w:rPr>
                      <w:rFonts w:hint="eastAsia"/>
                      <w:color w:val="auto"/>
                      <w:sz w:val="21"/>
                      <w:szCs w:val="21"/>
                      <w:highlight w:val="none"/>
                      <w:u w:val="none"/>
                      <w:lang w:eastAsia="zh-CN"/>
                    </w:rPr>
                    <w:t>管控单元分类</w:t>
                  </w:r>
                </w:p>
              </w:tc>
            </w:tr>
            <w:tr w14:paraId="4F434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 w:type="pct"/>
                  <w:noWrap w:val="0"/>
                  <w:vAlign w:val="center"/>
                </w:tcPr>
                <w:p w14:paraId="39A9E7BC">
                  <w:pPr>
                    <w:adjustRightInd w:val="0"/>
                    <w:snapToGrid w:val="0"/>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1</w:t>
                  </w:r>
                </w:p>
              </w:tc>
              <w:tc>
                <w:tcPr>
                  <w:tcW w:w="1372" w:type="pct"/>
                  <w:noWrap w:val="0"/>
                  <w:vAlign w:val="center"/>
                </w:tcPr>
                <w:p w14:paraId="3E569C62">
                  <w:pPr>
                    <w:adjustRightInd w:val="0"/>
                    <w:snapToGrid w:val="0"/>
                    <w:jc w:val="center"/>
                    <w:rPr>
                      <w:rFonts w:hint="eastAsia"/>
                      <w:color w:val="auto"/>
                      <w:sz w:val="21"/>
                      <w:szCs w:val="21"/>
                      <w:highlight w:val="none"/>
                      <w:u w:val="none"/>
                    </w:rPr>
                  </w:pPr>
                  <w:r>
                    <w:rPr>
                      <w:rFonts w:hint="eastAsia" w:ascii="宋体" w:hAnsi="宋体" w:eastAsia="宋体" w:cs="宋体"/>
                      <w:color w:val="auto"/>
                      <w:sz w:val="21"/>
                      <w:szCs w:val="21"/>
                      <w:highlight w:val="none"/>
                      <w:u w:val="none"/>
                      <w:lang w:val="en-US" w:eastAsia="zh-CN"/>
                    </w:rPr>
                    <w:t>HY45070020001</w:t>
                  </w:r>
                </w:p>
              </w:tc>
              <w:tc>
                <w:tcPr>
                  <w:tcW w:w="2353" w:type="pct"/>
                  <w:noWrap w:val="0"/>
                  <w:vAlign w:val="center"/>
                </w:tcPr>
                <w:p w14:paraId="5A8795A5">
                  <w:pPr>
                    <w:adjustRightInd w:val="0"/>
                    <w:snapToGrid w:val="0"/>
                    <w:jc w:val="center"/>
                    <w:rPr>
                      <w:rFonts w:hint="eastAsia"/>
                      <w:color w:val="auto"/>
                      <w:sz w:val="21"/>
                      <w:szCs w:val="21"/>
                      <w:highlight w:val="none"/>
                      <w:u w:val="none"/>
                    </w:rPr>
                  </w:pPr>
                  <w:r>
                    <w:rPr>
                      <w:rFonts w:hint="eastAsia" w:ascii="宋体" w:hAnsi="宋体" w:eastAsia="宋体" w:cs="宋体"/>
                      <w:color w:val="auto"/>
                      <w:sz w:val="21"/>
                      <w:szCs w:val="21"/>
                      <w:highlight w:val="none"/>
                      <w:u w:val="none"/>
                      <w:lang w:val="en-US" w:eastAsia="zh-CN"/>
                    </w:rPr>
                    <w:t>金谷港区（金谷交通运输用海区）</w:t>
                  </w:r>
                </w:p>
              </w:tc>
              <w:tc>
                <w:tcPr>
                  <w:tcW w:w="1089" w:type="pct"/>
                  <w:noWrap w:val="0"/>
                  <w:vAlign w:val="center"/>
                </w:tcPr>
                <w:p w14:paraId="631BBBAF">
                  <w:pPr>
                    <w:adjustRightInd w:val="0"/>
                    <w:snapToGrid w:val="0"/>
                    <w:jc w:val="center"/>
                    <w:rPr>
                      <w:rFonts w:hint="eastAsia" w:eastAsia="宋体"/>
                      <w:color w:val="auto"/>
                      <w:sz w:val="21"/>
                      <w:szCs w:val="21"/>
                      <w:highlight w:val="none"/>
                      <w:u w:val="none"/>
                      <w:lang w:eastAsia="zh-CN"/>
                    </w:rPr>
                  </w:pPr>
                  <w:r>
                    <w:rPr>
                      <w:rFonts w:hint="eastAsia"/>
                      <w:color w:val="auto"/>
                      <w:sz w:val="21"/>
                      <w:szCs w:val="21"/>
                      <w:highlight w:val="none"/>
                      <w:u w:val="none"/>
                      <w:lang w:eastAsia="zh-CN"/>
                    </w:rPr>
                    <w:t>重点管控单元</w:t>
                  </w:r>
                </w:p>
              </w:tc>
            </w:tr>
          </w:tbl>
          <w:p w14:paraId="64ACDD0A">
            <w:pPr>
              <w:pStyle w:val="77"/>
              <w:rPr>
                <w:rFonts w:hint="eastAsia"/>
                <w:color w:val="auto"/>
                <w:highlight w:val="none"/>
                <w:u w:val="none"/>
                <w:lang w:val="en-US" w:eastAsia="zh-CN"/>
              </w:rPr>
            </w:pPr>
          </w:p>
          <w:p w14:paraId="02B9F9E7">
            <w:pPr>
              <w:widowControl/>
              <w:jc w:val="center"/>
              <w:rPr>
                <w:rFonts w:hint="eastAsia" w:eastAsia="宋体"/>
                <w:b/>
                <w:bCs/>
                <w:color w:val="auto"/>
                <w:szCs w:val="21"/>
                <w:highlight w:val="none"/>
                <w:u w:val="none"/>
                <w:lang w:eastAsia="zh-CN"/>
              </w:rPr>
            </w:pPr>
            <w:r>
              <w:rPr>
                <w:b/>
                <w:bCs/>
                <w:color w:val="auto"/>
                <w:szCs w:val="21"/>
                <w:highlight w:val="none"/>
                <w:u w:val="none"/>
              </w:rPr>
              <w:t>表</w:t>
            </w:r>
            <w:r>
              <w:rPr>
                <w:rFonts w:hint="eastAsia"/>
                <w:b/>
                <w:bCs/>
                <w:color w:val="auto"/>
                <w:szCs w:val="21"/>
                <w:highlight w:val="none"/>
                <w:u w:val="none"/>
                <w:lang w:val="en-US" w:eastAsia="zh-CN"/>
              </w:rPr>
              <w:t>1.1-5</w:t>
            </w:r>
            <w:r>
              <w:rPr>
                <w:rFonts w:hint="eastAsia"/>
                <w:b/>
                <w:bCs/>
                <w:color w:val="auto"/>
                <w:szCs w:val="21"/>
                <w:highlight w:val="none"/>
                <w:u w:val="none"/>
                <w:lang w:eastAsia="zh-CN"/>
              </w:rPr>
              <w:t>与金谷港区（金谷交通运输用海区）环境管控单元相符性分析</w:t>
            </w:r>
          </w:p>
          <w:tbl>
            <w:tblPr>
              <w:tblStyle w:val="4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14"/>
              <w:gridCol w:w="1407"/>
              <w:gridCol w:w="701"/>
              <w:gridCol w:w="830"/>
              <w:gridCol w:w="6087"/>
              <w:gridCol w:w="2229"/>
              <w:gridCol w:w="653"/>
            </w:tblGrid>
            <w:tr w14:paraId="7AD48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9" w:hRule="atLeast"/>
                <w:jc w:val="center"/>
              </w:trPr>
              <w:tc>
                <w:tcPr>
                  <w:tcW w:w="564" w:type="pct"/>
                  <w:noWrap w:val="0"/>
                  <w:vAlign w:val="center"/>
                </w:tcPr>
                <w:p w14:paraId="31652952">
                  <w:pPr>
                    <w:adjustRightInd w:val="0"/>
                    <w:snapToGrid w:val="0"/>
                    <w:jc w:val="center"/>
                    <w:rPr>
                      <w:rFonts w:hint="eastAsia" w:eastAsia="宋体"/>
                      <w:color w:val="auto"/>
                      <w:sz w:val="21"/>
                      <w:szCs w:val="21"/>
                      <w:highlight w:val="none"/>
                      <w:u w:val="none"/>
                      <w:lang w:eastAsia="zh-CN"/>
                    </w:rPr>
                  </w:pPr>
                  <w:r>
                    <w:rPr>
                      <w:rFonts w:hint="eastAsia"/>
                      <w:color w:val="auto"/>
                      <w:sz w:val="21"/>
                      <w:szCs w:val="21"/>
                      <w:highlight w:val="none"/>
                      <w:u w:val="none"/>
                      <w:lang w:eastAsia="zh-CN"/>
                    </w:rPr>
                    <w:t>环境管控单元编码</w:t>
                  </w:r>
                </w:p>
              </w:tc>
              <w:tc>
                <w:tcPr>
                  <w:tcW w:w="524" w:type="pct"/>
                  <w:noWrap w:val="0"/>
                  <w:vAlign w:val="center"/>
                </w:tcPr>
                <w:p w14:paraId="50875202">
                  <w:pPr>
                    <w:adjustRightInd w:val="0"/>
                    <w:snapToGrid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eastAsia="zh-CN"/>
                    </w:rPr>
                    <w:t>环境管控单元名称</w:t>
                  </w:r>
                </w:p>
              </w:tc>
              <w:tc>
                <w:tcPr>
                  <w:tcW w:w="261" w:type="pct"/>
                  <w:noWrap w:val="0"/>
                  <w:vAlign w:val="center"/>
                </w:tcPr>
                <w:p w14:paraId="489FDEEE">
                  <w:pPr>
                    <w:adjustRightInd w:val="0"/>
                    <w:snapToGrid w:val="0"/>
                    <w:jc w:val="center"/>
                    <w:rPr>
                      <w:rFonts w:hint="eastAsia" w:eastAsia="宋体"/>
                      <w:color w:val="auto"/>
                      <w:sz w:val="21"/>
                      <w:szCs w:val="21"/>
                      <w:highlight w:val="none"/>
                      <w:u w:val="none"/>
                      <w:lang w:eastAsia="zh-CN"/>
                    </w:rPr>
                  </w:pPr>
                  <w:r>
                    <w:rPr>
                      <w:rFonts w:hint="eastAsia"/>
                      <w:color w:val="auto"/>
                      <w:sz w:val="21"/>
                      <w:szCs w:val="21"/>
                      <w:highlight w:val="none"/>
                      <w:u w:val="none"/>
                      <w:lang w:eastAsia="zh-CN"/>
                    </w:rPr>
                    <w:t>管控单元分类</w:t>
                  </w:r>
                </w:p>
              </w:tc>
              <w:tc>
                <w:tcPr>
                  <w:tcW w:w="2576" w:type="pct"/>
                  <w:gridSpan w:val="2"/>
                  <w:noWrap w:val="0"/>
                  <w:vAlign w:val="center"/>
                </w:tcPr>
                <w:p w14:paraId="6D09B838">
                  <w:pPr>
                    <w:adjustRightInd w:val="0"/>
                    <w:snapToGrid w:val="0"/>
                    <w:jc w:val="center"/>
                    <w:rPr>
                      <w:rFonts w:hint="eastAsia"/>
                      <w:color w:val="auto"/>
                      <w:sz w:val="21"/>
                      <w:szCs w:val="21"/>
                      <w:highlight w:val="none"/>
                      <w:u w:val="none"/>
                      <w:lang w:eastAsia="zh-CN"/>
                    </w:rPr>
                  </w:pPr>
                  <w:r>
                    <w:rPr>
                      <w:rFonts w:hint="eastAsia"/>
                      <w:color w:val="auto"/>
                      <w:sz w:val="21"/>
                      <w:szCs w:val="21"/>
                      <w:highlight w:val="none"/>
                      <w:u w:val="none"/>
                      <w:lang w:eastAsia="zh-CN"/>
                    </w:rPr>
                    <w:t>管控要求</w:t>
                  </w:r>
                </w:p>
              </w:tc>
              <w:tc>
                <w:tcPr>
                  <w:tcW w:w="830" w:type="pct"/>
                  <w:noWrap w:val="0"/>
                  <w:vAlign w:val="center"/>
                </w:tcPr>
                <w:p w14:paraId="00C887F4">
                  <w:pPr>
                    <w:adjustRightInd w:val="0"/>
                    <w:snapToGrid w:val="0"/>
                    <w:jc w:val="center"/>
                    <w:rPr>
                      <w:rFonts w:hint="eastAsia"/>
                      <w:color w:val="auto"/>
                      <w:sz w:val="21"/>
                      <w:szCs w:val="21"/>
                      <w:highlight w:val="none"/>
                      <w:u w:val="none"/>
                      <w:lang w:eastAsia="zh-CN"/>
                    </w:rPr>
                  </w:pPr>
                  <w:r>
                    <w:rPr>
                      <w:rFonts w:hint="eastAsia"/>
                      <w:color w:val="auto"/>
                      <w:sz w:val="21"/>
                      <w:szCs w:val="21"/>
                      <w:highlight w:val="none"/>
                      <w:u w:val="none"/>
                      <w:lang w:eastAsia="zh-CN"/>
                    </w:rPr>
                    <w:t>相符性分析</w:t>
                  </w:r>
                </w:p>
              </w:tc>
              <w:tc>
                <w:tcPr>
                  <w:tcW w:w="243" w:type="pct"/>
                  <w:noWrap w:val="0"/>
                  <w:vAlign w:val="center"/>
                </w:tcPr>
                <w:p w14:paraId="4762A23E">
                  <w:pPr>
                    <w:adjustRightInd w:val="0"/>
                    <w:snapToGrid w:val="0"/>
                    <w:jc w:val="center"/>
                    <w:rPr>
                      <w:rFonts w:hint="eastAsia"/>
                      <w:color w:val="auto"/>
                      <w:sz w:val="21"/>
                      <w:szCs w:val="21"/>
                      <w:highlight w:val="none"/>
                      <w:u w:val="none"/>
                      <w:lang w:eastAsia="zh-CN"/>
                    </w:rPr>
                  </w:pPr>
                  <w:r>
                    <w:rPr>
                      <w:rFonts w:hint="eastAsia"/>
                      <w:color w:val="auto"/>
                      <w:sz w:val="21"/>
                      <w:szCs w:val="21"/>
                      <w:highlight w:val="none"/>
                      <w:u w:val="none"/>
                      <w:lang w:eastAsia="zh-CN"/>
                    </w:rPr>
                    <w:t>相符性</w:t>
                  </w:r>
                </w:p>
              </w:tc>
            </w:tr>
            <w:tr w14:paraId="2C225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restart"/>
                  <w:noWrap w:val="0"/>
                  <w:vAlign w:val="center"/>
                </w:tcPr>
                <w:p w14:paraId="608621CC">
                  <w:pPr>
                    <w:adjustRightInd w:val="0"/>
                    <w:snapToGrid w:val="0"/>
                    <w:jc w:val="center"/>
                    <w:rPr>
                      <w:rFonts w:hint="eastAsia"/>
                      <w:color w:val="auto"/>
                      <w:sz w:val="21"/>
                      <w:szCs w:val="21"/>
                      <w:highlight w:val="none"/>
                      <w:u w:val="none"/>
                    </w:rPr>
                  </w:pPr>
                  <w:r>
                    <w:rPr>
                      <w:rFonts w:hint="eastAsia" w:ascii="宋体" w:hAnsi="宋体" w:eastAsia="宋体" w:cs="宋体"/>
                      <w:color w:val="auto"/>
                      <w:sz w:val="21"/>
                      <w:szCs w:val="21"/>
                      <w:highlight w:val="none"/>
                      <w:u w:val="none"/>
                      <w:lang w:val="en-US" w:eastAsia="zh-CN"/>
                    </w:rPr>
                    <w:t>HY45070020001</w:t>
                  </w:r>
                </w:p>
              </w:tc>
              <w:tc>
                <w:tcPr>
                  <w:tcW w:w="524" w:type="pct"/>
                  <w:vMerge w:val="restart"/>
                  <w:noWrap w:val="0"/>
                  <w:vAlign w:val="center"/>
                </w:tcPr>
                <w:p w14:paraId="00AFB8F3">
                  <w:pPr>
                    <w:adjustRightInd w:val="0"/>
                    <w:snapToGrid w:val="0"/>
                    <w:jc w:val="center"/>
                    <w:rPr>
                      <w:rFonts w:hint="eastAsia"/>
                      <w:color w:val="auto"/>
                      <w:sz w:val="21"/>
                      <w:szCs w:val="21"/>
                      <w:highlight w:val="none"/>
                      <w:u w:val="none"/>
                    </w:rPr>
                  </w:pPr>
                  <w:r>
                    <w:rPr>
                      <w:rFonts w:hint="eastAsia" w:ascii="宋体" w:hAnsi="宋体" w:eastAsia="宋体" w:cs="宋体"/>
                      <w:color w:val="auto"/>
                      <w:sz w:val="21"/>
                      <w:szCs w:val="21"/>
                      <w:highlight w:val="none"/>
                      <w:u w:val="none"/>
                      <w:lang w:val="en-US" w:eastAsia="zh-CN"/>
                    </w:rPr>
                    <w:t>金谷港区（金谷交通运输用海区）</w:t>
                  </w:r>
                </w:p>
              </w:tc>
              <w:tc>
                <w:tcPr>
                  <w:tcW w:w="261" w:type="pct"/>
                  <w:vMerge w:val="restart"/>
                  <w:noWrap w:val="0"/>
                  <w:vAlign w:val="center"/>
                </w:tcPr>
                <w:p w14:paraId="25FBD169">
                  <w:pPr>
                    <w:adjustRightInd w:val="0"/>
                    <w:snapToGrid w:val="0"/>
                    <w:jc w:val="center"/>
                    <w:rPr>
                      <w:rFonts w:hint="eastAsia" w:eastAsia="宋体"/>
                      <w:color w:val="auto"/>
                      <w:sz w:val="21"/>
                      <w:szCs w:val="21"/>
                      <w:highlight w:val="none"/>
                      <w:u w:val="none"/>
                      <w:lang w:eastAsia="zh-CN"/>
                    </w:rPr>
                  </w:pPr>
                  <w:r>
                    <w:rPr>
                      <w:rFonts w:hint="eastAsia"/>
                      <w:color w:val="auto"/>
                      <w:sz w:val="21"/>
                      <w:szCs w:val="21"/>
                      <w:highlight w:val="none"/>
                      <w:u w:val="none"/>
                      <w:lang w:eastAsia="zh-CN"/>
                    </w:rPr>
                    <w:t>重点管控单元</w:t>
                  </w:r>
                </w:p>
              </w:tc>
              <w:tc>
                <w:tcPr>
                  <w:tcW w:w="309" w:type="pct"/>
                  <w:vMerge w:val="restart"/>
                  <w:noWrap w:val="0"/>
                  <w:vAlign w:val="center"/>
                </w:tcPr>
                <w:p w14:paraId="23B91C87">
                  <w:pPr>
                    <w:adjustRightInd w:val="0"/>
                    <w:snapToGrid w:val="0"/>
                    <w:jc w:val="center"/>
                    <w:rPr>
                      <w:rFonts w:hint="eastAsia"/>
                      <w:color w:val="auto"/>
                      <w:sz w:val="21"/>
                      <w:szCs w:val="21"/>
                      <w:highlight w:val="none"/>
                      <w:u w:val="none"/>
                      <w:lang w:eastAsia="zh-CN"/>
                    </w:rPr>
                  </w:pPr>
                  <w:r>
                    <w:rPr>
                      <w:rFonts w:hint="eastAsia"/>
                      <w:color w:val="auto"/>
                      <w:sz w:val="21"/>
                      <w:szCs w:val="21"/>
                      <w:highlight w:val="none"/>
                      <w:u w:val="none"/>
                      <w:lang w:eastAsia="zh-CN"/>
                    </w:rPr>
                    <w:t>空间布局约束</w:t>
                  </w:r>
                </w:p>
              </w:tc>
              <w:tc>
                <w:tcPr>
                  <w:tcW w:w="2266" w:type="pct"/>
                  <w:noWrap w:val="0"/>
                  <w:vAlign w:val="center"/>
                </w:tcPr>
                <w:p w14:paraId="6CA7C8A9">
                  <w:pPr>
                    <w:keepNext w:val="0"/>
                    <w:keepLines w:val="0"/>
                    <w:widowControl/>
                    <w:suppressLineNumbers w:val="0"/>
                    <w:jc w:val="both"/>
                    <w:rPr>
                      <w:rFonts w:hint="eastAsia"/>
                      <w:color w:val="auto"/>
                      <w:sz w:val="21"/>
                      <w:szCs w:val="21"/>
                      <w:highlight w:val="none"/>
                      <w:u w:val="none"/>
                      <w:lang w:eastAsia="zh-CN"/>
                    </w:rPr>
                  </w:pPr>
                  <w:r>
                    <w:rPr>
                      <w:rFonts w:hint="default" w:ascii="Times New Roman" w:hAnsi="Times New Roman" w:eastAsia="宋体" w:cs="Times New Roman"/>
                      <w:color w:val="auto"/>
                      <w:kern w:val="0"/>
                      <w:sz w:val="20"/>
                      <w:szCs w:val="20"/>
                      <w:highlight w:val="none"/>
                      <w:lang w:val="en-US" w:eastAsia="zh-CN" w:bidi="ar"/>
                    </w:rPr>
                    <w:t>1</w:t>
                  </w:r>
                  <w:r>
                    <w:rPr>
                      <w:rFonts w:hint="eastAsia" w:ascii="宋体" w:hAnsi="宋体" w:eastAsia="宋体" w:cs="宋体"/>
                      <w:color w:val="auto"/>
                      <w:kern w:val="0"/>
                      <w:sz w:val="20"/>
                      <w:szCs w:val="20"/>
                      <w:highlight w:val="none"/>
                      <w:lang w:val="en-US" w:eastAsia="zh-CN" w:bidi="ar"/>
                    </w:rPr>
                    <w:t>．加强水生生物重要生境以及自然岸线、红树林、海草床、湿地等保护。新建港口码头应避让且尽量远离生态保护红线、法定保护区、鱼类“三场一通道”等环境保护目标，降低规划实施对敏感目标的影响；现有港口码头应根据其与敏感目标的位置关系，提出强化环境保护措施的要求，避免加剧不利环境影响。</w:t>
                  </w:r>
                </w:p>
              </w:tc>
              <w:tc>
                <w:tcPr>
                  <w:tcW w:w="830" w:type="pct"/>
                  <w:noWrap w:val="0"/>
                  <w:vAlign w:val="center"/>
                </w:tcPr>
                <w:p w14:paraId="0847950A">
                  <w:pPr>
                    <w:adjustRightInd w:val="0"/>
                    <w:snapToGrid w:val="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本项目不涉及。</w:t>
                  </w:r>
                </w:p>
              </w:tc>
              <w:tc>
                <w:tcPr>
                  <w:tcW w:w="243" w:type="pct"/>
                  <w:noWrap w:val="0"/>
                  <w:vAlign w:val="center"/>
                </w:tcPr>
                <w:p w14:paraId="440F0383">
                  <w:pPr>
                    <w:adjustRightInd w:val="0"/>
                    <w:snapToGrid w:val="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相符</w:t>
                  </w:r>
                </w:p>
              </w:tc>
            </w:tr>
            <w:tr w14:paraId="77828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continue"/>
                  <w:noWrap w:val="0"/>
                  <w:vAlign w:val="center"/>
                </w:tcPr>
                <w:p w14:paraId="4EF46A7A">
                  <w:pPr>
                    <w:adjustRightInd w:val="0"/>
                    <w:snapToGrid w:val="0"/>
                    <w:jc w:val="center"/>
                    <w:rPr>
                      <w:color w:val="auto"/>
                      <w:highlight w:val="none"/>
                    </w:rPr>
                  </w:pPr>
                </w:p>
              </w:tc>
              <w:tc>
                <w:tcPr>
                  <w:tcW w:w="524" w:type="pct"/>
                  <w:vMerge w:val="continue"/>
                  <w:noWrap w:val="0"/>
                  <w:vAlign w:val="center"/>
                </w:tcPr>
                <w:p w14:paraId="2DB62E8E">
                  <w:pPr>
                    <w:adjustRightInd w:val="0"/>
                    <w:snapToGrid w:val="0"/>
                    <w:jc w:val="center"/>
                    <w:rPr>
                      <w:color w:val="auto"/>
                      <w:highlight w:val="none"/>
                    </w:rPr>
                  </w:pPr>
                </w:p>
              </w:tc>
              <w:tc>
                <w:tcPr>
                  <w:tcW w:w="261" w:type="pct"/>
                  <w:vMerge w:val="continue"/>
                  <w:noWrap w:val="0"/>
                  <w:vAlign w:val="center"/>
                </w:tcPr>
                <w:p w14:paraId="13FEADC6">
                  <w:pPr>
                    <w:adjustRightInd w:val="0"/>
                    <w:snapToGrid w:val="0"/>
                    <w:jc w:val="center"/>
                    <w:rPr>
                      <w:color w:val="auto"/>
                      <w:highlight w:val="none"/>
                    </w:rPr>
                  </w:pPr>
                </w:p>
              </w:tc>
              <w:tc>
                <w:tcPr>
                  <w:tcW w:w="309" w:type="pct"/>
                  <w:vMerge w:val="continue"/>
                  <w:noWrap w:val="0"/>
                  <w:vAlign w:val="center"/>
                </w:tcPr>
                <w:p w14:paraId="4288FE18">
                  <w:pPr>
                    <w:adjustRightInd w:val="0"/>
                    <w:snapToGrid w:val="0"/>
                    <w:jc w:val="center"/>
                    <w:rPr>
                      <w:color w:val="auto"/>
                      <w:highlight w:val="none"/>
                    </w:rPr>
                  </w:pPr>
                </w:p>
              </w:tc>
              <w:tc>
                <w:tcPr>
                  <w:tcW w:w="2266" w:type="pct"/>
                  <w:noWrap w:val="0"/>
                  <w:vAlign w:val="center"/>
                </w:tcPr>
                <w:p w14:paraId="427F33F2">
                  <w:pPr>
                    <w:keepNext w:val="0"/>
                    <w:keepLines w:val="0"/>
                    <w:widowControl/>
                    <w:suppressLineNumbers w:val="0"/>
                    <w:jc w:val="both"/>
                    <w:rPr>
                      <w:color w:val="auto"/>
                      <w:highlight w:val="none"/>
                    </w:rPr>
                  </w:pPr>
                  <w:r>
                    <w:rPr>
                      <w:rFonts w:hint="default" w:ascii="Times New Roman" w:hAnsi="Times New Roman" w:eastAsia="宋体" w:cs="Times New Roman"/>
                      <w:color w:val="auto"/>
                      <w:kern w:val="0"/>
                      <w:sz w:val="20"/>
                      <w:szCs w:val="20"/>
                      <w:highlight w:val="none"/>
                      <w:lang w:val="en-US" w:eastAsia="zh-CN" w:bidi="ar"/>
                    </w:rPr>
                    <w:t>2</w:t>
                  </w:r>
                  <w:r>
                    <w:rPr>
                      <w:rFonts w:hint="eastAsia" w:ascii="宋体" w:hAnsi="宋体" w:eastAsia="宋体" w:cs="宋体"/>
                      <w:color w:val="auto"/>
                      <w:kern w:val="0"/>
                      <w:sz w:val="20"/>
                      <w:szCs w:val="20"/>
                      <w:highlight w:val="none"/>
                      <w:lang w:val="en-US" w:eastAsia="zh-CN" w:bidi="ar"/>
                    </w:rPr>
                    <w:t>．干散货码头需与居民集中区保持一定距离，确保不对居民造成大气环境不利影响；危险品码头需远离各类生态环境敏感目标。</w:t>
                  </w:r>
                </w:p>
              </w:tc>
              <w:tc>
                <w:tcPr>
                  <w:tcW w:w="830" w:type="pct"/>
                  <w:noWrap w:val="0"/>
                  <w:vAlign w:val="center"/>
                </w:tcPr>
                <w:p w14:paraId="17CA6744">
                  <w:pPr>
                    <w:adjustRightInd w:val="0"/>
                    <w:snapToGrid w:val="0"/>
                    <w:jc w:val="center"/>
                    <w:rPr>
                      <w:color w:val="auto"/>
                      <w:highlight w:val="none"/>
                    </w:rPr>
                  </w:pPr>
                  <w:r>
                    <w:rPr>
                      <w:rFonts w:hint="eastAsia"/>
                      <w:color w:val="auto"/>
                      <w:sz w:val="21"/>
                      <w:szCs w:val="21"/>
                      <w:highlight w:val="none"/>
                      <w:u w:val="none"/>
                      <w:lang w:val="en-US" w:eastAsia="zh-CN"/>
                    </w:rPr>
                    <w:t>本项目不涉及。</w:t>
                  </w:r>
                </w:p>
              </w:tc>
              <w:tc>
                <w:tcPr>
                  <w:tcW w:w="243" w:type="pct"/>
                  <w:noWrap w:val="0"/>
                  <w:vAlign w:val="center"/>
                </w:tcPr>
                <w:p w14:paraId="2B749469">
                  <w:pPr>
                    <w:adjustRightInd w:val="0"/>
                    <w:snapToGrid w:val="0"/>
                    <w:jc w:val="center"/>
                    <w:rPr>
                      <w:color w:val="auto"/>
                      <w:highlight w:val="none"/>
                    </w:rPr>
                  </w:pPr>
                  <w:r>
                    <w:rPr>
                      <w:rFonts w:hint="eastAsia"/>
                      <w:color w:val="auto"/>
                      <w:sz w:val="21"/>
                      <w:szCs w:val="21"/>
                      <w:highlight w:val="none"/>
                      <w:u w:val="none"/>
                      <w:lang w:val="en-US" w:eastAsia="zh-CN"/>
                    </w:rPr>
                    <w:t>相符</w:t>
                  </w:r>
                </w:p>
              </w:tc>
            </w:tr>
            <w:tr w14:paraId="087B6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continue"/>
                  <w:noWrap w:val="0"/>
                  <w:vAlign w:val="center"/>
                </w:tcPr>
                <w:p w14:paraId="57E60350">
                  <w:pPr>
                    <w:adjustRightInd w:val="0"/>
                    <w:snapToGrid w:val="0"/>
                    <w:jc w:val="center"/>
                    <w:rPr>
                      <w:color w:val="auto"/>
                      <w:highlight w:val="none"/>
                    </w:rPr>
                  </w:pPr>
                </w:p>
              </w:tc>
              <w:tc>
                <w:tcPr>
                  <w:tcW w:w="524" w:type="pct"/>
                  <w:vMerge w:val="continue"/>
                  <w:noWrap w:val="0"/>
                  <w:vAlign w:val="center"/>
                </w:tcPr>
                <w:p w14:paraId="06F33BB4">
                  <w:pPr>
                    <w:adjustRightInd w:val="0"/>
                    <w:snapToGrid w:val="0"/>
                    <w:jc w:val="center"/>
                    <w:rPr>
                      <w:color w:val="auto"/>
                      <w:highlight w:val="none"/>
                    </w:rPr>
                  </w:pPr>
                </w:p>
              </w:tc>
              <w:tc>
                <w:tcPr>
                  <w:tcW w:w="261" w:type="pct"/>
                  <w:vMerge w:val="continue"/>
                  <w:noWrap w:val="0"/>
                  <w:vAlign w:val="center"/>
                </w:tcPr>
                <w:p w14:paraId="7672EF0D">
                  <w:pPr>
                    <w:adjustRightInd w:val="0"/>
                    <w:snapToGrid w:val="0"/>
                    <w:jc w:val="center"/>
                    <w:rPr>
                      <w:color w:val="auto"/>
                      <w:highlight w:val="none"/>
                    </w:rPr>
                  </w:pPr>
                </w:p>
              </w:tc>
              <w:tc>
                <w:tcPr>
                  <w:tcW w:w="309" w:type="pct"/>
                  <w:vMerge w:val="continue"/>
                  <w:noWrap w:val="0"/>
                  <w:vAlign w:val="center"/>
                </w:tcPr>
                <w:p w14:paraId="26082B31">
                  <w:pPr>
                    <w:adjustRightInd w:val="0"/>
                    <w:snapToGrid w:val="0"/>
                    <w:jc w:val="center"/>
                    <w:rPr>
                      <w:color w:val="auto"/>
                      <w:highlight w:val="none"/>
                    </w:rPr>
                  </w:pPr>
                </w:p>
              </w:tc>
              <w:tc>
                <w:tcPr>
                  <w:tcW w:w="2266" w:type="pct"/>
                  <w:noWrap w:val="0"/>
                  <w:vAlign w:val="center"/>
                </w:tcPr>
                <w:p w14:paraId="4E475646">
                  <w:pPr>
                    <w:adjustRightInd w:val="0"/>
                    <w:snapToGrid w:val="0"/>
                    <w:jc w:val="both"/>
                    <w:rPr>
                      <w:color w:val="auto"/>
                      <w:highlight w:val="none"/>
                    </w:rPr>
                  </w:pPr>
                  <w:r>
                    <w:rPr>
                      <w:rFonts w:hint="default" w:ascii="Times New Roman" w:hAnsi="Times New Roman" w:eastAsia="宋体" w:cs="Times New Roman"/>
                      <w:color w:val="auto"/>
                      <w:kern w:val="0"/>
                      <w:sz w:val="20"/>
                      <w:szCs w:val="20"/>
                      <w:highlight w:val="none"/>
                      <w:lang w:val="en-US" w:eastAsia="zh-CN" w:bidi="ar"/>
                    </w:rPr>
                    <w:t>3</w:t>
                  </w:r>
                  <w:r>
                    <w:rPr>
                      <w:rFonts w:hint="eastAsia" w:ascii="宋体" w:hAnsi="宋体" w:eastAsia="宋体" w:cs="宋体"/>
                      <w:color w:val="auto"/>
                      <w:kern w:val="0"/>
                      <w:sz w:val="20"/>
                      <w:szCs w:val="20"/>
                      <w:highlight w:val="none"/>
                      <w:lang w:val="en-US" w:eastAsia="zh-CN" w:bidi="ar"/>
                    </w:rPr>
                    <w:t>．不得突破港口总体规划划定的岸线范围。</w:t>
                  </w:r>
                </w:p>
              </w:tc>
              <w:tc>
                <w:tcPr>
                  <w:tcW w:w="830" w:type="pct"/>
                  <w:noWrap w:val="0"/>
                  <w:vAlign w:val="center"/>
                </w:tcPr>
                <w:p w14:paraId="0E5188D0">
                  <w:pPr>
                    <w:adjustRightInd w:val="0"/>
                    <w:snapToGrid w:val="0"/>
                    <w:jc w:val="center"/>
                    <w:rPr>
                      <w:color w:val="auto"/>
                      <w:highlight w:val="none"/>
                    </w:rPr>
                  </w:pPr>
                  <w:r>
                    <w:rPr>
                      <w:rFonts w:hint="eastAsia"/>
                      <w:color w:val="auto"/>
                      <w:sz w:val="21"/>
                      <w:szCs w:val="21"/>
                      <w:highlight w:val="none"/>
                      <w:u w:val="none"/>
                      <w:lang w:val="en-US" w:eastAsia="zh-CN"/>
                    </w:rPr>
                    <w:t>本项目不涉及。</w:t>
                  </w:r>
                </w:p>
              </w:tc>
              <w:tc>
                <w:tcPr>
                  <w:tcW w:w="243" w:type="pct"/>
                  <w:noWrap w:val="0"/>
                  <w:vAlign w:val="center"/>
                </w:tcPr>
                <w:p w14:paraId="12AE5E09">
                  <w:pPr>
                    <w:adjustRightInd w:val="0"/>
                    <w:snapToGrid w:val="0"/>
                    <w:jc w:val="center"/>
                    <w:rPr>
                      <w:color w:val="auto"/>
                      <w:highlight w:val="none"/>
                    </w:rPr>
                  </w:pPr>
                  <w:r>
                    <w:rPr>
                      <w:rFonts w:hint="eastAsia"/>
                      <w:color w:val="auto"/>
                      <w:sz w:val="21"/>
                      <w:szCs w:val="21"/>
                      <w:highlight w:val="none"/>
                      <w:u w:val="none"/>
                      <w:lang w:val="en-US" w:eastAsia="zh-CN"/>
                    </w:rPr>
                    <w:t>相符</w:t>
                  </w:r>
                </w:p>
              </w:tc>
            </w:tr>
            <w:tr w14:paraId="7962B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continue"/>
                  <w:noWrap w:val="0"/>
                  <w:vAlign w:val="center"/>
                </w:tcPr>
                <w:p w14:paraId="3C8D3F06">
                  <w:pPr>
                    <w:adjustRightInd w:val="0"/>
                    <w:snapToGrid w:val="0"/>
                    <w:jc w:val="center"/>
                    <w:rPr>
                      <w:color w:val="auto"/>
                      <w:highlight w:val="none"/>
                    </w:rPr>
                  </w:pPr>
                </w:p>
              </w:tc>
              <w:tc>
                <w:tcPr>
                  <w:tcW w:w="524" w:type="pct"/>
                  <w:vMerge w:val="continue"/>
                  <w:noWrap w:val="0"/>
                  <w:vAlign w:val="center"/>
                </w:tcPr>
                <w:p w14:paraId="50F02958">
                  <w:pPr>
                    <w:adjustRightInd w:val="0"/>
                    <w:snapToGrid w:val="0"/>
                    <w:jc w:val="center"/>
                    <w:rPr>
                      <w:color w:val="auto"/>
                      <w:highlight w:val="none"/>
                    </w:rPr>
                  </w:pPr>
                </w:p>
              </w:tc>
              <w:tc>
                <w:tcPr>
                  <w:tcW w:w="261" w:type="pct"/>
                  <w:vMerge w:val="continue"/>
                  <w:noWrap w:val="0"/>
                  <w:vAlign w:val="center"/>
                </w:tcPr>
                <w:p w14:paraId="1A9F858E">
                  <w:pPr>
                    <w:adjustRightInd w:val="0"/>
                    <w:snapToGrid w:val="0"/>
                    <w:jc w:val="center"/>
                    <w:rPr>
                      <w:color w:val="auto"/>
                      <w:highlight w:val="none"/>
                    </w:rPr>
                  </w:pPr>
                </w:p>
              </w:tc>
              <w:tc>
                <w:tcPr>
                  <w:tcW w:w="309" w:type="pct"/>
                  <w:vMerge w:val="continue"/>
                  <w:noWrap w:val="0"/>
                  <w:vAlign w:val="center"/>
                </w:tcPr>
                <w:p w14:paraId="03044222">
                  <w:pPr>
                    <w:adjustRightInd w:val="0"/>
                    <w:snapToGrid w:val="0"/>
                    <w:jc w:val="center"/>
                    <w:rPr>
                      <w:color w:val="auto"/>
                      <w:highlight w:val="none"/>
                    </w:rPr>
                  </w:pPr>
                </w:p>
              </w:tc>
              <w:tc>
                <w:tcPr>
                  <w:tcW w:w="2266" w:type="pct"/>
                  <w:noWrap w:val="0"/>
                  <w:vAlign w:val="center"/>
                </w:tcPr>
                <w:p w14:paraId="57F41EF1">
                  <w:pPr>
                    <w:keepNext w:val="0"/>
                    <w:keepLines w:val="0"/>
                    <w:widowControl/>
                    <w:suppressLineNumbers w:val="0"/>
                    <w:jc w:val="both"/>
                    <w:rPr>
                      <w:color w:val="auto"/>
                      <w:highlight w:val="none"/>
                    </w:rPr>
                  </w:pPr>
                  <w:r>
                    <w:rPr>
                      <w:rFonts w:hint="default" w:ascii="Times New Roman" w:hAnsi="Times New Roman" w:eastAsia="宋体" w:cs="Times New Roman"/>
                      <w:color w:val="auto"/>
                      <w:kern w:val="0"/>
                      <w:sz w:val="20"/>
                      <w:szCs w:val="20"/>
                      <w:highlight w:val="none"/>
                      <w:lang w:val="en-US" w:eastAsia="zh-CN" w:bidi="ar"/>
                    </w:rPr>
                    <w:t>4</w:t>
                  </w:r>
                  <w:r>
                    <w:rPr>
                      <w:rFonts w:hint="eastAsia" w:ascii="宋体" w:hAnsi="宋体" w:eastAsia="宋体" w:cs="宋体"/>
                      <w:color w:val="auto"/>
                      <w:kern w:val="0"/>
                      <w:sz w:val="20"/>
                      <w:szCs w:val="20"/>
                      <w:highlight w:val="none"/>
                      <w:lang w:val="en-US" w:eastAsia="zh-CN" w:bidi="ar"/>
                    </w:rPr>
                    <w:t>．建立渔业资源损失补偿机制，开展增殖放流、</w:t>
                  </w:r>
                  <w:r>
                    <w:rPr>
                      <w:rFonts w:hint="eastAsia" w:ascii="宋体" w:hAnsi="宋体" w:cs="宋体"/>
                      <w:color w:val="auto"/>
                      <w:kern w:val="0"/>
                      <w:sz w:val="20"/>
                      <w:szCs w:val="20"/>
                      <w:highlight w:val="none"/>
                      <w:lang w:val="en-US" w:eastAsia="zh-CN" w:bidi="ar"/>
                    </w:rPr>
                    <w:t>人工渔礁</w:t>
                  </w:r>
                  <w:r>
                    <w:rPr>
                      <w:rFonts w:hint="eastAsia" w:ascii="宋体" w:hAnsi="宋体" w:eastAsia="宋体" w:cs="宋体"/>
                      <w:color w:val="auto"/>
                      <w:kern w:val="0"/>
                      <w:sz w:val="20"/>
                      <w:szCs w:val="20"/>
                      <w:highlight w:val="none"/>
                      <w:lang w:val="en-US" w:eastAsia="zh-CN" w:bidi="ar"/>
                    </w:rPr>
                    <w:t>等生态修复工作。</w:t>
                  </w:r>
                </w:p>
              </w:tc>
              <w:tc>
                <w:tcPr>
                  <w:tcW w:w="830" w:type="pct"/>
                  <w:noWrap w:val="0"/>
                  <w:vAlign w:val="center"/>
                </w:tcPr>
                <w:p w14:paraId="766E0ECD">
                  <w:pPr>
                    <w:adjustRightInd w:val="0"/>
                    <w:snapToGrid w:val="0"/>
                    <w:jc w:val="both"/>
                    <w:rPr>
                      <w:rFonts w:hint="default" w:eastAsia="宋体"/>
                      <w:color w:val="auto"/>
                      <w:highlight w:val="none"/>
                      <w:lang w:val="en-US" w:eastAsia="zh-CN"/>
                    </w:rPr>
                  </w:pPr>
                  <w:r>
                    <w:rPr>
                      <w:rFonts w:hint="eastAsia"/>
                      <w:color w:val="auto"/>
                      <w:highlight w:val="none"/>
                      <w:lang w:val="en-US" w:eastAsia="zh-CN"/>
                    </w:rPr>
                    <w:t>项目施工结束后对区域进行生态补偿工作，制定生态修复方案。</w:t>
                  </w:r>
                </w:p>
              </w:tc>
              <w:tc>
                <w:tcPr>
                  <w:tcW w:w="243" w:type="pct"/>
                  <w:noWrap w:val="0"/>
                  <w:vAlign w:val="center"/>
                </w:tcPr>
                <w:p w14:paraId="1E129A7E">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相符</w:t>
                  </w:r>
                </w:p>
              </w:tc>
            </w:tr>
            <w:tr w14:paraId="34ABB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continue"/>
                  <w:noWrap w:val="0"/>
                  <w:vAlign w:val="center"/>
                </w:tcPr>
                <w:p w14:paraId="3C5BDCF4">
                  <w:pPr>
                    <w:adjustRightInd w:val="0"/>
                    <w:snapToGrid w:val="0"/>
                    <w:jc w:val="center"/>
                    <w:rPr>
                      <w:color w:val="auto"/>
                      <w:highlight w:val="none"/>
                    </w:rPr>
                  </w:pPr>
                </w:p>
              </w:tc>
              <w:tc>
                <w:tcPr>
                  <w:tcW w:w="524" w:type="pct"/>
                  <w:vMerge w:val="continue"/>
                  <w:noWrap w:val="0"/>
                  <w:vAlign w:val="center"/>
                </w:tcPr>
                <w:p w14:paraId="46152553">
                  <w:pPr>
                    <w:adjustRightInd w:val="0"/>
                    <w:snapToGrid w:val="0"/>
                    <w:jc w:val="center"/>
                    <w:rPr>
                      <w:color w:val="auto"/>
                      <w:highlight w:val="none"/>
                    </w:rPr>
                  </w:pPr>
                </w:p>
              </w:tc>
              <w:tc>
                <w:tcPr>
                  <w:tcW w:w="261" w:type="pct"/>
                  <w:vMerge w:val="continue"/>
                  <w:noWrap w:val="0"/>
                  <w:vAlign w:val="center"/>
                </w:tcPr>
                <w:p w14:paraId="58F49B53">
                  <w:pPr>
                    <w:adjustRightInd w:val="0"/>
                    <w:snapToGrid w:val="0"/>
                    <w:jc w:val="center"/>
                    <w:rPr>
                      <w:color w:val="auto"/>
                      <w:highlight w:val="none"/>
                    </w:rPr>
                  </w:pPr>
                </w:p>
              </w:tc>
              <w:tc>
                <w:tcPr>
                  <w:tcW w:w="309" w:type="pct"/>
                  <w:vMerge w:val="continue"/>
                  <w:noWrap w:val="0"/>
                  <w:vAlign w:val="center"/>
                </w:tcPr>
                <w:p w14:paraId="1C30FC19">
                  <w:pPr>
                    <w:adjustRightInd w:val="0"/>
                    <w:snapToGrid w:val="0"/>
                    <w:jc w:val="center"/>
                    <w:rPr>
                      <w:color w:val="auto"/>
                      <w:highlight w:val="none"/>
                    </w:rPr>
                  </w:pPr>
                </w:p>
              </w:tc>
              <w:tc>
                <w:tcPr>
                  <w:tcW w:w="2266" w:type="pct"/>
                  <w:noWrap w:val="0"/>
                  <w:vAlign w:val="center"/>
                </w:tcPr>
                <w:p w14:paraId="4FD16E70">
                  <w:pPr>
                    <w:keepNext w:val="0"/>
                    <w:keepLines w:val="0"/>
                    <w:widowControl/>
                    <w:suppressLineNumbers w:val="0"/>
                    <w:jc w:val="both"/>
                    <w:rPr>
                      <w:color w:val="auto"/>
                      <w:highlight w:val="none"/>
                    </w:rPr>
                  </w:pPr>
                  <w:r>
                    <w:rPr>
                      <w:rFonts w:hint="default" w:ascii="Times New Roman" w:hAnsi="Times New Roman" w:eastAsia="宋体" w:cs="Times New Roman"/>
                      <w:color w:val="auto"/>
                      <w:kern w:val="0"/>
                      <w:sz w:val="20"/>
                      <w:szCs w:val="20"/>
                      <w:highlight w:val="none"/>
                      <w:lang w:val="en-US" w:eastAsia="zh-CN" w:bidi="ar"/>
                    </w:rPr>
                    <w:t>5</w:t>
                  </w:r>
                  <w:r>
                    <w:rPr>
                      <w:rFonts w:hint="eastAsia" w:ascii="宋体" w:hAnsi="宋体" w:eastAsia="宋体" w:cs="宋体"/>
                      <w:color w:val="auto"/>
                      <w:kern w:val="0"/>
                      <w:sz w:val="20"/>
                      <w:szCs w:val="20"/>
                      <w:highlight w:val="none"/>
                      <w:lang w:val="en-US" w:eastAsia="zh-CN" w:bidi="ar"/>
                    </w:rPr>
                    <w:t>．合理控制港口开发规模与强度，不得占用依法应当禁止开发的区域，优先避让其他生态环境敏感区域。推动港口码头岸电设施和船舶受电设施建设和改造。</w:t>
                  </w:r>
                </w:p>
              </w:tc>
              <w:tc>
                <w:tcPr>
                  <w:tcW w:w="830" w:type="pct"/>
                  <w:noWrap w:val="0"/>
                  <w:vAlign w:val="center"/>
                </w:tcPr>
                <w:p w14:paraId="022229C1">
                  <w:pPr>
                    <w:adjustRightInd w:val="0"/>
                    <w:snapToGrid w:val="0"/>
                    <w:jc w:val="center"/>
                    <w:rPr>
                      <w:color w:val="auto"/>
                      <w:highlight w:val="none"/>
                    </w:rPr>
                  </w:pPr>
                  <w:r>
                    <w:rPr>
                      <w:rFonts w:hint="eastAsia"/>
                      <w:color w:val="auto"/>
                      <w:sz w:val="21"/>
                      <w:szCs w:val="21"/>
                      <w:highlight w:val="none"/>
                      <w:u w:val="none"/>
                      <w:lang w:val="en-US" w:eastAsia="zh-CN"/>
                    </w:rPr>
                    <w:t>本项目不涉及。</w:t>
                  </w:r>
                </w:p>
              </w:tc>
              <w:tc>
                <w:tcPr>
                  <w:tcW w:w="243" w:type="pct"/>
                  <w:noWrap w:val="0"/>
                  <w:vAlign w:val="center"/>
                </w:tcPr>
                <w:p w14:paraId="139DE464">
                  <w:pPr>
                    <w:adjustRightInd w:val="0"/>
                    <w:snapToGrid w:val="0"/>
                    <w:jc w:val="center"/>
                    <w:rPr>
                      <w:color w:val="auto"/>
                      <w:highlight w:val="none"/>
                    </w:rPr>
                  </w:pPr>
                  <w:r>
                    <w:rPr>
                      <w:rFonts w:hint="eastAsia"/>
                      <w:color w:val="auto"/>
                      <w:sz w:val="21"/>
                      <w:szCs w:val="21"/>
                      <w:highlight w:val="none"/>
                      <w:u w:val="none"/>
                      <w:lang w:val="en-US" w:eastAsia="zh-CN"/>
                    </w:rPr>
                    <w:t>相符</w:t>
                  </w:r>
                </w:p>
              </w:tc>
            </w:tr>
            <w:tr w14:paraId="1A0DE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jc w:val="center"/>
              </w:trPr>
              <w:tc>
                <w:tcPr>
                  <w:tcW w:w="564" w:type="pct"/>
                  <w:vMerge w:val="continue"/>
                  <w:noWrap w:val="0"/>
                  <w:vAlign w:val="center"/>
                </w:tcPr>
                <w:p w14:paraId="6C09DA66">
                  <w:pPr>
                    <w:adjustRightInd w:val="0"/>
                    <w:snapToGrid w:val="0"/>
                    <w:jc w:val="center"/>
                    <w:rPr>
                      <w:color w:val="auto"/>
                      <w:highlight w:val="none"/>
                    </w:rPr>
                  </w:pPr>
                </w:p>
              </w:tc>
              <w:tc>
                <w:tcPr>
                  <w:tcW w:w="524" w:type="pct"/>
                  <w:vMerge w:val="continue"/>
                  <w:noWrap w:val="0"/>
                  <w:vAlign w:val="center"/>
                </w:tcPr>
                <w:p w14:paraId="055C89AC">
                  <w:pPr>
                    <w:adjustRightInd w:val="0"/>
                    <w:snapToGrid w:val="0"/>
                    <w:jc w:val="center"/>
                    <w:rPr>
                      <w:color w:val="auto"/>
                      <w:highlight w:val="none"/>
                    </w:rPr>
                  </w:pPr>
                </w:p>
              </w:tc>
              <w:tc>
                <w:tcPr>
                  <w:tcW w:w="261" w:type="pct"/>
                  <w:vMerge w:val="continue"/>
                  <w:noWrap w:val="0"/>
                  <w:vAlign w:val="center"/>
                </w:tcPr>
                <w:p w14:paraId="3ADEFD9B">
                  <w:pPr>
                    <w:adjustRightInd w:val="0"/>
                    <w:snapToGrid w:val="0"/>
                    <w:jc w:val="center"/>
                    <w:rPr>
                      <w:color w:val="auto"/>
                      <w:highlight w:val="none"/>
                    </w:rPr>
                  </w:pPr>
                </w:p>
              </w:tc>
              <w:tc>
                <w:tcPr>
                  <w:tcW w:w="309" w:type="pct"/>
                  <w:vMerge w:val="continue"/>
                  <w:noWrap w:val="0"/>
                  <w:vAlign w:val="center"/>
                </w:tcPr>
                <w:p w14:paraId="0357FB1E">
                  <w:pPr>
                    <w:adjustRightInd w:val="0"/>
                    <w:snapToGrid w:val="0"/>
                    <w:jc w:val="center"/>
                    <w:rPr>
                      <w:color w:val="auto"/>
                      <w:highlight w:val="none"/>
                    </w:rPr>
                  </w:pPr>
                </w:p>
              </w:tc>
              <w:tc>
                <w:tcPr>
                  <w:tcW w:w="2266" w:type="pct"/>
                  <w:noWrap w:val="0"/>
                  <w:vAlign w:val="center"/>
                </w:tcPr>
                <w:p w14:paraId="49FB0419">
                  <w:pPr>
                    <w:keepNext w:val="0"/>
                    <w:keepLines w:val="0"/>
                    <w:widowControl/>
                    <w:suppressLineNumbers w:val="0"/>
                    <w:jc w:val="both"/>
                    <w:rPr>
                      <w:color w:val="auto"/>
                      <w:highlight w:val="none"/>
                    </w:rPr>
                  </w:pPr>
                  <w:r>
                    <w:rPr>
                      <w:rFonts w:hint="default" w:ascii="Times New Roman" w:hAnsi="Times New Roman" w:eastAsia="宋体" w:cs="Times New Roman"/>
                      <w:color w:val="auto"/>
                      <w:kern w:val="0"/>
                      <w:sz w:val="20"/>
                      <w:szCs w:val="20"/>
                      <w:highlight w:val="none"/>
                      <w:lang w:val="en-US" w:eastAsia="zh-CN" w:bidi="ar"/>
                    </w:rPr>
                    <w:t>6</w:t>
                  </w:r>
                  <w:r>
                    <w:rPr>
                      <w:rFonts w:hint="eastAsia" w:ascii="宋体" w:hAnsi="宋体" w:eastAsia="宋体" w:cs="宋体"/>
                      <w:color w:val="auto"/>
                      <w:kern w:val="0"/>
                      <w:sz w:val="20"/>
                      <w:szCs w:val="20"/>
                      <w:highlight w:val="none"/>
                      <w:lang w:val="en-US" w:eastAsia="zh-CN" w:bidi="ar"/>
                    </w:rPr>
                    <w:t>．严格控制建设不符合《北部湾港总体规划（</w:t>
                  </w:r>
                  <w:r>
                    <w:rPr>
                      <w:rFonts w:hint="default" w:ascii="Times New Roman" w:hAnsi="Times New Roman" w:eastAsia="宋体" w:cs="Times New Roman"/>
                      <w:color w:val="auto"/>
                      <w:kern w:val="0"/>
                      <w:sz w:val="20"/>
                      <w:szCs w:val="20"/>
                      <w:highlight w:val="none"/>
                      <w:lang w:val="en-US" w:eastAsia="zh-CN" w:bidi="ar"/>
                    </w:rPr>
                    <w:t>2035</w:t>
                  </w:r>
                  <w:r>
                    <w:rPr>
                      <w:rFonts w:hint="eastAsia" w:ascii="宋体" w:hAnsi="宋体" w:eastAsia="宋体" w:cs="宋体"/>
                      <w:color w:val="auto"/>
                      <w:kern w:val="0"/>
                      <w:sz w:val="20"/>
                      <w:szCs w:val="20"/>
                      <w:highlight w:val="none"/>
                      <w:lang w:val="en-US" w:eastAsia="zh-CN" w:bidi="ar"/>
                    </w:rPr>
                    <w:t>年）》《钦州港总体规划（</w:t>
                  </w:r>
                  <w:r>
                    <w:rPr>
                      <w:rFonts w:hint="default" w:ascii="Times New Roman" w:hAnsi="Times New Roman" w:eastAsia="宋体" w:cs="Times New Roman"/>
                      <w:color w:val="auto"/>
                      <w:kern w:val="0"/>
                      <w:sz w:val="20"/>
                      <w:szCs w:val="20"/>
                      <w:highlight w:val="none"/>
                      <w:lang w:val="en-US" w:eastAsia="zh-CN" w:bidi="ar"/>
                    </w:rPr>
                    <w:t>2035</w:t>
                  </w:r>
                  <w:r>
                    <w:rPr>
                      <w:rFonts w:hint="eastAsia" w:ascii="宋体" w:hAnsi="宋体" w:eastAsia="宋体" w:cs="宋体"/>
                      <w:color w:val="auto"/>
                      <w:kern w:val="0"/>
                      <w:sz w:val="20"/>
                      <w:szCs w:val="20"/>
                      <w:highlight w:val="none"/>
                      <w:lang w:val="en-US" w:eastAsia="zh-CN" w:bidi="ar"/>
                    </w:rPr>
                    <w:t>年）》的港口码头项目。</w:t>
                  </w:r>
                </w:p>
              </w:tc>
              <w:tc>
                <w:tcPr>
                  <w:tcW w:w="830" w:type="pct"/>
                  <w:noWrap w:val="0"/>
                  <w:vAlign w:val="center"/>
                </w:tcPr>
                <w:p w14:paraId="26643B69">
                  <w:pPr>
                    <w:adjustRightInd w:val="0"/>
                    <w:snapToGrid w:val="0"/>
                    <w:jc w:val="center"/>
                    <w:rPr>
                      <w:color w:val="auto"/>
                      <w:highlight w:val="none"/>
                    </w:rPr>
                  </w:pPr>
                  <w:r>
                    <w:rPr>
                      <w:rFonts w:hint="eastAsia"/>
                      <w:color w:val="auto"/>
                      <w:sz w:val="21"/>
                      <w:szCs w:val="21"/>
                      <w:highlight w:val="none"/>
                      <w:u w:val="none"/>
                      <w:lang w:val="en-US" w:eastAsia="zh-CN"/>
                    </w:rPr>
                    <w:t>本项目不涉及。</w:t>
                  </w:r>
                </w:p>
              </w:tc>
              <w:tc>
                <w:tcPr>
                  <w:tcW w:w="243" w:type="pct"/>
                  <w:noWrap w:val="0"/>
                  <w:vAlign w:val="center"/>
                </w:tcPr>
                <w:p w14:paraId="0BB76757">
                  <w:pPr>
                    <w:adjustRightInd w:val="0"/>
                    <w:snapToGrid w:val="0"/>
                    <w:jc w:val="center"/>
                    <w:rPr>
                      <w:color w:val="auto"/>
                      <w:highlight w:val="none"/>
                    </w:rPr>
                  </w:pPr>
                  <w:r>
                    <w:rPr>
                      <w:rFonts w:hint="eastAsia"/>
                      <w:color w:val="auto"/>
                      <w:sz w:val="21"/>
                      <w:szCs w:val="21"/>
                      <w:highlight w:val="none"/>
                      <w:u w:val="none"/>
                      <w:lang w:val="en-US" w:eastAsia="zh-CN"/>
                    </w:rPr>
                    <w:t>相符</w:t>
                  </w:r>
                </w:p>
              </w:tc>
            </w:tr>
            <w:tr w14:paraId="1DF3F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continue"/>
                  <w:noWrap w:val="0"/>
                  <w:vAlign w:val="center"/>
                </w:tcPr>
                <w:p w14:paraId="58D895C7">
                  <w:pPr>
                    <w:adjustRightInd w:val="0"/>
                    <w:snapToGrid w:val="0"/>
                    <w:jc w:val="center"/>
                    <w:rPr>
                      <w:color w:val="auto"/>
                      <w:highlight w:val="none"/>
                    </w:rPr>
                  </w:pPr>
                </w:p>
              </w:tc>
              <w:tc>
                <w:tcPr>
                  <w:tcW w:w="524" w:type="pct"/>
                  <w:vMerge w:val="continue"/>
                  <w:noWrap w:val="0"/>
                  <w:vAlign w:val="center"/>
                </w:tcPr>
                <w:p w14:paraId="363175D1">
                  <w:pPr>
                    <w:adjustRightInd w:val="0"/>
                    <w:snapToGrid w:val="0"/>
                    <w:jc w:val="center"/>
                    <w:rPr>
                      <w:color w:val="auto"/>
                      <w:highlight w:val="none"/>
                    </w:rPr>
                  </w:pPr>
                </w:p>
              </w:tc>
              <w:tc>
                <w:tcPr>
                  <w:tcW w:w="261" w:type="pct"/>
                  <w:vMerge w:val="continue"/>
                  <w:noWrap w:val="0"/>
                  <w:vAlign w:val="center"/>
                </w:tcPr>
                <w:p w14:paraId="01D453DF">
                  <w:pPr>
                    <w:adjustRightInd w:val="0"/>
                    <w:snapToGrid w:val="0"/>
                    <w:jc w:val="center"/>
                    <w:rPr>
                      <w:color w:val="auto"/>
                      <w:highlight w:val="none"/>
                    </w:rPr>
                  </w:pPr>
                </w:p>
              </w:tc>
              <w:tc>
                <w:tcPr>
                  <w:tcW w:w="309" w:type="pct"/>
                  <w:vMerge w:val="restart"/>
                  <w:noWrap w:val="0"/>
                  <w:vAlign w:val="center"/>
                </w:tcPr>
                <w:p w14:paraId="351B9E7F">
                  <w:pPr>
                    <w:adjustRightInd w:val="0"/>
                    <w:snapToGrid w:val="0"/>
                    <w:jc w:val="both"/>
                    <w:rPr>
                      <w:rFonts w:hint="eastAsia" w:eastAsia="宋体"/>
                      <w:color w:val="auto"/>
                      <w:highlight w:val="none"/>
                      <w:lang w:eastAsia="zh-CN"/>
                    </w:rPr>
                  </w:pPr>
                  <w:r>
                    <w:rPr>
                      <w:rFonts w:hint="eastAsia"/>
                      <w:color w:val="auto"/>
                      <w:highlight w:val="none"/>
                      <w:lang w:eastAsia="zh-CN"/>
                    </w:rPr>
                    <w:t>污染物排放管控</w:t>
                  </w:r>
                </w:p>
              </w:tc>
              <w:tc>
                <w:tcPr>
                  <w:tcW w:w="2266" w:type="pct"/>
                  <w:noWrap w:val="0"/>
                  <w:vAlign w:val="center"/>
                </w:tcPr>
                <w:p w14:paraId="2EFD31FF">
                  <w:pPr>
                    <w:adjustRightInd w:val="0"/>
                    <w:snapToGrid w:val="0"/>
                    <w:jc w:val="both"/>
                    <w:rPr>
                      <w:color w:val="auto"/>
                      <w:highlight w:val="none"/>
                    </w:rPr>
                  </w:pPr>
                  <w:r>
                    <w:rPr>
                      <w:rFonts w:hint="default" w:ascii="Times New Roman" w:hAnsi="Times New Roman" w:eastAsia="宋体" w:cs="Times New Roman"/>
                      <w:color w:val="auto"/>
                      <w:kern w:val="0"/>
                      <w:sz w:val="20"/>
                      <w:szCs w:val="20"/>
                      <w:highlight w:val="none"/>
                      <w:lang w:val="en-US" w:eastAsia="zh-CN" w:bidi="ar"/>
                    </w:rPr>
                    <w:t>1</w:t>
                  </w:r>
                  <w:r>
                    <w:rPr>
                      <w:rFonts w:hint="eastAsia" w:ascii="宋体" w:hAnsi="宋体" w:eastAsia="宋体" w:cs="宋体"/>
                      <w:color w:val="auto"/>
                      <w:kern w:val="0"/>
                      <w:sz w:val="20"/>
                      <w:szCs w:val="20"/>
                      <w:highlight w:val="none"/>
                      <w:lang w:val="en-US" w:eastAsia="zh-CN" w:bidi="ar"/>
                    </w:rPr>
                    <w:t>．船舶排放含油污水、生活污水等，应当符合船舶污染物排放标准。禁止向水体倾倒船舶垃圾。禁止排放不符合规定的船舶压载水。</w:t>
                  </w:r>
                </w:p>
              </w:tc>
              <w:tc>
                <w:tcPr>
                  <w:tcW w:w="830" w:type="pct"/>
                  <w:noWrap w:val="0"/>
                  <w:vAlign w:val="center"/>
                </w:tcPr>
                <w:p w14:paraId="141824C3">
                  <w:pPr>
                    <w:adjustRightInd w:val="0"/>
                    <w:snapToGrid w:val="0"/>
                    <w:jc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项目施工船舶生活污水、船舶含油污水、船舶生活垃圾收集后由有资质单位收集处置</w:t>
                  </w:r>
                </w:p>
              </w:tc>
              <w:tc>
                <w:tcPr>
                  <w:tcW w:w="243" w:type="pct"/>
                  <w:noWrap w:val="0"/>
                  <w:vAlign w:val="center"/>
                </w:tcPr>
                <w:p w14:paraId="2E6F25DD">
                  <w:pPr>
                    <w:adjustRightInd w:val="0"/>
                    <w:snapToGrid w:val="0"/>
                    <w:jc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相符</w:t>
                  </w:r>
                </w:p>
              </w:tc>
            </w:tr>
            <w:tr w14:paraId="0D265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continue"/>
                  <w:noWrap w:val="0"/>
                  <w:vAlign w:val="center"/>
                </w:tcPr>
                <w:p w14:paraId="7E9C1DEA">
                  <w:pPr>
                    <w:adjustRightInd w:val="0"/>
                    <w:snapToGrid w:val="0"/>
                    <w:jc w:val="center"/>
                    <w:rPr>
                      <w:color w:val="auto"/>
                      <w:highlight w:val="none"/>
                    </w:rPr>
                  </w:pPr>
                </w:p>
              </w:tc>
              <w:tc>
                <w:tcPr>
                  <w:tcW w:w="524" w:type="pct"/>
                  <w:vMerge w:val="continue"/>
                  <w:noWrap w:val="0"/>
                  <w:vAlign w:val="center"/>
                </w:tcPr>
                <w:p w14:paraId="5ADF5B1B">
                  <w:pPr>
                    <w:adjustRightInd w:val="0"/>
                    <w:snapToGrid w:val="0"/>
                    <w:jc w:val="center"/>
                    <w:rPr>
                      <w:color w:val="auto"/>
                      <w:highlight w:val="none"/>
                    </w:rPr>
                  </w:pPr>
                </w:p>
              </w:tc>
              <w:tc>
                <w:tcPr>
                  <w:tcW w:w="261" w:type="pct"/>
                  <w:vMerge w:val="continue"/>
                  <w:noWrap w:val="0"/>
                  <w:vAlign w:val="center"/>
                </w:tcPr>
                <w:p w14:paraId="7EB0D5D3">
                  <w:pPr>
                    <w:adjustRightInd w:val="0"/>
                    <w:snapToGrid w:val="0"/>
                    <w:jc w:val="center"/>
                    <w:rPr>
                      <w:color w:val="auto"/>
                      <w:highlight w:val="none"/>
                    </w:rPr>
                  </w:pPr>
                </w:p>
              </w:tc>
              <w:tc>
                <w:tcPr>
                  <w:tcW w:w="309" w:type="pct"/>
                  <w:vMerge w:val="continue"/>
                  <w:noWrap w:val="0"/>
                  <w:vAlign w:val="center"/>
                </w:tcPr>
                <w:p w14:paraId="3850F3F1">
                  <w:pPr>
                    <w:adjustRightInd w:val="0"/>
                    <w:snapToGrid w:val="0"/>
                    <w:jc w:val="center"/>
                    <w:rPr>
                      <w:color w:val="auto"/>
                      <w:highlight w:val="none"/>
                    </w:rPr>
                  </w:pPr>
                </w:p>
              </w:tc>
              <w:tc>
                <w:tcPr>
                  <w:tcW w:w="2266" w:type="pct"/>
                  <w:noWrap w:val="0"/>
                  <w:vAlign w:val="center"/>
                </w:tcPr>
                <w:p w14:paraId="142FDFE5">
                  <w:pPr>
                    <w:keepNext w:val="0"/>
                    <w:keepLines w:val="0"/>
                    <w:widowControl/>
                    <w:suppressLineNumbers w:val="0"/>
                    <w:jc w:val="both"/>
                    <w:rPr>
                      <w:color w:val="auto"/>
                      <w:highlight w:val="none"/>
                    </w:rPr>
                  </w:pPr>
                  <w:r>
                    <w:rPr>
                      <w:rFonts w:hint="default" w:ascii="Times New Roman" w:hAnsi="Times New Roman" w:eastAsia="宋体" w:cs="Times New Roman"/>
                      <w:color w:val="auto"/>
                      <w:kern w:val="0"/>
                      <w:sz w:val="20"/>
                      <w:szCs w:val="20"/>
                      <w:highlight w:val="none"/>
                      <w:lang w:val="en-US" w:eastAsia="zh-CN" w:bidi="ar"/>
                    </w:rPr>
                    <w:t>2</w:t>
                  </w:r>
                  <w:r>
                    <w:rPr>
                      <w:rFonts w:hint="eastAsia" w:ascii="宋体" w:hAnsi="宋体" w:eastAsia="宋体" w:cs="宋体"/>
                      <w:color w:val="auto"/>
                      <w:kern w:val="0"/>
                      <w:sz w:val="20"/>
                      <w:szCs w:val="20"/>
                      <w:highlight w:val="none"/>
                      <w:lang w:val="en-US" w:eastAsia="zh-CN" w:bidi="ar"/>
                    </w:rPr>
                    <w:t>．统筹规划建设船舶污染物、废弃物的接收、转运及处理处置设施。从事船舶污染物、废弃物接收作业，或者从事装载油类、污染危害性货物船舱清洗作业的单位，应当具备与其运营规模相适应的接收处理能力。</w:t>
                  </w:r>
                </w:p>
              </w:tc>
              <w:tc>
                <w:tcPr>
                  <w:tcW w:w="830" w:type="pct"/>
                  <w:noWrap w:val="0"/>
                  <w:vAlign w:val="center"/>
                </w:tcPr>
                <w:p w14:paraId="5CC2DB29">
                  <w:pPr>
                    <w:adjustRightInd w:val="0"/>
                    <w:snapToGrid w:val="0"/>
                    <w:jc w:val="center"/>
                    <w:rPr>
                      <w:color w:val="auto"/>
                      <w:highlight w:val="none"/>
                    </w:rPr>
                  </w:pPr>
                  <w:r>
                    <w:rPr>
                      <w:rFonts w:hint="eastAsia"/>
                      <w:color w:val="auto"/>
                      <w:sz w:val="21"/>
                      <w:szCs w:val="21"/>
                      <w:highlight w:val="none"/>
                      <w:u w:val="none"/>
                      <w:lang w:val="en-US" w:eastAsia="zh-CN"/>
                    </w:rPr>
                    <w:t>本项目不涉及</w:t>
                  </w:r>
                </w:p>
              </w:tc>
              <w:tc>
                <w:tcPr>
                  <w:tcW w:w="243" w:type="pct"/>
                  <w:noWrap w:val="0"/>
                  <w:vAlign w:val="center"/>
                </w:tcPr>
                <w:p w14:paraId="012178BE">
                  <w:pPr>
                    <w:adjustRightInd w:val="0"/>
                    <w:snapToGrid w:val="0"/>
                    <w:jc w:val="center"/>
                    <w:rPr>
                      <w:color w:val="auto"/>
                      <w:highlight w:val="none"/>
                    </w:rPr>
                  </w:pPr>
                  <w:r>
                    <w:rPr>
                      <w:rFonts w:hint="eastAsia"/>
                      <w:color w:val="auto"/>
                      <w:highlight w:val="none"/>
                      <w:lang w:val="en-US" w:eastAsia="zh-CN"/>
                    </w:rPr>
                    <w:t>相符</w:t>
                  </w:r>
                </w:p>
              </w:tc>
            </w:tr>
            <w:tr w14:paraId="290C1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continue"/>
                  <w:noWrap w:val="0"/>
                  <w:vAlign w:val="center"/>
                </w:tcPr>
                <w:p w14:paraId="1DD730E6">
                  <w:pPr>
                    <w:adjustRightInd w:val="0"/>
                    <w:snapToGrid w:val="0"/>
                    <w:jc w:val="center"/>
                    <w:rPr>
                      <w:color w:val="auto"/>
                      <w:highlight w:val="none"/>
                    </w:rPr>
                  </w:pPr>
                </w:p>
              </w:tc>
              <w:tc>
                <w:tcPr>
                  <w:tcW w:w="524" w:type="pct"/>
                  <w:vMerge w:val="continue"/>
                  <w:noWrap w:val="0"/>
                  <w:vAlign w:val="center"/>
                </w:tcPr>
                <w:p w14:paraId="40902A61">
                  <w:pPr>
                    <w:adjustRightInd w:val="0"/>
                    <w:snapToGrid w:val="0"/>
                    <w:jc w:val="center"/>
                    <w:rPr>
                      <w:color w:val="auto"/>
                      <w:highlight w:val="none"/>
                    </w:rPr>
                  </w:pPr>
                </w:p>
              </w:tc>
              <w:tc>
                <w:tcPr>
                  <w:tcW w:w="261" w:type="pct"/>
                  <w:vMerge w:val="continue"/>
                  <w:noWrap w:val="0"/>
                  <w:vAlign w:val="center"/>
                </w:tcPr>
                <w:p w14:paraId="3516690E">
                  <w:pPr>
                    <w:adjustRightInd w:val="0"/>
                    <w:snapToGrid w:val="0"/>
                    <w:jc w:val="center"/>
                    <w:rPr>
                      <w:color w:val="auto"/>
                      <w:highlight w:val="none"/>
                    </w:rPr>
                  </w:pPr>
                </w:p>
              </w:tc>
              <w:tc>
                <w:tcPr>
                  <w:tcW w:w="309" w:type="pct"/>
                  <w:vMerge w:val="continue"/>
                  <w:noWrap w:val="0"/>
                  <w:vAlign w:val="center"/>
                </w:tcPr>
                <w:p w14:paraId="16C76079">
                  <w:pPr>
                    <w:adjustRightInd w:val="0"/>
                    <w:snapToGrid w:val="0"/>
                    <w:jc w:val="center"/>
                    <w:rPr>
                      <w:color w:val="auto"/>
                      <w:highlight w:val="none"/>
                    </w:rPr>
                  </w:pPr>
                </w:p>
              </w:tc>
              <w:tc>
                <w:tcPr>
                  <w:tcW w:w="2266" w:type="pct"/>
                  <w:noWrap w:val="0"/>
                  <w:vAlign w:val="center"/>
                </w:tcPr>
                <w:p w14:paraId="1C708D9D">
                  <w:pPr>
                    <w:keepNext w:val="0"/>
                    <w:keepLines w:val="0"/>
                    <w:widowControl/>
                    <w:suppressLineNumbers w:val="0"/>
                    <w:jc w:val="both"/>
                    <w:rPr>
                      <w:color w:val="auto"/>
                      <w:highlight w:val="none"/>
                    </w:rPr>
                  </w:pPr>
                  <w:r>
                    <w:rPr>
                      <w:rFonts w:hint="default" w:ascii="Times New Roman" w:hAnsi="Times New Roman" w:eastAsia="宋体" w:cs="Times New Roman"/>
                      <w:color w:val="auto"/>
                      <w:kern w:val="0"/>
                      <w:sz w:val="20"/>
                      <w:szCs w:val="20"/>
                      <w:highlight w:val="none"/>
                      <w:lang w:val="en-US" w:eastAsia="zh-CN" w:bidi="ar"/>
                    </w:rPr>
                    <w:t>3</w:t>
                  </w:r>
                  <w:r>
                    <w:rPr>
                      <w:rFonts w:hint="eastAsia" w:ascii="宋体" w:hAnsi="宋体" w:eastAsia="宋体" w:cs="宋体"/>
                      <w:color w:val="auto"/>
                      <w:kern w:val="0"/>
                      <w:sz w:val="20"/>
                      <w:szCs w:val="20"/>
                      <w:highlight w:val="none"/>
                      <w:lang w:val="en-US" w:eastAsia="zh-CN" w:bidi="ar"/>
                    </w:rPr>
                    <w:t>．实行雨污分流和污水分质处理，完善港区污水集中处理设施和配套管网建设，实现污水集中处理、回用或达标排放。</w:t>
                  </w:r>
                </w:p>
              </w:tc>
              <w:tc>
                <w:tcPr>
                  <w:tcW w:w="830" w:type="pct"/>
                  <w:noWrap w:val="0"/>
                  <w:vAlign w:val="center"/>
                </w:tcPr>
                <w:p w14:paraId="071DA990">
                  <w:pPr>
                    <w:adjustRightInd w:val="0"/>
                    <w:snapToGrid w:val="0"/>
                    <w:jc w:val="center"/>
                    <w:rPr>
                      <w:color w:val="auto"/>
                      <w:highlight w:val="none"/>
                    </w:rPr>
                  </w:pPr>
                  <w:r>
                    <w:rPr>
                      <w:rFonts w:hint="eastAsia"/>
                      <w:color w:val="auto"/>
                      <w:sz w:val="21"/>
                      <w:szCs w:val="21"/>
                      <w:highlight w:val="none"/>
                      <w:u w:val="none"/>
                      <w:lang w:val="en-US" w:eastAsia="zh-CN"/>
                    </w:rPr>
                    <w:t>本项目不涉及。</w:t>
                  </w:r>
                </w:p>
              </w:tc>
              <w:tc>
                <w:tcPr>
                  <w:tcW w:w="243" w:type="pct"/>
                  <w:noWrap w:val="0"/>
                  <w:vAlign w:val="center"/>
                </w:tcPr>
                <w:p w14:paraId="729B51C2">
                  <w:pPr>
                    <w:adjustRightInd w:val="0"/>
                    <w:snapToGrid w:val="0"/>
                    <w:jc w:val="center"/>
                    <w:rPr>
                      <w:color w:val="auto"/>
                      <w:highlight w:val="none"/>
                    </w:rPr>
                  </w:pPr>
                  <w:r>
                    <w:rPr>
                      <w:rFonts w:hint="eastAsia"/>
                      <w:color w:val="auto"/>
                      <w:sz w:val="21"/>
                      <w:szCs w:val="21"/>
                      <w:highlight w:val="none"/>
                      <w:u w:val="none"/>
                      <w:lang w:val="en-US" w:eastAsia="zh-CN"/>
                    </w:rPr>
                    <w:t>相符</w:t>
                  </w:r>
                </w:p>
              </w:tc>
            </w:tr>
            <w:tr w14:paraId="1AC1B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continue"/>
                  <w:noWrap w:val="0"/>
                  <w:vAlign w:val="center"/>
                </w:tcPr>
                <w:p w14:paraId="691D14A8">
                  <w:pPr>
                    <w:adjustRightInd w:val="0"/>
                    <w:snapToGrid w:val="0"/>
                    <w:jc w:val="center"/>
                    <w:rPr>
                      <w:color w:val="auto"/>
                      <w:highlight w:val="none"/>
                    </w:rPr>
                  </w:pPr>
                </w:p>
              </w:tc>
              <w:tc>
                <w:tcPr>
                  <w:tcW w:w="524" w:type="pct"/>
                  <w:vMerge w:val="continue"/>
                  <w:noWrap w:val="0"/>
                  <w:vAlign w:val="center"/>
                </w:tcPr>
                <w:p w14:paraId="6E0CD014">
                  <w:pPr>
                    <w:adjustRightInd w:val="0"/>
                    <w:snapToGrid w:val="0"/>
                    <w:jc w:val="center"/>
                    <w:rPr>
                      <w:color w:val="auto"/>
                      <w:highlight w:val="none"/>
                    </w:rPr>
                  </w:pPr>
                </w:p>
              </w:tc>
              <w:tc>
                <w:tcPr>
                  <w:tcW w:w="261" w:type="pct"/>
                  <w:vMerge w:val="continue"/>
                  <w:noWrap w:val="0"/>
                  <w:vAlign w:val="center"/>
                </w:tcPr>
                <w:p w14:paraId="2E1A4F44">
                  <w:pPr>
                    <w:adjustRightInd w:val="0"/>
                    <w:snapToGrid w:val="0"/>
                    <w:jc w:val="center"/>
                    <w:rPr>
                      <w:color w:val="auto"/>
                      <w:highlight w:val="none"/>
                    </w:rPr>
                  </w:pPr>
                </w:p>
              </w:tc>
              <w:tc>
                <w:tcPr>
                  <w:tcW w:w="309" w:type="pct"/>
                  <w:vMerge w:val="continue"/>
                  <w:noWrap w:val="0"/>
                  <w:vAlign w:val="center"/>
                </w:tcPr>
                <w:p w14:paraId="681CA2FA">
                  <w:pPr>
                    <w:adjustRightInd w:val="0"/>
                    <w:snapToGrid w:val="0"/>
                    <w:jc w:val="center"/>
                    <w:rPr>
                      <w:color w:val="auto"/>
                      <w:highlight w:val="none"/>
                    </w:rPr>
                  </w:pPr>
                </w:p>
              </w:tc>
              <w:tc>
                <w:tcPr>
                  <w:tcW w:w="2266" w:type="pct"/>
                  <w:noWrap w:val="0"/>
                  <w:vAlign w:val="center"/>
                </w:tcPr>
                <w:p w14:paraId="6655CF7A">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0"/>
                      <w:szCs w:val="20"/>
                      <w:highlight w:val="none"/>
                      <w:lang w:val="en-US" w:eastAsia="zh-CN" w:bidi="ar"/>
                    </w:rPr>
                    <w:t>4</w:t>
                  </w:r>
                  <w:r>
                    <w:rPr>
                      <w:rFonts w:hint="eastAsia" w:ascii="宋体" w:hAnsi="宋体" w:eastAsia="宋体" w:cs="宋体"/>
                      <w:color w:val="auto"/>
                      <w:kern w:val="0"/>
                      <w:sz w:val="20"/>
                      <w:szCs w:val="20"/>
                      <w:highlight w:val="none"/>
                      <w:lang w:val="en-US" w:eastAsia="zh-CN" w:bidi="ar"/>
                    </w:rPr>
                    <w:t>．干散货作业区应实现封闭</w:t>
                  </w:r>
                  <w:r>
                    <w:rPr>
                      <w:rFonts w:hint="default" w:ascii="Times New Roman" w:hAnsi="Times New Roman" w:eastAsia="宋体" w:cs="Times New Roman"/>
                      <w:color w:val="auto"/>
                      <w:kern w:val="0"/>
                      <w:sz w:val="20"/>
                      <w:szCs w:val="20"/>
                      <w:highlight w:val="none"/>
                      <w:lang w:val="en-US" w:eastAsia="zh-CN" w:bidi="ar"/>
                    </w:rPr>
                    <w:t>/</w:t>
                  </w:r>
                  <w:r>
                    <w:rPr>
                      <w:rFonts w:hint="eastAsia" w:ascii="宋体" w:hAnsi="宋体" w:eastAsia="宋体" w:cs="宋体"/>
                      <w:color w:val="auto"/>
                      <w:kern w:val="0"/>
                      <w:sz w:val="20"/>
                      <w:szCs w:val="20"/>
                      <w:highlight w:val="none"/>
                      <w:lang w:val="en-US" w:eastAsia="zh-CN" w:bidi="ar"/>
                    </w:rPr>
                    <w:t>半封闭堆存或建设有效防风抑尘设施。严格控制船舶大气污染物排放，加强码头挥发性有机化合物控制，采取油气回收措施等有效措施控制港区油气无组织排放。</w:t>
                  </w:r>
                </w:p>
              </w:tc>
              <w:tc>
                <w:tcPr>
                  <w:tcW w:w="830" w:type="pct"/>
                  <w:noWrap w:val="0"/>
                  <w:vAlign w:val="center"/>
                </w:tcPr>
                <w:p w14:paraId="04F890B8">
                  <w:pPr>
                    <w:adjustRightInd w:val="0"/>
                    <w:snapToGrid w:val="0"/>
                    <w:jc w:val="center"/>
                    <w:rPr>
                      <w:b/>
                      <w:bCs/>
                      <w:color w:val="auto"/>
                      <w:highlight w:val="none"/>
                    </w:rPr>
                  </w:pPr>
                  <w:r>
                    <w:rPr>
                      <w:rFonts w:hint="eastAsia"/>
                      <w:color w:val="auto"/>
                      <w:sz w:val="21"/>
                      <w:szCs w:val="21"/>
                      <w:highlight w:val="none"/>
                      <w:u w:val="none"/>
                      <w:lang w:val="en-US" w:eastAsia="zh-CN"/>
                    </w:rPr>
                    <w:t>本项目不涉及。</w:t>
                  </w:r>
                </w:p>
              </w:tc>
              <w:tc>
                <w:tcPr>
                  <w:tcW w:w="243" w:type="pct"/>
                  <w:noWrap w:val="0"/>
                  <w:vAlign w:val="center"/>
                </w:tcPr>
                <w:p w14:paraId="0EC515BC">
                  <w:pPr>
                    <w:adjustRightInd w:val="0"/>
                    <w:snapToGrid w:val="0"/>
                    <w:jc w:val="center"/>
                    <w:rPr>
                      <w:b/>
                      <w:bCs/>
                      <w:color w:val="auto"/>
                      <w:highlight w:val="none"/>
                    </w:rPr>
                  </w:pPr>
                  <w:r>
                    <w:rPr>
                      <w:rFonts w:hint="eastAsia"/>
                      <w:color w:val="auto"/>
                      <w:sz w:val="21"/>
                      <w:szCs w:val="21"/>
                      <w:highlight w:val="none"/>
                      <w:u w:val="none"/>
                      <w:lang w:val="en-US" w:eastAsia="zh-CN"/>
                    </w:rPr>
                    <w:t>相符</w:t>
                  </w:r>
                </w:p>
              </w:tc>
            </w:tr>
            <w:tr w14:paraId="561C4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continue"/>
                  <w:noWrap w:val="0"/>
                  <w:vAlign w:val="center"/>
                </w:tcPr>
                <w:p w14:paraId="01101610">
                  <w:pPr>
                    <w:adjustRightInd w:val="0"/>
                    <w:snapToGrid w:val="0"/>
                    <w:jc w:val="center"/>
                    <w:rPr>
                      <w:color w:val="auto"/>
                      <w:highlight w:val="none"/>
                    </w:rPr>
                  </w:pPr>
                </w:p>
              </w:tc>
              <w:tc>
                <w:tcPr>
                  <w:tcW w:w="524" w:type="pct"/>
                  <w:vMerge w:val="continue"/>
                  <w:noWrap w:val="0"/>
                  <w:vAlign w:val="center"/>
                </w:tcPr>
                <w:p w14:paraId="65D1061D">
                  <w:pPr>
                    <w:adjustRightInd w:val="0"/>
                    <w:snapToGrid w:val="0"/>
                    <w:jc w:val="center"/>
                    <w:rPr>
                      <w:color w:val="auto"/>
                      <w:highlight w:val="none"/>
                    </w:rPr>
                  </w:pPr>
                </w:p>
              </w:tc>
              <w:tc>
                <w:tcPr>
                  <w:tcW w:w="261" w:type="pct"/>
                  <w:vMerge w:val="continue"/>
                  <w:noWrap w:val="0"/>
                  <w:vAlign w:val="center"/>
                </w:tcPr>
                <w:p w14:paraId="15C07108">
                  <w:pPr>
                    <w:adjustRightInd w:val="0"/>
                    <w:snapToGrid w:val="0"/>
                    <w:jc w:val="center"/>
                    <w:rPr>
                      <w:color w:val="auto"/>
                      <w:highlight w:val="none"/>
                    </w:rPr>
                  </w:pPr>
                </w:p>
              </w:tc>
              <w:tc>
                <w:tcPr>
                  <w:tcW w:w="309" w:type="pct"/>
                  <w:vMerge w:val="continue"/>
                  <w:noWrap w:val="0"/>
                  <w:vAlign w:val="center"/>
                </w:tcPr>
                <w:p w14:paraId="58873066">
                  <w:pPr>
                    <w:adjustRightInd w:val="0"/>
                    <w:snapToGrid w:val="0"/>
                    <w:jc w:val="both"/>
                    <w:rPr>
                      <w:rFonts w:hint="eastAsia" w:eastAsia="宋体"/>
                      <w:color w:val="auto"/>
                      <w:highlight w:val="none"/>
                      <w:lang w:eastAsia="zh-CN"/>
                    </w:rPr>
                  </w:pPr>
                </w:p>
              </w:tc>
              <w:tc>
                <w:tcPr>
                  <w:tcW w:w="2266" w:type="pct"/>
                  <w:noWrap w:val="0"/>
                  <w:vAlign w:val="center"/>
                </w:tcPr>
                <w:p w14:paraId="217AEC73">
                  <w:pPr>
                    <w:keepNext w:val="0"/>
                    <w:keepLines w:val="0"/>
                    <w:widowControl/>
                    <w:numPr>
                      <w:ilvl w:val="0"/>
                      <w:numId w:val="5"/>
                    </w:numPr>
                    <w:suppressLineNumbers w:val="0"/>
                    <w:jc w:val="left"/>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钦州湾超标海域整治：</w:t>
                  </w:r>
                </w:p>
                <w:p w14:paraId="4A0816A0">
                  <w:pPr>
                    <w:keepNext w:val="0"/>
                    <w:keepLines w:val="0"/>
                    <w:widowControl/>
                    <w:numPr>
                      <w:ilvl w:val="0"/>
                      <w:numId w:val="6"/>
                    </w:numPr>
                    <w:suppressLineNumbers w:val="0"/>
                    <w:jc w:val="left"/>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推进钦州市东排水口、犀牛脚镇排污口、胜科污水处理厂纳污区域、大榄坪污水处理厂纳污区域、三墩循环经济</w:t>
                  </w:r>
                  <w:r>
                    <w:rPr>
                      <w:rFonts w:hint="eastAsia" w:ascii="宋体" w:hAnsi="宋体" w:cs="宋体"/>
                      <w:color w:val="auto"/>
                      <w:kern w:val="0"/>
                      <w:sz w:val="20"/>
                      <w:szCs w:val="20"/>
                      <w:highlight w:val="none"/>
                      <w:lang w:val="en-US" w:eastAsia="zh-CN" w:bidi="ar"/>
                    </w:rPr>
                    <w:t>示范带</w:t>
                  </w:r>
                  <w:r>
                    <w:rPr>
                      <w:rFonts w:hint="eastAsia" w:ascii="宋体" w:hAnsi="宋体" w:eastAsia="宋体" w:cs="宋体"/>
                      <w:color w:val="auto"/>
                      <w:kern w:val="0"/>
                      <w:sz w:val="20"/>
                      <w:szCs w:val="20"/>
                      <w:highlight w:val="none"/>
                      <w:lang w:val="en-US" w:eastAsia="zh-CN" w:bidi="ar"/>
                    </w:rPr>
                    <w:t>水污染整治。</w:t>
                  </w:r>
                </w:p>
                <w:p w14:paraId="5E7F2F2F">
                  <w:pPr>
                    <w:keepNext w:val="0"/>
                    <w:keepLines w:val="0"/>
                    <w:widowControl/>
                    <w:numPr>
                      <w:ilvl w:val="0"/>
                      <w:numId w:val="6"/>
                    </w:numPr>
                    <w:suppressLineNumbers w:val="0"/>
                    <w:ind w:left="0" w:leftChars="0" w:firstLine="0" w:firstLineChars="0"/>
                    <w:jc w:val="left"/>
                    <w:rPr>
                      <w:color w:val="auto"/>
                      <w:highlight w:val="none"/>
                    </w:rPr>
                  </w:pPr>
                  <w:r>
                    <w:rPr>
                      <w:rFonts w:hint="eastAsia" w:ascii="宋体" w:hAnsi="宋体" w:eastAsia="宋体" w:cs="宋体"/>
                      <w:color w:val="auto"/>
                      <w:kern w:val="0"/>
                      <w:sz w:val="20"/>
                      <w:szCs w:val="20"/>
                      <w:highlight w:val="none"/>
                      <w:lang w:val="en-US" w:eastAsia="zh-CN" w:bidi="ar"/>
                    </w:rPr>
                    <w:t>污水处理厂尾水严格执行污染物排放标准，实施污染物排放总量控制。</w:t>
                  </w:r>
                </w:p>
                <w:p w14:paraId="11C7D3D7">
                  <w:pPr>
                    <w:keepNext w:val="0"/>
                    <w:keepLines w:val="0"/>
                    <w:widowControl/>
                    <w:numPr>
                      <w:ilvl w:val="0"/>
                      <w:numId w:val="6"/>
                    </w:numPr>
                    <w:suppressLineNumbers w:val="0"/>
                    <w:ind w:left="0" w:leftChars="0" w:firstLine="0" w:firstLineChars="0"/>
                    <w:jc w:val="left"/>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推进雨污分流制改造。</w:t>
                  </w:r>
                </w:p>
                <w:p w14:paraId="33F9B41C">
                  <w:pPr>
                    <w:keepNext w:val="0"/>
                    <w:keepLines w:val="0"/>
                    <w:widowControl/>
                    <w:numPr>
                      <w:ilvl w:val="0"/>
                      <w:numId w:val="0"/>
                    </w:numPr>
                    <w:suppressLineNumbers w:val="0"/>
                    <w:ind w:leftChars="0"/>
                    <w:jc w:val="left"/>
                    <w:rPr>
                      <w:color w:val="auto"/>
                      <w:highlight w:val="none"/>
                    </w:rPr>
                  </w:pPr>
                  <w:r>
                    <w:rPr>
                      <w:rFonts w:hint="eastAsia" w:ascii="宋体" w:hAnsi="宋体" w:eastAsia="宋体" w:cs="宋体"/>
                      <w:color w:val="auto"/>
                      <w:kern w:val="0"/>
                      <w:sz w:val="20"/>
                      <w:szCs w:val="20"/>
                      <w:highlight w:val="none"/>
                      <w:lang w:val="en-US" w:eastAsia="zh-CN" w:bidi="ar"/>
                    </w:rPr>
                    <w:t>（</w:t>
                  </w:r>
                  <w:r>
                    <w:rPr>
                      <w:rFonts w:hint="default" w:ascii="Times New Roman" w:hAnsi="Times New Roman" w:eastAsia="宋体" w:cs="Times New Roman"/>
                      <w:color w:val="auto"/>
                      <w:kern w:val="0"/>
                      <w:sz w:val="20"/>
                      <w:szCs w:val="20"/>
                      <w:highlight w:val="none"/>
                      <w:lang w:val="en-US" w:eastAsia="zh-CN" w:bidi="ar"/>
                    </w:rPr>
                    <w:t>4</w:t>
                  </w:r>
                  <w:r>
                    <w:rPr>
                      <w:rFonts w:hint="eastAsia" w:ascii="宋体" w:hAnsi="宋体" w:eastAsia="宋体" w:cs="宋体"/>
                      <w:color w:val="auto"/>
                      <w:kern w:val="0"/>
                      <w:sz w:val="20"/>
                      <w:szCs w:val="20"/>
                      <w:highlight w:val="none"/>
                      <w:lang w:val="en-US" w:eastAsia="zh-CN" w:bidi="ar"/>
                    </w:rPr>
                    <w:t>）加强工业集聚区污染治理和污染物排放控制，提高企业工业用水重复率。</w:t>
                  </w:r>
                </w:p>
              </w:tc>
              <w:tc>
                <w:tcPr>
                  <w:tcW w:w="830" w:type="pct"/>
                  <w:noWrap w:val="0"/>
                  <w:vAlign w:val="center"/>
                </w:tcPr>
                <w:p w14:paraId="3498CF5A">
                  <w:pPr>
                    <w:adjustRightInd w:val="0"/>
                    <w:snapToGrid w:val="0"/>
                    <w:jc w:val="center"/>
                    <w:rPr>
                      <w:color w:val="auto"/>
                      <w:highlight w:val="none"/>
                    </w:rPr>
                  </w:pPr>
                  <w:r>
                    <w:rPr>
                      <w:rFonts w:hint="eastAsia"/>
                      <w:color w:val="auto"/>
                      <w:sz w:val="21"/>
                      <w:szCs w:val="21"/>
                      <w:highlight w:val="none"/>
                      <w:u w:val="none"/>
                      <w:lang w:val="en-US" w:eastAsia="zh-CN"/>
                    </w:rPr>
                    <w:t>本项目不涉及。</w:t>
                  </w:r>
                </w:p>
              </w:tc>
              <w:tc>
                <w:tcPr>
                  <w:tcW w:w="243" w:type="pct"/>
                  <w:noWrap w:val="0"/>
                  <w:vAlign w:val="center"/>
                </w:tcPr>
                <w:p w14:paraId="06D89412">
                  <w:pPr>
                    <w:adjustRightInd w:val="0"/>
                    <w:snapToGrid w:val="0"/>
                    <w:jc w:val="center"/>
                    <w:rPr>
                      <w:color w:val="auto"/>
                      <w:highlight w:val="none"/>
                    </w:rPr>
                  </w:pPr>
                  <w:r>
                    <w:rPr>
                      <w:rFonts w:hint="eastAsia"/>
                      <w:color w:val="auto"/>
                      <w:sz w:val="21"/>
                      <w:szCs w:val="21"/>
                      <w:highlight w:val="none"/>
                      <w:u w:val="none"/>
                      <w:lang w:val="en-US" w:eastAsia="zh-CN"/>
                    </w:rPr>
                    <w:t>相符</w:t>
                  </w:r>
                </w:p>
              </w:tc>
            </w:tr>
            <w:tr w14:paraId="77DEF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continue"/>
                  <w:noWrap w:val="0"/>
                  <w:vAlign w:val="center"/>
                </w:tcPr>
                <w:p w14:paraId="53B88644">
                  <w:pPr>
                    <w:adjustRightInd w:val="0"/>
                    <w:snapToGrid w:val="0"/>
                    <w:jc w:val="center"/>
                    <w:rPr>
                      <w:color w:val="auto"/>
                      <w:highlight w:val="none"/>
                    </w:rPr>
                  </w:pPr>
                </w:p>
              </w:tc>
              <w:tc>
                <w:tcPr>
                  <w:tcW w:w="524" w:type="pct"/>
                  <w:vMerge w:val="continue"/>
                  <w:noWrap w:val="0"/>
                  <w:vAlign w:val="center"/>
                </w:tcPr>
                <w:p w14:paraId="5555076B">
                  <w:pPr>
                    <w:adjustRightInd w:val="0"/>
                    <w:snapToGrid w:val="0"/>
                    <w:jc w:val="center"/>
                    <w:rPr>
                      <w:color w:val="auto"/>
                      <w:highlight w:val="none"/>
                    </w:rPr>
                  </w:pPr>
                </w:p>
              </w:tc>
              <w:tc>
                <w:tcPr>
                  <w:tcW w:w="261" w:type="pct"/>
                  <w:vMerge w:val="continue"/>
                  <w:noWrap w:val="0"/>
                  <w:vAlign w:val="center"/>
                </w:tcPr>
                <w:p w14:paraId="0515631F">
                  <w:pPr>
                    <w:adjustRightInd w:val="0"/>
                    <w:snapToGrid w:val="0"/>
                    <w:jc w:val="center"/>
                    <w:rPr>
                      <w:color w:val="auto"/>
                      <w:highlight w:val="none"/>
                    </w:rPr>
                  </w:pPr>
                </w:p>
              </w:tc>
              <w:tc>
                <w:tcPr>
                  <w:tcW w:w="309" w:type="pct"/>
                  <w:vMerge w:val="restart"/>
                  <w:noWrap w:val="0"/>
                  <w:vAlign w:val="center"/>
                </w:tcPr>
                <w:p w14:paraId="1FEF0739">
                  <w:pPr>
                    <w:keepNext w:val="0"/>
                    <w:keepLines w:val="0"/>
                    <w:widowControl/>
                    <w:suppressLineNumbers w:val="0"/>
                    <w:jc w:val="left"/>
                    <w:rPr>
                      <w:color w:val="auto"/>
                      <w:highlight w:val="none"/>
                    </w:rPr>
                  </w:pPr>
                  <w:r>
                    <w:rPr>
                      <w:rFonts w:hint="eastAsia" w:ascii="宋体" w:hAnsi="宋体" w:eastAsia="宋体" w:cs="宋体"/>
                      <w:color w:val="auto"/>
                      <w:kern w:val="0"/>
                      <w:sz w:val="20"/>
                      <w:szCs w:val="20"/>
                      <w:highlight w:val="none"/>
                      <w:lang w:val="en-US" w:eastAsia="zh-CN" w:bidi="ar"/>
                    </w:rPr>
                    <w:t>环境风险防控</w:t>
                  </w:r>
                </w:p>
              </w:tc>
              <w:tc>
                <w:tcPr>
                  <w:tcW w:w="2266" w:type="pct"/>
                  <w:noWrap w:val="0"/>
                  <w:vAlign w:val="center"/>
                </w:tcPr>
                <w:p w14:paraId="0185E2E1">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0"/>
                      <w:szCs w:val="20"/>
                      <w:highlight w:val="none"/>
                      <w:lang w:val="en-US" w:eastAsia="zh-CN" w:bidi="ar"/>
                    </w:rPr>
                    <w:t>1</w:t>
                  </w:r>
                  <w:r>
                    <w:rPr>
                      <w:rFonts w:hint="eastAsia" w:ascii="宋体" w:hAnsi="宋体" w:eastAsia="宋体" w:cs="宋体"/>
                      <w:color w:val="auto"/>
                      <w:kern w:val="0"/>
                      <w:sz w:val="20"/>
                      <w:szCs w:val="20"/>
                      <w:highlight w:val="none"/>
                      <w:lang w:val="en-US" w:eastAsia="zh-CN" w:bidi="ar"/>
                    </w:rPr>
                    <w:t>．严控港区油品和化学品运输、存储的环境风险，加大船舶航行安全保障和港区风险防范力度。船舶装载运输油类或者有毒货物，应当采取防止溢流和渗漏的措施，防止货物落水造成水污染。</w:t>
                  </w:r>
                </w:p>
              </w:tc>
              <w:tc>
                <w:tcPr>
                  <w:tcW w:w="830" w:type="pct"/>
                  <w:noWrap w:val="0"/>
                  <w:vAlign w:val="center"/>
                </w:tcPr>
                <w:p w14:paraId="11C2D9BA">
                  <w:pPr>
                    <w:adjustRightInd w:val="0"/>
                    <w:snapToGrid w:val="0"/>
                    <w:jc w:val="center"/>
                    <w:rPr>
                      <w:color w:val="auto"/>
                      <w:highlight w:val="none"/>
                    </w:rPr>
                  </w:pPr>
                  <w:r>
                    <w:rPr>
                      <w:rFonts w:hint="eastAsia"/>
                      <w:color w:val="auto"/>
                      <w:sz w:val="21"/>
                      <w:szCs w:val="21"/>
                      <w:highlight w:val="none"/>
                      <w:u w:val="none"/>
                      <w:lang w:val="en-US" w:eastAsia="zh-CN"/>
                    </w:rPr>
                    <w:t>本项目不涉及。</w:t>
                  </w:r>
                </w:p>
              </w:tc>
              <w:tc>
                <w:tcPr>
                  <w:tcW w:w="243" w:type="pct"/>
                  <w:noWrap w:val="0"/>
                  <w:vAlign w:val="center"/>
                </w:tcPr>
                <w:p w14:paraId="6C07C0EE">
                  <w:pPr>
                    <w:adjustRightInd w:val="0"/>
                    <w:snapToGrid w:val="0"/>
                    <w:jc w:val="center"/>
                    <w:rPr>
                      <w:color w:val="auto"/>
                      <w:highlight w:val="none"/>
                    </w:rPr>
                  </w:pPr>
                  <w:r>
                    <w:rPr>
                      <w:rFonts w:hint="eastAsia"/>
                      <w:color w:val="auto"/>
                      <w:sz w:val="21"/>
                      <w:szCs w:val="21"/>
                      <w:highlight w:val="none"/>
                      <w:u w:val="none"/>
                      <w:lang w:val="en-US" w:eastAsia="zh-CN"/>
                    </w:rPr>
                    <w:t>相符</w:t>
                  </w:r>
                </w:p>
              </w:tc>
            </w:tr>
            <w:tr w14:paraId="2D8DE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continue"/>
                  <w:noWrap w:val="0"/>
                  <w:vAlign w:val="center"/>
                </w:tcPr>
                <w:p w14:paraId="4BE47794">
                  <w:pPr>
                    <w:adjustRightInd w:val="0"/>
                    <w:snapToGrid w:val="0"/>
                    <w:jc w:val="center"/>
                    <w:rPr>
                      <w:color w:val="auto"/>
                      <w:highlight w:val="none"/>
                    </w:rPr>
                  </w:pPr>
                </w:p>
              </w:tc>
              <w:tc>
                <w:tcPr>
                  <w:tcW w:w="524" w:type="pct"/>
                  <w:vMerge w:val="continue"/>
                  <w:noWrap w:val="0"/>
                  <w:vAlign w:val="center"/>
                </w:tcPr>
                <w:p w14:paraId="5AD6B5B8">
                  <w:pPr>
                    <w:adjustRightInd w:val="0"/>
                    <w:snapToGrid w:val="0"/>
                    <w:jc w:val="center"/>
                    <w:rPr>
                      <w:color w:val="auto"/>
                      <w:highlight w:val="none"/>
                    </w:rPr>
                  </w:pPr>
                </w:p>
              </w:tc>
              <w:tc>
                <w:tcPr>
                  <w:tcW w:w="261" w:type="pct"/>
                  <w:vMerge w:val="continue"/>
                  <w:noWrap w:val="0"/>
                  <w:vAlign w:val="center"/>
                </w:tcPr>
                <w:p w14:paraId="1A998544">
                  <w:pPr>
                    <w:adjustRightInd w:val="0"/>
                    <w:snapToGrid w:val="0"/>
                    <w:jc w:val="center"/>
                    <w:rPr>
                      <w:color w:val="auto"/>
                      <w:highlight w:val="none"/>
                    </w:rPr>
                  </w:pPr>
                </w:p>
              </w:tc>
              <w:tc>
                <w:tcPr>
                  <w:tcW w:w="309" w:type="pct"/>
                  <w:vMerge w:val="continue"/>
                  <w:noWrap w:val="0"/>
                  <w:vAlign w:val="center"/>
                </w:tcPr>
                <w:p w14:paraId="565ED0DA">
                  <w:pPr>
                    <w:keepNext w:val="0"/>
                    <w:keepLines w:val="0"/>
                    <w:widowControl/>
                    <w:suppressLineNumbers w:val="0"/>
                    <w:jc w:val="left"/>
                    <w:rPr>
                      <w:color w:val="auto"/>
                      <w:highlight w:val="none"/>
                    </w:rPr>
                  </w:pPr>
                </w:p>
              </w:tc>
              <w:tc>
                <w:tcPr>
                  <w:tcW w:w="2266" w:type="pct"/>
                  <w:noWrap w:val="0"/>
                  <w:vAlign w:val="center"/>
                </w:tcPr>
                <w:p w14:paraId="5459221E">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0"/>
                      <w:szCs w:val="20"/>
                      <w:highlight w:val="none"/>
                      <w:lang w:val="en-US" w:eastAsia="zh-CN" w:bidi="ar"/>
                    </w:rPr>
                    <w:t>2</w:t>
                  </w:r>
                  <w:r>
                    <w:rPr>
                      <w:rFonts w:hint="eastAsia" w:ascii="宋体" w:hAnsi="宋体" w:eastAsia="宋体" w:cs="宋体"/>
                      <w:color w:val="auto"/>
                      <w:kern w:val="0"/>
                      <w:sz w:val="20"/>
                      <w:szCs w:val="20"/>
                      <w:highlight w:val="none"/>
                      <w:lang w:val="en-US" w:eastAsia="zh-CN" w:bidi="ar"/>
                    </w:rPr>
                    <w:t>．开展环境风险评估，编制重大突发环境事件应急预案并备案，完善陆域环境风险源和海上溢油及危险化学品泄漏对近岸海域影响的应急方案，落实港区环境风险应急能力建设，并定期开展应急演练。完善区域应急联动机制。探索建立健全沿海环境污染责任保险制度。</w:t>
                  </w:r>
                </w:p>
              </w:tc>
              <w:tc>
                <w:tcPr>
                  <w:tcW w:w="830" w:type="pct"/>
                  <w:noWrap w:val="0"/>
                  <w:vAlign w:val="center"/>
                </w:tcPr>
                <w:p w14:paraId="2CCEA582">
                  <w:pPr>
                    <w:adjustRightInd w:val="0"/>
                    <w:snapToGrid w:val="0"/>
                    <w:jc w:val="center"/>
                    <w:rPr>
                      <w:color w:val="auto"/>
                      <w:highlight w:val="none"/>
                    </w:rPr>
                  </w:pPr>
                  <w:r>
                    <w:rPr>
                      <w:rFonts w:hint="eastAsia"/>
                      <w:color w:val="auto"/>
                      <w:sz w:val="21"/>
                      <w:szCs w:val="21"/>
                      <w:highlight w:val="none"/>
                      <w:u w:val="none"/>
                      <w:lang w:val="en-US" w:eastAsia="zh-CN"/>
                    </w:rPr>
                    <w:t>本项目不涉及。</w:t>
                  </w:r>
                </w:p>
              </w:tc>
              <w:tc>
                <w:tcPr>
                  <w:tcW w:w="243" w:type="pct"/>
                  <w:noWrap w:val="0"/>
                  <w:vAlign w:val="center"/>
                </w:tcPr>
                <w:p w14:paraId="58071689">
                  <w:pPr>
                    <w:adjustRightInd w:val="0"/>
                    <w:snapToGrid w:val="0"/>
                    <w:jc w:val="center"/>
                    <w:rPr>
                      <w:color w:val="auto"/>
                      <w:highlight w:val="none"/>
                    </w:rPr>
                  </w:pPr>
                  <w:r>
                    <w:rPr>
                      <w:rFonts w:hint="eastAsia"/>
                      <w:color w:val="auto"/>
                      <w:sz w:val="21"/>
                      <w:szCs w:val="21"/>
                      <w:highlight w:val="none"/>
                      <w:u w:val="none"/>
                      <w:lang w:val="en-US" w:eastAsia="zh-CN"/>
                    </w:rPr>
                    <w:t>相符</w:t>
                  </w:r>
                </w:p>
              </w:tc>
            </w:tr>
            <w:tr w14:paraId="7A38F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continue"/>
                  <w:noWrap w:val="0"/>
                  <w:vAlign w:val="center"/>
                </w:tcPr>
                <w:p w14:paraId="6FCD3A5D">
                  <w:pPr>
                    <w:adjustRightInd w:val="0"/>
                    <w:snapToGrid w:val="0"/>
                    <w:jc w:val="center"/>
                    <w:rPr>
                      <w:color w:val="auto"/>
                      <w:highlight w:val="none"/>
                    </w:rPr>
                  </w:pPr>
                </w:p>
              </w:tc>
              <w:tc>
                <w:tcPr>
                  <w:tcW w:w="524" w:type="pct"/>
                  <w:vMerge w:val="continue"/>
                  <w:noWrap w:val="0"/>
                  <w:vAlign w:val="center"/>
                </w:tcPr>
                <w:p w14:paraId="33A3FF4C">
                  <w:pPr>
                    <w:adjustRightInd w:val="0"/>
                    <w:snapToGrid w:val="0"/>
                    <w:jc w:val="center"/>
                    <w:rPr>
                      <w:color w:val="auto"/>
                      <w:highlight w:val="none"/>
                    </w:rPr>
                  </w:pPr>
                </w:p>
              </w:tc>
              <w:tc>
                <w:tcPr>
                  <w:tcW w:w="261" w:type="pct"/>
                  <w:vMerge w:val="continue"/>
                  <w:noWrap w:val="0"/>
                  <w:vAlign w:val="center"/>
                </w:tcPr>
                <w:p w14:paraId="55C75CC3">
                  <w:pPr>
                    <w:adjustRightInd w:val="0"/>
                    <w:snapToGrid w:val="0"/>
                    <w:jc w:val="center"/>
                    <w:rPr>
                      <w:color w:val="auto"/>
                      <w:highlight w:val="none"/>
                    </w:rPr>
                  </w:pPr>
                </w:p>
              </w:tc>
              <w:tc>
                <w:tcPr>
                  <w:tcW w:w="309" w:type="pct"/>
                  <w:vMerge w:val="continue"/>
                  <w:noWrap w:val="0"/>
                  <w:vAlign w:val="center"/>
                </w:tcPr>
                <w:p w14:paraId="12182C9B">
                  <w:pPr>
                    <w:adjustRightInd w:val="0"/>
                    <w:snapToGrid w:val="0"/>
                    <w:jc w:val="center"/>
                    <w:rPr>
                      <w:color w:val="auto"/>
                      <w:highlight w:val="none"/>
                    </w:rPr>
                  </w:pPr>
                </w:p>
              </w:tc>
              <w:tc>
                <w:tcPr>
                  <w:tcW w:w="2266" w:type="pct"/>
                  <w:noWrap w:val="0"/>
                  <w:vAlign w:val="center"/>
                </w:tcPr>
                <w:p w14:paraId="0512E022">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0"/>
                      <w:szCs w:val="20"/>
                      <w:highlight w:val="none"/>
                      <w:lang w:val="en-US" w:eastAsia="zh-CN" w:bidi="ar"/>
                    </w:rPr>
                    <w:t>3</w:t>
                  </w:r>
                  <w:r>
                    <w:rPr>
                      <w:rFonts w:hint="eastAsia" w:ascii="宋体" w:hAnsi="宋体" w:eastAsia="宋体" w:cs="宋体"/>
                      <w:color w:val="auto"/>
                      <w:kern w:val="0"/>
                      <w:sz w:val="20"/>
                      <w:szCs w:val="20"/>
                      <w:highlight w:val="none"/>
                      <w:lang w:val="en-US" w:eastAsia="zh-CN" w:bidi="ar"/>
                    </w:rPr>
                    <w:t>．进一步完善港区环境风险应急体系建设，加快建立溢油应急设备库，增配应急设施配备，加强现有油品码头风险应急能力建设，在涠洲岛配备完善的应急设备和应急预案，根据相关规定，配备一定数量的风险应急设施。</w:t>
                  </w:r>
                </w:p>
              </w:tc>
              <w:tc>
                <w:tcPr>
                  <w:tcW w:w="830" w:type="pct"/>
                  <w:noWrap w:val="0"/>
                  <w:vAlign w:val="center"/>
                </w:tcPr>
                <w:p w14:paraId="2EAAE7A9">
                  <w:pPr>
                    <w:adjustRightInd w:val="0"/>
                    <w:snapToGrid w:val="0"/>
                    <w:jc w:val="both"/>
                    <w:rPr>
                      <w:rFonts w:hint="default" w:eastAsia="宋体"/>
                      <w:color w:val="auto"/>
                      <w:highlight w:val="none"/>
                      <w:lang w:val="en-US" w:eastAsia="zh-CN"/>
                    </w:rPr>
                  </w:pPr>
                  <w:r>
                    <w:rPr>
                      <w:rFonts w:hint="eastAsia"/>
                      <w:color w:val="auto"/>
                      <w:sz w:val="21"/>
                      <w:szCs w:val="21"/>
                      <w:highlight w:val="none"/>
                      <w:u w:val="none"/>
                      <w:lang w:val="en-US" w:eastAsia="zh-CN"/>
                    </w:rPr>
                    <w:t>本项目为港池维护性疏浚工程，项目施工配备应急物资，并进行应急演练，项目环境风险可控。</w:t>
                  </w:r>
                </w:p>
              </w:tc>
              <w:tc>
                <w:tcPr>
                  <w:tcW w:w="243" w:type="pct"/>
                  <w:noWrap w:val="0"/>
                  <w:vAlign w:val="center"/>
                </w:tcPr>
                <w:p w14:paraId="19A8E13C">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相符</w:t>
                  </w:r>
                </w:p>
              </w:tc>
            </w:tr>
            <w:tr w14:paraId="4E3ED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4" w:type="pct"/>
                  <w:vMerge w:val="continue"/>
                  <w:noWrap w:val="0"/>
                  <w:vAlign w:val="center"/>
                </w:tcPr>
                <w:p w14:paraId="64DC0886">
                  <w:pPr>
                    <w:adjustRightInd w:val="0"/>
                    <w:snapToGrid w:val="0"/>
                    <w:jc w:val="center"/>
                    <w:rPr>
                      <w:color w:val="auto"/>
                      <w:highlight w:val="none"/>
                    </w:rPr>
                  </w:pPr>
                </w:p>
              </w:tc>
              <w:tc>
                <w:tcPr>
                  <w:tcW w:w="524" w:type="pct"/>
                  <w:vMerge w:val="continue"/>
                  <w:noWrap w:val="0"/>
                  <w:vAlign w:val="center"/>
                </w:tcPr>
                <w:p w14:paraId="68998563">
                  <w:pPr>
                    <w:adjustRightInd w:val="0"/>
                    <w:snapToGrid w:val="0"/>
                    <w:jc w:val="center"/>
                    <w:rPr>
                      <w:color w:val="auto"/>
                      <w:highlight w:val="none"/>
                    </w:rPr>
                  </w:pPr>
                </w:p>
              </w:tc>
              <w:tc>
                <w:tcPr>
                  <w:tcW w:w="261" w:type="pct"/>
                  <w:vMerge w:val="continue"/>
                  <w:noWrap w:val="0"/>
                  <w:vAlign w:val="center"/>
                </w:tcPr>
                <w:p w14:paraId="42C7E4D0">
                  <w:pPr>
                    <w:adjustRightInd w:val="0"/>
                    <w:snapToGrid w:val="0"/>
                    <w:jc w:val="center"/>
                    <w:rPr>
                      <w:color w:val="auto"/>
                      <w:highlight w:val="none"/>
                    </w:rPr>
                  </w:pPr>
                </w:p>
              </w:tc>
              <w:tc>
                <w:tcPr>
                  <w:tcW w:w="309" w:type="pct"/>
                  <w:noWrap w:val="0"/>
                  <w:vAlign w:val="center"/>
                </w:tcPr>
                <w:p w14:paraId="1989876C">
                  <w:pPr>
                    <w:keepNext w:val="0"/>
                    <w:keepLines w:val="0"/>
                    <w:widowControl/>
                    <w:suppressLineNumbers w:val="0"/>
                    <w:jc w:val="left"/>
                    <w:rPr>
                      <w:color w:val="auto"/>
                      <w:highlight w:val="none"/>
                    </w:rPr>
                  </w:pPr>
                  <w:r>
                    <w:rPr>
                      <w:rFonts w:hint="eastAsia" w:ascii="宋体" w:hAnsi="宋体" w:eastAsia="宋体" w:cs="宋体"/>
                      <w:color w:val="auto"/>
                      <w:kern w:val="0"/>
                      <w:sz w:val="20"/>
                      <w:szCs w:val="20"/>
                      <w:highlight w:val="none"/>
                      <w:lang w:val="en-US" w:eastAsia="zh-CN" w:bidi="ar"/>
                    </w:rPr>
                    <w:t>资源开发利用效率要求</w:t>
                  </w:r>
                </w:p>
              </w:tc>
              <w:tc>
                <w:tcPr>
                  <w:tcW w:w="2266" w:type="pct"/>
                  <w:noWrap w:val="0"/>
                  <w:vAlign w:val="center"/>
                </w:tcPr>
                <w:p w14:paraId="2042AC92">
                  <w:pPr>
                    <w:keepNext w:val="0"/>
                    <w:keepLines w:val="0"/>
                    <w:widowControl/>
                    <w:suppressLineNumbers w:val="0"/>
                    <w:jc w:val="left"/>
                    <w:rPr>
                      <w:color w:val="auto"/>
                      <w:highlight w:val="none"/>
                    </w:rPr>
                  </w:pPr>
                  <w:r>
                    <w:rPr>
                      <w:rFonts w:hint="eastAsia" w:ascii="宋体" w:hAnsi="宋体" w:eastAsia="宋体" w:cs="宋体"/>
                      <w:color w:val="auto"/>
                      <w:kern w:val="0"/>
                      <w:sz w:val="20"/>
                      <w:szCs w:val="20"/>
                      <w:highlight w:val="none"/>
                      <w:lang w:val="en-US" w:eastAsia="zh-CN" w:bidi="ar"/>
                    </w:rPr>
                    <w:t>港区污染物排放以及用水、能耗、物耗、岸线与土地利用等资源环境指标达到行业先进水平。</w:t>
                  </w:r>
                </w:p>
              </w:tc>
              <w:tc>
                <w:tcPr>
                  <w:tcW w:w="830" w:type="pct"/>
                  <w:noWrap w:val="0"/>
                  <w:vAlign w:val="center"/>
                </w:tcPr>
                <w:p w14:paraId="19C5ED4D">
                  <w:pPr>
                    <w:adjustRightInd w:val="0"/>
                    <w:snapToGrid w:val="0"/>
                    <w:jc w:val="center"/>
                    <w:rPr>
                      <w:color w:val="auto"/>
                      <w:highlight w:val="none"/>
                    </w:rPr>
                  </w:pPr>
                  <w:r>
                    <w:rPr>
                      <w:rFonts w:hint="eastAsia"/>
                      <w:color w:val="auto"/>
                      <w:sz w:val="21"/>
                      <w:szCs w:val="21"/>
                      <w:highlight w:val="none"/>
                      <w:u w:val="none"/>
                      <w:lang w:val="en-US" w:eastAsia="zh-CN"/>
                    </w:rPr>
                    <w:t>本项目不涉及。</w:t>
                  </w:r>
                </w:p>
              </w:tc>
              <w:tc>
                <w:tcPr>
                  <w:tcW w:w="243" w:type="pct"/>
                  <w:noWrap w:val="0"/>
                  <w:vAlign w:val="center"/>
                </w:tcPr>
                <w:p w14:paraId="3F8B3F42">
                  <w:pPr>
                    <w:adjustRightInd w:val="0"/>
                    <w:snapToGrid w:val="0"/>
                    <w:jc w:val="center"/>
                    <w:rPr>
                      <w:color w:val="auto"/>
                      <w:highlight w:val="none"/>
                    </w:rPr>
                  </w:pPr>
                  <w:r>
                    <w:rPr>
                      <w:rFonts w:hint="eastAsia"/>
                      <w:color w:val="auto"/>
                      <w:sz w:val="21"/>
                      <w:szCs w:val="21"/>
                      <w:highlight w:val="none"/>
                      <w:u w:val="none"/>
                      <w:lang w:val="en-US" w:eastAsia="zh-CN"/>
                    </w:rPr>
                    <w:t>相符</w:t>
                  </w:r>
                </w:p>
              </w:tc>
            </w:tr>
          </w:tbl>
          <w:p w14:paraId="234A9346">
            <w:pPr>
              <w:autoSpaceDE w:val="0"/>
              <w:autoSpaceDN w:val="0"/>
              <w:adjustRightInd w:val="0"/>
              <w:snapToGrid w:val="0"/>
              <w:jc w:val="center"/>
              <w:rPr>
                <w:b/>
                <w:bCs/>
                <w:color w:val="auto"/>
                <w:kern w:val="0"/>
                <w:szCs w:val="21"/>
                <w:highlight w:val="none"/>
              </w:rPr>
            </w:pPr>
          </w:p>
        </w:tc>
      </w:tr>
    </w:tbl>
    <w:p w14:paraId="27425BF6">
      <w:pPr>
        <w:rPr>
          <w:color w:val="auto"/>
          <w:highlight w:val="none"/>
        </w:rPr>
        <w:sectPr>
          <w:headerReference r:id="rId7" w:type="default"/>
          <w:pgSz w:w="16838" w:h="11906" w:orient="landscape"/>
          <w:pgMar w:top="1531" w:right="1701" w:bottom="1531" w:left="1701" w:header="851" w:footer="1077" w:gutter="0"/>
          <w:cols w:space="720" w:num="1"/>
          <w:docGrid w:linePitch="312" w:charSpace="0"/>
        </w:sect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6B4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14:paraId="6459551B">
            <w:pPr>
              <w:numPr>
                <w:ilvl w:val="0"/>
                <w:numId w:val="0"/>
              </w:numPr>
              <w:tabs>
                <w:tab w:val="left" w:pos="0"/>
              </w:tabs>
              <w:autoSpaceDE w:val="0"/>
              <w:autoSpaceDN w:val="0"/>
              <w:adjustRightInd w:val="0"/>
              <w:snapToGrid w:val="0"/>
              <w:spacing w:line="360" w:lineRule="auto"/>
              <w:ind w:leftChars="0"/>
              <w:rPr>
                <w:rFonts w:hint="eastAsia" w:ascii="宋体" w:hAnsi="宋体" w:eastAsia="宋体" w:cs="宋体"/>
                <w:b/>
                <w:color w:val="auto"/>
                <w:kern w:val="0"/>
                <w:sz w:val="28"/>
                <w:szCs w:val="28"/>
                <w:highlight w:val="none"/>
                <w:lang w:val="en-US" w:eastAsia="zh-CN"/>
              </w:rPr>
            </w:pPr>
            <w:bookmarkStart w:id="25" w:name="_Toc3568"/>
            <w:bookmarkStart w:id="26" w:name="_Toc32630"/>
            <w:bookmarkStart w:id="27" w:name="_Toc4414"/>
            <w:r>
              <w:rPr>
                <w:rFonts w:hint="eastAsia" w:ascii="宋体" w:hAnsi="宋体" w:eastAsia="宋体" w:cs="宋体"/>
                <w:b/>
                <w:color w:val="auto"/>
                <w:kern w:val="0"/>
                <w:sz w:val="28"/>
                <w:szCs w:val="28"/>
                <w:highlight w:val="none"/>
                <w:lang w:val="en-US" w:eastAsia="zh-CN"/>
              </w:rPr>
              <w:t>1.2.3与相关功能区的符合性</w:t>
            </w:r>
          </w:p>
          <w:p w14:paraId="3D830744">
            <w:pPr>
              <w:spacing w:line="360" w:lineRule="auto"/>
              <w:ind w:firstLine="480" w:firstLineChars="200"/>
              <w:rPr>
                <w:rFonts w:ascii="宋体" w:hAnsi="宋体" w:eastAsia="宋体" w:cs="宋体"/>
                <w:color w:val="auto"/>
                <w:sz w:val="24"/>
                <w:szCs w:val="24"/>
                <w:highlight w:val="none"/>
              </w:rPr>
            </w:pPr>
            <w:r>
              <w:rPr>
                <w:rFonts w:hint="eastAsia" w:ascii="Times New Roman" w:hAnsi="Times New Roman" w:eastAsia="宋体" w:cs="Times New Roman"/>
                <w:color w:val="auto"/>
                <w:sz w:val="24"/>
                <w:highlight w:val="none"/>
                <w:lang w:val="en-US" w:eastAsia="zh-CN"/>
              </w:rPr>
              <w:t>根据《广西壮族自治区海洋功能区划（2011-2020年）》</w:t>
            </w:r>
            <w:r>
              <w:rPr>
                <w:rFonts w:hint="eastAsia" w:ascii="Times New Roman" w:hAnsi="Times New Roman" w:eastAsia="宋体" w:cs="Times New Roman"/>
                <w:color w:val="auto"/>
                <w:sz w:val="24"/>
                <w:highlight w:val="none"/>
              </w:rPr>
              <w:t>（国函〔2012〕</w:t>
            </w:r>
            <w:r>
              <w:rPr>
                <w:rFonts w:hint="default" w:ascii="Times New Roman" w:hAnsi="Times New Roman" w:eastAsia="宋体" w:cs="Times New Roman"/>
                <w:color w:val="auto"/>
                <w:sz w:val="24"/>
                <w:highlight w:val="none"/>
              </w:rPr>
              <w:t>166</w:t>
            </w:r>
            <w:r>
              <w:rPr>
                <w:rFonts w:hint="eastAsia" w:ascii="Times New Roman" w:hAnsi="Times New Roman" w:eastAsia="宋体" w:cs="Times New Roman"/>
                <w:color w:val="auto"/>
                <w:sz w:val="24"/>
                <w:highlight w:val="none"/>
              </w:rPr>
              <w:t>号）</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项目所在位置为“A2-9鹰岭-果子山-金鼓江港口航运区”，港口航运</w:t>
            </w:r>
            <w:r>
              <w:rPr>
                <w:rFonts w:ascii="宋体" w:hAnsi="宋体" w:eastAsia="宋体" w:cs="宋体"/>
                <w:color w:val="auto"/>
                <w:sz w:val="24"/>
                <w:szCs w:val="24"/>
                <w:highlight w:val="none"/>
              </w:rPr>
              <w:t>区内的海域主要用于港口建设、运行和船舶航行及其它直接为海上交通运输服务的活动。</w:t>
            </w:r>
          </w:p>
          <w:p w14:paraId="02013DB1">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val="en-US" w:eastAsia="zh-CN"/>
              </w:rPr>
              <w:t>《广西壮族自治区近岸海域环境功能区划调整方案》（桂环发〔2023〕9号）</w:t>
            </w:r>
            <w:r>
              <w:rPr>
                <w:rFonts w:hint="eastAsia" w:ascii="Times New Roman" w:hAnsi="Times New Roman" w:eastAsia="宋体" w:cs="Times New Roman"/>
                <w:color w:val="auto"/>
                <w:sz w:val="24"/>
                <w:highlight w:val="none"/>
                <w:lang w:val="en-US" w:eastAsia="zh-CN"/>
              </w:rPr>
              <w:t>，本项目位于</w:t>
            </w:r>
            <w:r>
              <w:rPr>
                <w:rFonts w:ascii="宋体" w:hAnsi="宋体" w:eastAsia="宋体" w:cs="宋体"/>
                <w:color w:val="auto"/>
                <w:sz w:val="24"/>
                <w:szCs w:val="24"/>
                <w:highlight w:val="none"/>
              </w:rPr>
              <w:t>钦州港大榄坪港口、工业区</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GX055DIV</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主导功能为港口、工业用海，</w:t>
            </w:r>
            <w:r>
              <w:rPr>
                <w:rFonts w:hint="eastAsia" w:ascii="宋体" w:hAnsi="宋体" w:eastAsia="宋体" w:cs="宋体"/>
                <w:color w:val="auto"/>
                <w:sz w:val="24"/>
                <w:szCs w:val="24"/>
                <w:highlight w:val="none"/>
                <w:lang w:val="en-US" w:eastAsia="zh-CN"/>
              </w:rPr>
              <w:t>属于四类环境功能区。</w:t>
            </w:r>
          </w:p>
          <w:p w14:paraId="4F617EAF">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本项目为码头泊位回旋水域疏浚工程，用海类型为交通运输用海，用海性质与“A2-9鹰岭-果子山-金鼓江港口航运区”的功能类型及用海方式控制相符，与“</w:t>
            </w:r>
            <w:r>
              <w:rPr>
                <w:rFonts w:ascii="宋体" w:hAnsi="宋体" w:eastAsia="宋体" w:cs="宋体"/>
                <w:color w:val="auto"/>
                <w:sz w:val="24"/>
                <w:szCs w:val="24"/>
                <w:highlight w:val="none"/>
              </w:rPr>
              <w:t>钦州港大榄坪港口、工业区</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GX055D IV</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”环境功能区划相符，本次疏浚工作完成后，后续维护性疏浚产生的环境不属于本次环境影响评价的责任范围，营运期不产生污染物。</w:t>
            </w:r>
          </w:p>
          <w:p w14:paraId="74DB3802">
            <w:pPr>
              <w:numPr>
                <w:ilvl w:val="0"/>
                <w:numId w:val="0"/>
              </w:numPr>
              <w:tabs>
                <w:tab w:val="left" w:pos="0"/>
              </w:tabs>
              <w:autoSpaceDE w:val="0"/>
              <w:autoSpaceDN w:val="0"/>
              <w:adjustRightInd w:val="0"/>
              <w:snapToGrid w:val="0"/>
              <w:spacing w:line="360" w:lineRule="auto"/>
              <w:ind w:leftChars="0"/>
              <w:rPr>
                <w:rFonts w:hint="eastAsia" w:ascii="宋体" w:hAnsi="宋体" w:eastAsia="宋体" w:cs="宋体"/>
                <w:b/>
                <w:color w:val="auto"/>
                <w:kern w:val="0"/>
                <w:sz w:val="28"/>
                <w:szCs w:val="28"/>
                <w:highlight w:val="none"/>
                <w:lang w:val="en-US" w:eastAsia="zh-CN"/>
              </w:rPr>
            </w:pPr>
            <w:r>
              <w:rPr>
                <w:rFonts w:hint="eastAsia" w:ascii="宋体" w:hAnsi="宋体" w:eastAsia="宋体" w:cs="宋体"/>
                <w:b/>
                <w:color w:val="auto"/>
                <w:kern w:val="0"/>
                <w:sz w:val="28"/>
                <w:szCs w:val="28"/>
                <w:highlight w:val="none"/>
                <w:lang w:val="en-US" w:eastAsia="zh-CN"/>
              </w:rPr>
              <w:t>1.2.4与《钦州市国土空间规划（2021-2035年）》相符性分析</w:t>
            </w:r>
          </w:p>
          <w:p w14:paraId="0D2FB274">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钦州市国土空间总体规划（2021-2035年）》已于2024年1月24日取得广西壮族自治区人民政府的批复（桂政函〔2024〕17号），本项目位于金鼓江交通运输用海区。其发展指引与管控要求为：海岸交通运输用海区主要用于近岸港口陆域、码头、港池等航运设施建设，重点保障平陆运河、金鼓江、大榄坪等发展需要；近海交通运输用海区主要用于港外航道、锚地等航运用海。在已经开发利用的港区、锚地、航道以及规定的航路及其保护范围内，禁止开展与航运无关、有碍航行安全的活动；原则上禁止其他海岸工程或海洋工程占用深水岸线资源；在未开发利用的港区内，对无碍交通运输功能发挥的海洋开发活动尤其是渔业开发活动可暂时予以保留；在不影响交通运输用海及安全的前提下，可兼容临海工业用海。</w:t>
            </w:r>
          </w:p>
          <w:p w14:paraId="607BA1D8">
            <w:pPr>
              <w:spacing w:line="360" w:lineRule="auto"/>
              <w:ind w:firstLine="480" w:firstLineChars="200"/>
              <w:rPr>
                <w:rFonts w:hint="eastAsia" w:ascii="宋体" w:hAnsi="宋体" w:cs="宋体"/>
                <w:b/>
                <w:color w:val="auto"/>
                <w:kern w:val="0"/>
                <w:sz w:val="28"/>
                <w:szCs w:val="28"/>
                <w:highlight w:val="none"/>
              </w:rPr>
            </w:pPr>
            <w:r>
              <w:rPr>
                <w:rFonts w:hint="eastAsia" w:ascii="Times New Roman" w:hAnsi="Times New Roman" w:eastAsia="宋体" w:cs="Times New Roman"/>
                <w:color w:val="auto"/>
                <w:sz w:val="24"/>
                <w:highlight w:val="none"/>
                <w:lang w:val="en-US" w:eastAsia="zh-CN"/>
              </w:rPr>
              <w:t>本项目为停泊水域及回旋水域疏浚工程，疏浚范围不涉及港外航道、锚地，项目施工不涉及深水岸线资源，项目施工时间较短，完工后改善区域水深条件提高进港船舶航行安全，有利于优化港口功能，提升港口供给能力，项目建设符合《钦州市国土空间规划（2021-2035年）》。</w:t>
            </w:r>
          </w:p>
        </w:tc>
      </w:tr>
    </w:tbl>
    <w:p w14:paraId="0E42B3A6">
      <w:pPr>
        <w:spacing w:line="360" w:lineRule="auto"/>
        <w:ind w:firstLine="420" w:firstLineChars="200"/>
        <w:rPr>
          <w:rFonts w:hint="eastAsia"/>
          <w:color w:val="auto"/>
          <w:highlight w:val="none"/>
        </w:rPr>
      </w:pPr>
      <w:bookmarkStart w:id="28" w:name="_Toc19013"/>
    </w:p>
    <w:p w14:paraId="0E8F1740">
      <w:pPr>
        <w:pStyle w:val="2"/>
        <w:snapToGrid/>
        <w:spacing w:before="0" w:after="0" w:line="360" w:lineRule="auto"/>
        <w:ind w:left="0" w:firstLine="0"/>
        <w:jc w:val="center"/>
        <w:rPr>
          <w:rFonts w:hint="eastAsia" w:ascii="黑体" w:hAnsi="黑体" w:cs="黑体"/>
          <w:color w:val="auto"/>
          <w:highlight w:val="none"/>
        </w:rPr>
      </w:pPr>
      <w:r>
        <w:rPr>
          <w:rFonts w:hint="eastAsia"/>
          <w:color w:val="auto"/>
          <w:highlight w:val="none"/>
        </w:rPr>
        <w:t>二、建设</w:t>
      </w:r>
      <w:bookmarkEnd w:id="25"/>
      <w:bookmarkEnd w:id="26"/>
      <w:bookmarkEnd w:id="27"/>
      <w:r>
        <w:rPr>
          <w:rFonts w:hint="eastAsia"/>
          <w:color w:val="auto"/>
          <w:highlight w:val="none"/>
        </w:rPr>
        <w:t>内容</w:t>
      </w:r>
      <w:bookmarkEnd w:id="28"/>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5"/>
      </w:tblGrid>
      <w:tr w14:paraId="6E552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642" w:type="dxa"/>
            <w:noWrap w:val="0"/>
            <w:vAlign w:val="center"/>
          </w:tcPr>
          <w:p w14:paraId="5E967F15">
            <w:pPr>
              <w:pStyle w:val="40"/>
              <w:adjustRightInd w:val="0"/>
              <w:snapToGrid w:val="0"/>
              <w:spacing w:before="0" w:beforeAutospacing="0" w:after="0" w:afterAutospacing="0"/>
              <w:jc w:val="center"/>
              <w:rPr>
                <w:rFonts w:hint="eastAsia" w:cs="宋体"/>
                <w:color w:val="auto"/>
                <w:szCs w:val="21"/>
                <w:highlight w:val="none"/>
              </w:rPr>
            </w:pPr>
            <w:r>
              <w:rPr>
                <w:rFonts w:hint="eastAsia" w:cs="宋体"/>
                <w:color w:val="auto"/>
                <w:szCs w:val="21"/>
                <w:highlight w:val="none"/>
              </w:rPr>
              <w:t>地理位置</w:t>
            </w:r>
          </w:p>
        </w:tc>
        <w:tc>
          <w:tcPr>
            <w:tcW w:w="8418" w:type="dxa"/>
            <w:noWrap w:val="0"/>
            <w:vAlign w:val="top"/>
          </w:tcPr>
          <w:p w14:paraId="13E5FBD5">
            <w:pPr>
              <w:adjustRightInd w:val="0"/>
              <w:spacing w:line="360" w:lineRule="auto"/>
              <w:textAlignment w:val="baseline"/>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2.1项目地理位置</w:t>
            </w:r>
          </w:p>
          <w:p w14:paraId="098ABF74">
            <w:pPr>
              <w:spacing w:line="360" w:lineRule="auto"/>
              <w:ind w:firstLine="480" w:firstLineChars="200"/>
              <w:rPr>
                <w:rFonts w:hint="eastAsia"/>
                <w:color w:val="auto"/>
                <w:sz w:val="24"/>
                <w:highlight w:val="none"/>
              </w:rPr>
            </w:pPr>
            <w:r>
              <w:rPr>
                <w:rFonts w:hint="eastAsia"/>
                <w:color w:val="auto"/>
                <w:sz w:val="24"/>
                <w:highlight w:val="none"/>
              </w:rPr>
              <w:t>本项目位于广西壮族自治区钦州市中国（广西）自由贸易试验区</w:t>
            </w:r>
            <w:r>
              <w:rPr>
                <w:rFonts w:hint="eastAsia"/>
                <w:color w:val="auto"/>
                <w:sz w:val="24"/>
                <w:highlight w:val="none"/>
                <w:lang w:eastAsia="zh-CN"/>
              </w:rPr>
              <w:t>钦州港金谷港区金鼓江作业区19#泊位码头停泊及回旋水域</w:t>
            </w:r>
            <w:r>
              <w:rPr>
                <w:rFonts w:hint="eastAsia"/>
                <w:color w:val="auto"/>
                <w:sz w:val="24"/>
                <w:highlight w:val="none"/>
              </w:rPr>
              <w:t>。地理位置为</w:t>
            </w:r>
            <w:r>
              <w:rPr>
                <w:rFonts w:hint="eastAsia"/>
                <w:color w:val="auto"/>
                <w:sz w:val="24"/>
                <w:highlight w:val="none"/>
                <w:lang w:eastAsia="zh-CN"/>
              </w:rPr>
              <w:t>东经</w:t>
            </w:r>
            <w:r>
              <w:rPr>
                <w:rFonts w:hint="eastAsia"/>
                <w:color w:val="auto"/>
                <w:sz w:val="24"/>
                <w:highlight w:val="none"/>
              </w:rPr>
              <w:t>：108.630581°，</w:t>
            </w:r>
            <w:r>
              <w:rPr>
                <w:rFonts w:hint="eastAsia"/>
                <w:color w:val="auto"/>
                <w:sz w:val="24"/>
                <w:highlight w:val="none"/>
                <w:lang w:eastAsia="zh-CN"/>
              </w:rPr>
              <w:t>北纬</w:t>
            </w:r>
            <w:r>
              <w:rPr>
                <w:rFonts w:hint="eastAsia"/>
                <w:color w:val="auto"/>
                <w:sz w:val="24"/>
                <w:highlight w:val="none"/>
              </w:rPr>
              <w:t>：21.703280°，项目地理位置示意图详见附图1。</w:t>
            </w:r>
          </w:p>
        </w:tc>
      </w:tr>
      <w:tr w14:paraId="2AEC7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642" w:type="dxa"/>
            <w:noWrap w:val="0"/>
            <w:vAlign w:val="center"/>
          </w:tcPr>
          <w:p w14:paraId="209EAA75">
            <w:pPr>
              <w:pStyle w:val="40"/>
              <w:adjustRightInd w:val="0"/>
              <w:snapToGrid w:val="0"/>
              <w:spacing w:before="0" w:beforeAutospacing="0" w:after="0" w:afterAutospacing="0"/>
              <w:jc w:val="center"/>
              <w:rPr>
                <w:rFonts w:ascii="黑体" w:hAnsi="黑体" w:eastAsia="黑体"/>
                <w:color w:val="auto"/>
                <w:sz w:val="21"/>
                <w:szCs w:val="21"/>
                <w:highlight w:val="none"/>
              </w:rPr>
            </w:pPr>
            <w:r>
              <w:rPr>
                <w:rFonts w:hint="eastAsia" w:cs="宋体"/>
                <w:color w:val="auto"/>
                <w:szCs w:val="21"/>
                <w:highlight w:val="none"/>
              </w:rPr>
              <w:t>项目组成及规模</w:t>
            </w:r>
          </w:p>
        </w:tc>
        <w:tc>
          <w:tcPr>
            <w:tcW w:w="8418" w:type="dxa"/>
            <w:noWrap w:val="0"/>
            <w:vAlign w:val="top"/>
          </w:tcPr>
          <w:p w14:paraId="7FD5EA4D">
            <w:pPr>
              <w:adjustRightInd w:val="0"/>
              <w:spacing w:line="360" w:lineRule="auto"/>
              <w:textAlignment w:val="baseline"/>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2.2.1 项目由来</w:t>
            </w:r>
          </w:p>
          <w:p w14:paraId="2482C101">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目前钦州港金谷港区金鼓江作业区19号泊位工程已竣工验收合格并运营，建设1个5万吨级液化烃码头，设计通过能力264.5万吨/年，年吞吐量157.3万吨，其中运入丙烷90万吨/年、丁烷30万吨/年、乙烯19.3万吨/年、丙烯10万吨/年、氯乙烯8万吨/年。泊位总长300m，引桥长304.05m，系缆墩4座，补偿平台1座，综合用房平台1座。建设内容主要有码头水工、装卸工艺设备及安装、输送管线、疏浚工程、生产及辅助生产建筑、电气、助导航通信工程、给排水及消防、环保工程等。劳动定员20人，实行5班3倒；年运营天数330天。</w:t>
            </w:r>
          </w:p>
          <w:p w14:paraId="4A666B3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钦州港金谷港区金鼓江作业区19号泊位工程</w:t>
            </w:r>
            <w:r>
              <w:rPr>
                <w:rFonts w:hint="eastAsia" w:ascii="Times New Roman" w:hAnsi="Times New Roman" w:eastAsia="宋体" w:cs="Times New Roman"/>
                <w:color w:val="auto"/>
                <w:sz w:val="24"/>
                <w:highlight w:val="none"/>
                <w:lang w:val="en-US" w:eastAsia="zh-CN"/>
              </w:rPr>
              <w:t>已通过验收并运行多年，根据项目设计材料，码头停泊水域设计底标高-11.3 m，回旋水域设计标高-14.4m，因码头水域回淤导致水深不足，为确保船舶进港航行的正常和安全，码头港池水域需进行维护性疏浚以达到设计水深，本次维护性疏浚面积约0.14km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vertAlign w:val="baseline"/>
                <w:lang w:val="en-US" w:eastAsia="zh-CN"/>
              </w:rPr>
              <w:t>，疏浚</w:t>
            </w:r>
            <w:r>
              <w:rPr>
                <w:rFonts w:hint="eastAsia" w:ascii="Times New Roman" w:hAnsi="Times New Roman" w:eastAsia="宋体" w:cs="Times New Roman"/>
                <w:color w:val="auto"/>
                <w:sz w:val="24"/>
                <w:highlight w:val="none"/>
                <w:lang w:val="en-US" w:eastAsia="zh-CN"/>
              </w:rPr>
              <w:t>开挖土方量约1.9万方。</w:t>
            </w:r>
          </w:p>
          <w:p w14:paraId="503ED539">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中华人民共和国海洋环境保护法》《中华人民共和国环境影响评价法》和《建设项目环境保护管理条例》等有关法律法规，本项目需进行环境影响评价。对比《建设项目环境影响评价分类管理名录》（2021年），判定项目类型为“五十四、海洋工程-160、其他海洋环境工程-其他”，应编制环境影响报告表。</w:t>
            </w:r>
          </w:p>
          <w:p w14:paraId="7DEBE091">
            <w:pPr>
              <w:adjustRightInd w:val="0"/>
              <w:spacing w:line="360" w:lineRule="auto"/>
              <w:textAlignment w:val="baseline"/>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2.2.2拟建项目基本情况</w:t>
            </w:r>
          </w:p>
          <w:p w14:paraId="6BD61C17">
            <w:pPr>
              <w:spacing w:line="360" w:lineRule="auto"/>
              <w:ind w:firstLine="480" w:firstLineChars="200"/>
              <w:rPr>
                <w:rFonts w:hint="eastAsia" w:eastAsia="宋体"/>
                <w:color w:val="auto"/>
                <w:sz w:val="24"/>
                <w:highlight w:val="none"/>
                <w:lang w:eastAsia="zh-CN"/>
              </w:rPr>
            </w:pPr>
            <w:r>
              <w:rPr>
                <w:color w:val="auto"/>
                <w:sz w:val="24"/>
                <w:highlight w:val="none"/>
              </w:rPr>
              <w:t>项目名称：</w:t>
            </w:r>
            <w:r>
              <w:rPr>
                <w:rFonts w:hint="eastAsia"/>
                <w:color w:val="auto"/>
                <w:sz w:val="24"/>
                <w:highlight w:val="none"/>
                <w:lang w:eastAsia="zh-CN"/>
              </w:rPr>
              <w:t>钦州港金谷港区金鼓江作业区19#泊位码头停泊及回旋水域清淤疏浚项目</w:t>
            </w:r>
          </w:p>
          <w:p w14:paraId="0BE24203">
            <w:pPr>
              <w:spacing w:line="360" w:lineRule="auto"/>
              <w:ind w:firstLine="480" w:firstLineChars="200"/>
              <w:rPr>
                <w:rFonts w:hint="eastAsia" w:eastAsia="宋体"/>
                <w:color w:val="auto"/>
                <w:sz w:val="24"/>
                <w:highlight w:val="none"/>
                <w:lang w:eastAsia="zh-CN"/>
              </w:rPr>
            </w:pPr>
            <w:r>
              <w:rPr>
                <w:color w:val="auto"/>
                <w:sz w:val="24"/>
                <w:highlight w:val="none"/>
              </w:rPr>
              <w:t>项目性质：</w:t>
            </w:r>
            <w:r>
              <w:rPr>
                <w:rFonts w:hint="eastAsia"/>
                <w:color w:val="auto"/>
                <w:sz w:val="24"/>
                <w:highlight w:val="none"/>
                <w:lang w:val="en-US" w:eastAsia="zh-CN"/>
              </w:rPr>
              <w:t>新建</w:t>
            </w:r>
          </w:p>
          <w:p w14:paraId="43A0E2FA">
            <w:pPr>
              <w:spacing w:line="360" w:lineRule="auto"/>
              <w:ind w:firstLine="480" w:firstLineChars="200"/>
              <w:rPr>
                <w:rFonts w:hint="eastAsia" w:eastAsia="宋体"/>
                <w:color w:val="auto"/>
                <w:sz w:val="24"/>
                <w:highlight w:val="none"/>
                <w:lang w:eastAsia="zh-CN"/>
              </w:rPr>
            </w:pPr>
            <w:r>
              <w:rPr>
                <w:color w:val="auto"/>
                <w:sz w:val="24"/>
                <w:highlight w:val="none"/>
              </w:rPr>
              <w:t>建设单位：</w:t>
            </w:r>
            <w:r>
              <w:rPr>
                <w:rFonts w:hint="eastAsia"/>
                <w:color w:val="auto"/>
                <w:sz w:val="24"/>
                <w:highlight w:val="none"/>
                <w:lang w:eastAsia="zh-CN"/>
              </w:rPr>
              <w:t>广西华临码头有限公司</w:t>
            </w:r>
          </w:p>
          <w:p w14:paraId="5A84FD50">
            <w:pPr>
              <w:spacing w:line="360" w:lineRule="auto"/>
              <w:ind w:firstLine="480" w:firstLineChars="200"/>
              <w:rPr>
                <w:color w:val="auto"/>
                <w:sz w:val="24"/>
                <w:highlight w:val="none"/>
              </w:rPr>
            </w:pPr>
            <w:r>
              <w:rPr>
                <w:color w:val="auto"/>
                <w:sz w:val="24"/>
                <w:highlight w:val="none"/>
              </w:rPr>
              <w:t>建设地点：</w:t>
            </w:r>
            <w:r>
              <w:rPr>
                <w:rFonts w:hint="eastAsia"/>
                <w:color w:val="auto"/>
                <w:sz w:val="24"/>
                <w:highlight w:val="none"/>
                <w:lang w:eastAsia="zh-CN"/>
              </w:rPr>
              <w:t>广西壮族自治区钦州市中国（广西）自由贸易试验区钦州港金谷港区金鼓江作业区19#泊位码头停泊及回旋水域</w:t>
            </w:r>
            <w:r>
              <w:rPr>
                <w:rFonts w:hint="eastAsia"/>
                <w:color w:val="auto"/>
                <w:sz w:val="24"/>
                <w:highlight w:val="none"/>
              </w:rPr>
              <w:t>。</w:t>
            </w:r>
          </w:p>
          <w:p w14:paraId="29D912EF">
            <w:pPr>
              <w:spacing w:line="360" w:lineRule="auto"/>
              <w:ind w:firstLine="480" w:firstLineChars="200"/>
              <w:rPr>
                <w:color w:val="auto"/>
                <w:sz w:val="24"/>
                <w:highlight w:val="none"/>
              </w:rPr>
            </w:pPr>
            <w:r>
              <w:rPr>
                <w:color w:val="auto"/>
                <w:sz w:val="24"/>
                <w:highlight w:val="none"/>
              </w:rPr>
              <w:t>项目总投资：</w:t>
            </w:r>
            <w:r>
              <w:rPr>
                <w:rFonts w:hint="eastAsia"/>
                <w:color w:val="auto"/>
                <w:sz w:val="24"/>
                <w:highlight w:val="none"/>
              </w:rPr>
              <w:t>项目总投资约</w:t>
            </w:r>
            <w:r>
              <w:rPr>
                <w:rFonts w:hint="eastAsia" w:ascii="Times New Roman" w:hAnsi="Times New Roman" w:eastAsia="宋体" w:cs="Times New Roman"/>
                <w:color w:val="auto"/>
                <w:sz w:val="24"/>
                <w:highlight w:val="none"/>
                <w:lang w:val="en-US" w:eastAsia="zh-CN"/>
              </w:rPr>
              <w:t>***</w:t>
            </w:r>
            <w:r>
              <w:rPr>
                <w:color w:val="auto"/>
                <w:sz w:val="24"/>
                <w:highlight w:val="none"/>
              </w:rPr>
              <w:t>万元</w:t>
            </w:r>
            <w:r>
              <w:rPr>
                <w:rFonts w:hint="eastAsia"/>
                <w:color w:val="auto"/>
                <w:sz w:val="24"/>
                <w:highlight w:val="none"/>
              </w:rPr>
              <w:t>。</w:t>
            </w:r>
          </w:p>
          <w:p w14:paraId="502CEEC8">
            <w:pPr>
              <w:pStyle w:val="14"/>
              <w:snapToGrid/>
              <w:spacing w:before="0" w:after="0" w:line="360" w:lineRule="auto"/>
              <w:ind w:right="0" w:firstLine="480" w:firstLineChars="200"/>
              <w:rPr>
                <w:rFonts w:hint="eastAsia"/>
                <w:color w:val="auto"/>
                <w:highlight w:val="none"/>
                <w:lang w:eastAsia="zh-CN"/>
              </w:rPr>
            </w:pPr>
            <w:r>
              <w:rPr>
                <w:rFonts w:hint="eastAsia"/>
                <w:color w:val="auto"/>
                <w:sz w:val="24"/>
                <w:szCs w:val="24"/>
                <w:highlight w:val="none"/>
              </w:rPr>
              <w:t>建设内容及规模：</w:t>
            </w:r>
            <w:r>
              <w:rPr>
                <w:rFonts w:hint="eastAsia"/>
                <w:color w:val="auto"/>
                <w:sz w:val="24"/>
                <w:szCs w:val="24"/>
                <w:highlight w:val="none"/>
                <w:lang w:eastAsia="zh-CN"/>
              </w:rPr>
              <w:t>本项目主要对</w:t>
            </w:r>
            <w:r>
              <w:rPr>
                <w:rFonts w:hint="eastAsia"/>
                <w:color w:val="auto"/>
                <w:sz w:val="24"/>
                <w:highlight w:val="none"/>
                <w:lang w:eastAsia="zh-CN"/>
              </w:rPr>
              <w:t>钦州港金谷港区金鼓江作业区</w:t>
            </w:r>
            <w:r>
              <w:rPr>
                <w:rFonts w:hint="eastAsia"/>
                <w:color w:val="auto"/>
                <w:sz w:val="24"/>
                <w:highlight w:val="none"/>
                <w:lang w:val="en-US" w:eastAsia="zh-CN"/>
              </w:rPr>
              <w:t>19#</w:t>
            </w:r>
            <w:r>
              <w:rPr>
                <w:rFonts w:hint="eastAsia"/>
                <w:color w:val="auto"/>
                <w:sz w:val="24"/>
                <w:highlight w:val="none"/>
                <w:lang w:eastAsia="zh-CN"/>
              </w:rPr>
              <w:t>泊位工程区域停泊水域和回旋水域进行维护性疏浚，疏浚区面积约</w:t>
            </w:r>
            <w:r>
              <w:rPr>
                <w:rFonts w:hint="eastAsia"/>
                <w:color w:val="auto"/>
                <w:sz w:val="24"/>
                <w:highlight w:val="none"/>
                <w:lang w:val="en-US" w:eastAsia="zh-CN"/>
              </w:rPr>
              <w:t>0.14</w:t>
            </w:r>
            <w:r>
              <w:rPr>
                <w:rFonts w:hint="eastAsia"/>
                <w:color w:val="auto"/>
                <w:sz w:val="24"/>
                <w:highlight w:val="none"/>
                <w:lang w:eastAsia="zh-CN"/>
              </w:rPr>
              <w:t>km</w:t>
            </w:r>
            <w:r>
              <w:rPr>
                <w:rFonts w:hint="eastAsia"/>
                <w:color w:val="auto"/>
                <w:sz w:val="24"/>
                <w:highlight w:val="none"/>
                <w:vertAlign w:val="superscript"/>
                <w:lang w:val="en-US" w:eastAsia="zh-CN"/>
              </w:rPr>
              <w:t>2</w:t>
            </w:r>
            <w:r>
              <w:rPr>
                <w:rFonts w:hint="eastAsia"/>
                <w:color w:val="auto"/>
                <w:sz w:val="24"/>
                <w:highlight w:val="none"/>
                <w:lang w:eastAsia="zh-CN"/>
              </w:rPr>
              <w:t>，施工范围内停泊水域清淤深度≥-</w:t>
            </w:r>
            <w:r>
              <w:rPr>
                <w:rFonts w:hint="eastAsia"/>
                <w:color w:val="auto"/>
                <w:sz w:val="24"/>
                <w:highlight w:val="none"/>
                <w:lang w:val="en-US" w:eastAsia="zh-CN"/>
              </w:rPr>
              <w:t>14.4</w:t>
            </w:r>
            <w:r>
              <w:rPr>
                <w:rFonts w:hint="eastAsia"/>
                <w:color w:val="auto"/>
                <w:sz w:val="24"/>
                <w:highlight w:val="none"/>
                <w:lang w:eastAsia="zh-CN"/>
              </w:rPr>
              <w:t>米，</w:t>
            </w:r>
            <w:r>
              <w:rPr>
                <w:rFonts w:hint="eastAsia"/>
                <w:color w:val="auto"/>
                <w:sz w:val="24"/>
                <w:highlight w:val="none"/>
                <w:lang w:val="en-US" w:eastAsia="zh-CN"/>
              </w:rPr>
              <w:t>19#</w:t>
            </w:r>
            <w:r>
              <w:rPr>
                <w:rFonts w:hint="eastAsia"/>
                <w:color w:val="auto"/>
                <w:sz w:val="24"/>
                <w:highlight w:val="none"/>
                <w:lang w:eastAsia="zh-CN"/>
              </w:rPr>
              <w:t>码头港池回旋水域（不包含航道）清淤深度≥-11.3米，疏浚方量约</w:t>
            </w:r>
            <w:r>
              <w:rPr>
                <w:rFonts w:hint="eastAsia"/>
                <w:color w:val="auto"/>
                <w:sz w:val="24"/>
                <w:highlight w:val="none"/>
                <w:lang w:val="en-US" w:eastAsia="zh-CN"/>
              </w:rPr>
              <w:t>1.9</w:t>
            </w:r>
            <w:r>
              <w:rPr>
                <w:rFonts w:hint="eastAsia"/>
                <w:color w:val="auto"/>
                <w:sz w:val="24"/>
                <w:highlight w:val="none"/>
                <w:lang w:eastAsia="zh-CN"/>
              </w:rPr>
              <w:t>万方。本项目不涉及水下炸礁，本工程未改变码头水工建筑、泊位性质。</w:t>
            </w:r>
          </w:p>
          <w:p w14:paraId="62C9A85D">
            <w:pPr>
              <w:pStyle w:val="14"/>
              <w:snapToGrid/>
              <w:spacing w:before="0" w:after="0" w:line="360" w:lineRule="auto"/>
              <w:ind w:right="0" w:firstLine="480" w:firstLineChars="200"/>
              <w:rPr>
                <w:rFonts w:hint="eastAsia"/>
                <w:color w:val="auto"/>
                <w:sz w:val="24"/>
                <w:szCs w:val="24"/>
                <w:highlight w:val="none"/>
                <w:u w:val="single"/>
              </w:rPr>
            </w:pPr>
            <w:r>
              <w:rPr>
                <w:rFonts w:hint="eastAsia"/>
                <w:color w:val="auto"/>
                <w:sz w:val="24"/>
                <w:szCs w:val="24"/>
                <w:highlight w:val="none"/>
                <w:u w:val="none"/>
              </w:rPr>
              <w:t>建设期：</w:t>
            </w:r>
            <w:r>
              <w:rPr>
                <w:rFonts w:hint="eastAsia"/>
                <w:color w:val="auto"/>
                <w:sz w:val="24"/>
                <w:szCs w:val="24"/>
                <w:highlight w:val="none"/>
                <w:u w:val="none"/>
                <w:lang w:eastAsia="zh-CN"/>
              </w:rPr>
              <w:t>建设周期</w:t>
            </w:r>
            <w:r>
              <w:rPr>
                <w:rFonts w:hint="eastAsia"/>
                <w:color w:val="auto"/>
                <w:sz w:val="24"/>
                <w:szCs w:val="24"/>
                <w:highlight w:val="none"/>
                <w:u w:val="none"/>
                <w:lang w:val="en-US" w:eastAsia="zh-CN"/>
              </w:rPr>
              <w:t>3个月，计划2026</w:t>
            </w:r>
            <w:r>
              <w:rPr>
                <w:rFonts w:hint="eastAsia"/>
                <w:color w:val="auto"/>
                <w:sz w:val="24"/>
                <w:szCs w:val="24"/>
                <w:highlight w:val="none"/>
                <w:u w:val="none"/>
              </w:rPr>
              <w:t>年</w:t>
            </w:r>
            <w:r>
              <w:rPr>
                <w:rFonts w:hint="eastAsia"/>
                <w:color w:val="auto"/>
                <w:sz w:val="24"/>
                <w:szCs w:val="24"/>
                <w:highlight w:val="none"/>
                <w:u w:val="none"/>
                <w:lang w:val="en-US" w:eastAsia="zh-CN"/>
              </w:rPr>
              <w:t>3</w:t>
            </w:r>
            <w:r>
              <w:rPr>
                <w:rFonts w:hint="eastAsia"/>
                <w:color w:val="auto"/>
                <w:sz w:val="24"/>
                <w:szCs w:val="24"/>
                <w:highlight w:val="none"/>
                <w:u w:val="none"/>
              </w:rPr>
              <w:t>月</w:t>
            </w:r>
            <w:r>
              <w:rPr>
                <w:rFonts w:hint="eastAsia"/>
                <w:color w:val="auto"/>
                <w:sz w:val="24"/>
                <w:szCs w:val="24"/>
                <w:highlight w:val="none"/>
                <w:u w:val="none"/>
                <w:lang w:eastAsia="zh-CN"/>
              </w:rPr>
              <w:t>开工，</w:t>
            </w:r>
            <w:r>
              <w:rPr>
                <w:rFonts w:hint="eastAsia"/>
                <w:color w:val="auto"/>
                <w:sz w:val="24"/>
                <w:szCs w:val="24"/>
                <w:highlight w:val="none"/>
                <w:u w:val="none"/>
                <w:lang w:val="en-US" w:eastAsia="zh-CN"/>
              </w:rPr>
              <w:t>2026</w:t>
            </w:r>
            <w:r>
              <w:rPr>
                <w:rFonts w:hint="eastAsia"/>
                <w:color w:val="auto"/>
                <w:sz w:val="24"/>
                <w:szCs w:val="24"/>
                <w:highlight w:val="none"/>
                <w:u w:val="none"/>
              </w:rPr>
              <w:t>年</w:t>
            </w:r>
            <w:r>
              <w:rPr>
                <w:rFonts w:hint="eastAsia"/>
                <w:color w:val="auto"/>
                <w:sz w:val="24"/>
                <w:szCs w:val="24"/>
                <w:highlight w:val="none"/>
                <w:u w:val="none"/>
                <w:lang w:val="en-US" w:eastAsia="zh-CN"/>
              </w:rPr>
              <w:t>5</w:t>
            </w:r>
            <w:r>
              <w:rPr>
                <w:rFonts w:hint="eastAsia"/>
                <w:color w:val="auto"/>
                <w:sz w:val="24"/>
                <w:szCs w:val="24"/>
                <w:highlight w:val="none"/>
                <w:u w:val="none"/>
              </w:rPr>
              <w:t>月</w:t>
            </w:r>
            <w:r>
              <w:rPr>
                <w:rFonts w:hint="eastAsia"/>
                <w:color w:val="auto"/>
                <w:sz w:val="24"/>
                <w:szCs w:val="24"/>
                <w:highlight w:val="none"/>
                <w:u w:val="none"/>
                <w:lang w:eastAsia="zh-CN"/>
              </w:rPr>
              <w:t>竣工</w:t>
            </w:r>
            <w:r>
              <w:rPr>
                <w:rFonts w:hint="eastAsia"/>
                <w:color w:val="auto"/>
                <w:sz w:val="24"/>
                <w:szCs w:val="24"/>
                <w:highlight w:val="none"/>
                <w:u w:val="none"/>
              </w:rPr>
              <w:t>。</w:t>
            </w:r>
            <w:r>
              <w:rPr>
                <w:rFonts w:hint="eastAsia"/>
                <w:color w:val="auto"/>
                <w:sz w:val="24"/>
                <w:szCs w:val="24"/>
                <w:highlight w:val="none"/>
                <w:u w:val="single"/>
                <w:lang w:val="en-US" w:eastAsia="zh-CN"/>
              </w:rPr>
              <w:t>本项目与下游钦州港金谷港区金鼓江作业区19#泊位码头停泊及回旋水域清淤疏浚项目不同时开展清淤疏浚，施工根据泊位进港船舶停靠情况进行协调施工，施工按“先回旋水域、后停泊水域”“先无船区、后有船区”顺序施工，避免影响码头通航。</w:t>
            </w:r>
          </w:p>
          <w:p w14:paraId="619CB07F">
            <w:pPr>
              <w:spacing w:line="360" w:lineRule="auto"/>
              <w:ind w:firstLine="482" w:firstLineChars="200"/>
              <w:rPr>
                <w:rFonts w:hint="eastAsia"/>
                <w:b/>
                <w:bCs/>
                <w:color w:val="auto"/>
                <w:sz w:val="24"/>
                <w:highlight w:val="none"/>
                <w:shd w:val="clear" w:color="auto" w:fill="FFFFFF"/>
                <w:lang w:eastAsia="zh-CN"/>
              </w:rPr>
            </w:pPr>
            <w:r>
              <w:rPr>
                <w:rFonts w:hint="eastAsia"/>
                <w:b/>
                <w:bCs/>
                <w:color w:val="auto"/>
                <w:sz w:val="24"/>
                <w:highlight w:val="none"/>
                <w:shd w:val="clear" w:color="auto" w:fill="FFFFFF"/>
              </w:rPr>
              <w:t>2.2.</w:t>
            </w:r>
            <w:r>
              <w:rPr>
                <w:rFonts w:hint="eastAsia"/>
                <w:b/>
                <w:bCs/>
                <w:color w:val="auto"/>
                <w:sz w:val="24"/>
                <w:highlight w:val="none"/>
                <w:shd w:val="clear" w:color="auto" w:fill="FFFFFF"/>
                <w:lang w:val="en-US" w:eastAsia="zh-CN"/>
              </w:rPr>
              <w:t>3</w:t>
            </w:r>
            <w:r>
              <w:rPr>
                <w:rFonts w:hint="eastAsia"/>
                <w:b/>
                <w:bCs/>
                <w:color w:val="auto"/>
                <w:sz w:val="24"/>
                <w:highlight w:val="none"/>
                <w:shd w:val="clear" w:color="auto" w:fill="FFFFFF"/>
                <w:lang w:eastAsia="zh-CN"/>
              </w:rPr>
              <w:t>工程主要技术指标</w:t>
            </w:r>
          </w:p>
          <w:p w14:paraId="40988F19">
            <w:pPr>
              <w:keepNext w:val="0"/>
              <w:keepLines w:val="0"/>
              <w:pageBreakBefore w:val="0"/>
              <w:widowControl w:val="0"/>
              <w:numPr>
                <w:ilvl w:val="0"/>
                <w:numId w:val="7"/>
              </w:numPr>
              <w:tabs>
                <w:tab w:val="clear" w:pos="0"/>
              </w:tabs>
              <w:kinsoku/>
              <w:wordWrap/>
              <w:overflowPunct/>
              <w:topLinePunct w:val="0"/>
              <w:autoSpaceDE/>
              <w:autoSpaceDN/>
              <w:bidi w:val="0"/>
              <w:adjustRightInd/>
              <w:snapToGrid/>
              <w:spacing w:line="360" w:lineRule="auto"/>
              <w:ind w:left="0" w:leftChars="0" w:firstLine="420" w:firstLineChars="0"/>
              <w:textAlignment w:val="auto"/>
              <w:rPr>
                <w:rFonts w:hint="eastAsia"/>
                <w:b/>
                <w:bCs/>
                <w:color w:val="auto"/>
                <w:sz w:val="24"/>
                <w:highlight w:val="none"/>
                <w:shd w:val="clear" w:color="auto" w:fill="FFFFFF"/>
                <w:lang w:eastAsia="zh-CN"/>
              </w:rPr>
            </w:pPr>
            <w:r>
              <w:rPr>
                <w:rFonts w:hint="eastAsia"/>
                <w:b/>
                <w:bCs/>
                <w:color w:val="auto"/>
                <w:sz w:val="24"/>
                <w:highlight w:val="none"/>
                <w:shd w:val="clear" w:color="auto" w:fill="FFFFFF"/>
                <w:lang w:eastAsia="zh-CN"/>
              </w:rPr>
              <w:t>主要技术指标</w:t>
            </w:r>
          </w:p>
          <w:p w14:paraId="60C959C6">
            <w:pPr>
              <w:pStyle w:val="40"/>
              <w:spacing w:before="0" w:beforeAutospacing="0" w:after="0" w:afterAutospacing="0"/>
              <w:jc w:val="center"/>
              <w:rPr>
                <w:rFonts w:hint="eastAsia" w:ascii="Times New Roman" w:hAnsi="Times New Roman" w:eastAsia="宋体"/>
                <w:b/>
                <w:color w:val="auto"/>
                <w:sz w:val="21"/>
                <w:szCs w:val="21"/>
                <w:highlight w:val="none"/>
                <w:lang w:eastAsia="zh-CN"/>
              </w:rPr>
            </w:pPr>
            <w:r>
              <w:rPr>
                <w:rFonts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2.2-1</w:t>
            </w:r>
            <w:r>
              <w:rPr>
                <w:rFonts w:hint="eastAsia" w:ascii="Times New Roman" w:hAnsi="Times New Roman"/>
                <w:b/>
                <w:color w:val="auto"/>
                <w:sz w:val="21"/>
                <w:szCs w:val="21"/>
                <w:highlight w:val="none"/>
                <w:lang w:eastAsia="zh-CN"/>
              </w:rPr>
              <w:t>项目主要技术指标一览表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2530"/>
              <w:gridCol w:w="923"/>
              <w:gridCol w:w="2381"/>
              <w:gridCol w:w="1508"/>
            </w:tblGrid>
            <w:tr w14:paraId="41AB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2C0FECED">
                  <w:pPr>
                    <w:autoSpaceDE w:val="0"/>
                    <w:autoSpaceDN w:val="0"/>
                    <w:snapToGrid w:val="0"/>
                    <w:jc w:val="center"/>
                    <w:rPr>
                      <w:rFonts w:hint="eastAsia" w:eastAsia="宋体"/>
                      <w:b/>
                      <w:bCs w:val="0"/>
                      <w:color w:val="auto"/>
                      <w:highlight w:val="none"/>
                      <w:lang w:eastAsia="zh-CN"/>
                    </w:rPr>
                  </w:pPr>
                  <w:r>
                    <w:rPr>
                      <w:rFonts w:hint="eastAsia"/>
                      <w:b/>
                      <w:bCs w:val="0"/>
                      <w:color w:val="auto"/>
                      <w:highlight w:val="none"/>
                      <w:lang w:eastAsia="zh-CN"/>
                    </w:rPr>
                    <w:t>序号</w:t>
                  </w:r>
                </w:p>
              </w:tc>
              <w:tc>
                <w:tcPr>
                  <w:tcW w:w="1510" w:type="pct"/>
                  <w:noWrap w:val="0"/>
                  <w:vAlign w:val="center"/>
                </w:tcPr>
                <w:p w14:paraId="5774E7A1">
                  <w:pPr>
                    <w:snapToGrid w:val="0"/>
                    <w:jc w:val="center"/>
                    <w:rPr>
                      <w:rFonts w:hint="eastAsia" w:eastAsia="宋体"/>
                      <w:b/>
                      <w:bCs w:val="0"/>
                      <w:color w:val="auto"/>
                      <w:szCs w:val="21"/>
                      <w:highlight w:val="none"/>
                      <w:lang w:eastAsia="zh-CN"/>
                    </w:rPr>
                  </w:pPr>
                  <w:r>
                    <w:rPr>
                      <w:rFonts w:hint="eastAsia"/>
                      <w:b/>
                      <w:bCs w:val="0"/>
                      <w:color w:val="auto"/>
                      <w:szCs w:val="21"/>
                      <w:highlight w:val="none"/>
                      <w:lang w:eastAsia="zh-CN"/>
                    </w:rPr>
                    <w:t>指标名称</w:t>
                  </w:r>
                </w:p>
              </w:tc>
              <w:tc>
                <w:tcPr>
                  <w:tcW w:w="551" w:type="pct"/>
                  <w:noWrap w:val="0"/>
                  <w:vAlign w:val="center"/>
                </w:tcPr>
                <w:p w14:paraId="17C08743">
                  <w:pPr>
                    <w:snapToGrid w:val="0"/>
                    <w:jc w:val="center"/>
                    <w:rPr>
                      <w:rFonts w:hint="eastAsia" w:eastAsia="宋体"/>
                      <w:b/>
                      <w:bCs w:val="0"/>
                      <w:color w:val="auto"/>
                      <w:szCs w:val="21"/>
                      <w:highlight w:val="none"/>
                      <w:lang w:eastAsia="zh-CN"/>
                    </w:rPr>
                  </w:pPr>
                  <w:r>
                    <w:rPr>
                      <w:rFonts w:hint="eastAsia"/>
                      <w:b/>
                      <w:bCs w:val="0"/>
                      <w:color w:val="auto"/>
                      <w:szCs w:val="21"/>
                      <w:highlight w:val="none"/>
                      <w:lang w:eastAsia="zh-CN"/>
                    </w:rPr>
                    <w:t>单位</w:t>
                  </w:r>
                </w:p>
              </w:tc>
              <w:tc>
                <w:tcPr>
                  <w:tcW w:w="1421" w:type="pct"/>
                  <w:noWrap w:val="0"/>
                  <w:vAlign w:val="center"/>
                </w:tcPr>
                <w:p w14:paraId="1D1AAA05">
                  <w:pPr>
                    <w:snapToGrid w:val="0"/>
                    <w:jc w:val="center"/>
                    <w:rPr>
                      <w:rFonts w:hint="eastAsia" w:eastAsia="宋体"/>
                      <w:b/>
                      <w:bCs w:val="0"/>
                      <w:color w:val="auto"/>
                      <w:szCs w:val="21"/>
                      <w:highlight w:val="none"/>
                      <w:lang w:eastAsia="zh-CN"/>
                    </w:rPr>
                  </w:pPr>
                  <w:r>
                    <w:rPr>
                      <w:rFonts w:hint="eastAsia"/>
                      <w:b/>
                      <w:bCs w:val="0"/>
                      <w:color w:val="auto"/>
                      <w:szCs w:val="21"/>
                      <w:highlight w:val="none"/>
                      <w:lang w:eastAsia="zh-CN"/>
                    </w:rPr>
                    <w:t>数量</w:t>
                  </w:r>
                </w:p>
              </w:tc>
              <w:tc>
                <w:tcPr>
                  <w:tcW w:w="899" w:type="pct"/>
                  <w:noWrap w:val="0"/>
                  <w:vAlign w:val="center"/>
                </w:tcPr>
                <w:p w14:paraId="5FA1F462">
                  <w:pPr>
                    <w:snapToGrid w:val="0"/>
                    <w:jc w:val="center"/>
                    <w:rPr>
                      <w:rFonts w:hint="eastAsia" w:eastAsia="宋体"/>
                      <w:b/>
                      <w:bCs w:val="0"/>
                      <w:color w:val="auto"/>
                      <w:szCs w:val="21"/>
                      <w:highlight w:val="none"/>
                      <w:lang w:eastAsia="zh-CN"/>
                    </w:rPr>
                  </w:pPr>
                  <w:r>
                    <w:rPr>
                      <w:rFonts w:hint="eastAsia"/>
                      <w:b/>
                      <w:bCs w:val="0"/>
                      <w:color w:val="auto"/>
                      <w:szCs w:val="21"/>
                      <w:highlight w:val="none"/>
                      <w:lang w:eastAsia="zh-CN"/>
                    </w:rPr>
                    <w:t>备注</w:t>
                  </w:r>
                </w:p>
              </w:tc>
            </w:tr>
            <w:tr w14:paraId="3C20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41C2E58E">
                  <w:pPr>
                    <w:autoSpaceDE w:val="0"/>
                    <w:autoSpaceDN w:val="0"/>
                    <w:snapToGrid w:val="0"/>
                    <w:jc w:val="center"/>
                    <w:rPr>
                      <w:rFonts w:hint="default"/>
                      <w:bCs/>
                      <w:color w:val="auto"/>
                      <w:highlight w:val="none"/>
                      <w:lang w:val="en-US" w:eastAsia="zh-CN"/>
                    </w:rPr>
                  </w:pPr>
                  <w:r>
                    <w:rPr>
                      <w:rFonts w:hint="eastAsia"/>
                      <w:bCs/>
                      <w:color w:val="auto"/>
                      <w:highlight w:val="none"/>
                      <w:lang w:val="en-US" w:eastAsia="zh-CN"/>
                    </w:rPr>
                    <w:t>1</w:t>
                  </w:r>
                </w:p>
              </w:tc>
              <w:tc>
                <w:tcPr>
                  <w:tcW w:w="1510" w:type="pct"/>
                  <w:noWrap w:val="0"/>
                  <w:vAlign w:val="center"/>
                </w:tcPr>
                <w:p w14:paraId="0EB0246F">
                  <w:pPr>
                    <w:snapToGrid w:val="0"/>
                    <w:jc w:val="center"/>
                    <w:rPr>
                      <w:rFonts w:hint="eastAsia"/>
                      <w:bCs/>
                      <w:color w:val="auto"/>
                      <w:szCs w:val="21"/>
                      <w:highlight w:val="none"/>
                      <w:lang w:eastAsia="zh-CN"/>
                    </w:rPr>
                  </w:pPr>
                  <w:r>
                    <w:rPr>
                      <w:rFonts w:hint="eastAsia"/>
                      <w:bCs/>
                      <w:color w:val="auto"/>
                      <w:szCs w:val="21"/>
                      <w:highlight w:val="none"/>
                      <w:lang w:eastAsia="zh-CN"/>
                    </w:rPr>
                    <w:t>疏浚面积</w:t>
                  </w:r>
                </w:p>
              </w:tc>
              <w:tc>
                <w:tcPr>
                  <w:tcW w:w="551" w:type="pct"/>
                  <w:noWrap w:val="0"/>
                  <w:vAlign w:val="center"/>
                </w:tcPr>
                <w:p w14:paraId="62600053">
                  <w:pPr>
                    <w:snapToGrid w:val="0"/>
                    <w:jc w:val="center"/>
                    <w:rPr>
                      <w:rFonts w:hint="eastAsia"/>
                      <w:bCs/>
                      <w:color w:val="auto"/>
                      <w:szCs w:val="21"/>
                      <w:highlight w:val="none"/>
                    </w:rPr>
                  </w:pPr>
                  <w:r>
                    <w:rPr>
                      <w:rFonts w:hint="eastAsia"/>
                      <w:bCs/>
                      <w:color w:val="auto"/>
                      <w:szCs w:val="21"/>
                      <w:highlight w:val="none"/>
                    </w:rPr>
                    <w:t>hm</w:t>
                  </w:r>
                  <w:r>
                    <w:rPr>
                      <w:rFonts w:hint="eastAsia"/>
                      <w:bCs/>
                      <w:color w:val="auto"/>
                      <w:szCs w:val="21"/>
                      <w:highlight w:val="none"/>
                      <w:vertAlign w:val="superscript"/>
                    </w:rPr>
                    <w:t>2</w:t>
                  </w:r>
                </w:p>
              </w:tc>
              <w:tc>
                <w:tcPr>
                  <w:tcW w:w="1421" w:type="pct"/>
                  <w:noWrap w:val="0"/>
                  <w:vAlign w:val="center"/>
                </w:tcPr>
                <w:p w14:paraId="6935B90E">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14.15</w:t>
                  </w:r>
                </w:p>
              </w:tc>
              <w:tc>
                <w:tcPr>
                  <w:tcW w:w="899" w:type="pct"/>
                  <w:noWrap w:val="0"/>
                  <w:vAlign w:val="center"/>
                </w:tcPr>
                <w:p w14:paraId="33BF56AF">
                  <w:pPr>
                    <w:snapToGrid w:val="0"/>
                    <w:jc w:val="center"/>
                    <w:rPr>
                      <w:rFonts w:hint="eastAsia"/>
                      <w:bCs/>
                      <w:color w:val="auto"/>
                      <w:szCs w:val="21"/>
                      <w:highlight w:val="none"/>
                    </w:rPr>
                  </w:pPr>
                </w:p>
              </w:tc>
            </w:tr>
            <w:tr w14:paraId="280E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25527C28">
                  <w:pPr>
                    <w:autoSpaceDE w:val="0"/>
                    <w:autoSpaceDN w:val="0"/>
                    <w:snapToGrid w:val="0"/>
                    <w:jc w:val="center"/>
                    <w:rPr>
                      <w:rFonts w:hint="default"/>
                      <w:bCs/>
                      <w:color w:val="auto"/>
                      <w:highlight w:val="none"/>
                      <w:lang w:val="en-US" w:eastAsia="zh-CN"/>
                    </w:rPr>
                  </w:pPr>
                  <w:r>
                    <w:rPr>
                      <w:rFonts w:hint="eastAsia"/>
                      <w:bCs/>
                      <w:color w:val="auto"/>
                      <w:highlight w:val="none"/>
                      <w:lang w:val="en-US" w:eastAsia="zh-CN"/>
                    </w:rPr>
                    <w:t>2</w:t>
                  </w:r>
                </w:p>
              </w:tc>
              <w:tc>
                <w:tcPr>
                  <w:tcW w:w="1510" w:type="pct"/>
                  <w:noWrap w:val="0"/>
                  <w:vAlign w:val="center"/>
                </w:tcPr>
                <w:p w14:paraId="1AA09E41">
                  <w:pPr>
                    <w:snapToGrid w:val="0"/>
                    <w:jc w:val="center"/>
                    <w:rPr>
                      <w:rFonts w:hint="eastAsia"/>
                      <w:bCs/>
                      <w:color w:val="auto"/>
                      <w:szCs w:val="21"/>
                      <w:highlight w:val="none"/>
                      <w:lang w:eastAsia="zh-CN"/>
                    </w:rPr>
                  </w:pPr>
                  <w:r>
                    <w:rPr>
                      <w:rFonts w:hint="eastAsia"/>
                      <w:bCs/>
                      <w:color w:val="auto"/>
                      <w:szCs w:val="21"/>
                      <w:highlight w:val="none"/>
                      <w:lang w:eastAsia="zh-CN"/>
                    </w:rPr>
                    <w:t>开挖底高程</w:t>
                  </w:r>
                </w:p>
              </w:tc>
              <w:tc>
                <w:tcPr>
                  <w:tcW w:w="551" w:type="pct"/>
                  <w:noWrap w:val="0"/>
                  <w:vAlign w:val="center"/>
                </w:tcPr>
                <w:p w14:paraId="7C58AED5">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m</w:t>
                  </w:r>
                </w:p>
              </w:tc>
              <w:tc>
                <w:tcPr>
                  <w:tcW w:w="1421" w:type="pct"/>
                  <w:noWrap w:val="0"/>
                  <w:vAlign w:val="center"/>
                </w:tcPr>
                <w:p w14:paraId="34543C49">
                  <w:pPr>
                    <w:snapToGrid w:val="0"/>
                    <w:jc w:val="center"/>
                    <w:rPr>
                      <w:rFonts w:hint="default"/>
                      <w:bCs/>
                      <w:color w:val="auto"/>
                      <w:szCs w:val="21"/>
                      <w:highlight w:val="none"/>
                      <w:lang w:val="en-US" w:eastAsia="zh-CN"/>
                    </w:rPr>
                  </w:pPr>
                  <w:r>
                    <w:rPr>
                      <w:rFonts w:hint="eastAsia"/>
                      <w:bCs/>
                      <w:color w:val="auto"/>
                      <w:szCs w:val="21"/>
                      <w:highlight w:val="none"/>
                      <w:lang w:val="en-US" w:eastAsia="zh-CN"/>
                    </w:rPr>
                    <w:t>停泊水域深度≥-14.4</w:t>
                  </w:r>
                </w:p>
                <w:p w14:paraId="2ADBA6D5">
                  <w:pPr>
                    <w:snapToGrid w:val="0"/>
                    <w:jc w:val="center"/>
                    <w:rPr>
                      <w:rFonts w:hint="default"/>
                      <w:bCs/>
                      <w:color w:val="auto"/>
                      <w:szCs w:val="21"/>
                      <w:highlight w:val="none"/>
                      <w:lang w:val="en-US" w:eastAsia="zh-CN"/>
                    </w:rPr>
                  </w:pPr>
                  <w:r>
                    <w:rPr>
                      <w:rFonts w:hint="eastAsia"/>
                      <w:bCs/>
                      <w:color w:val="auto"/>
                      <w:szCs w:val="21"/>
                      <w:highlight w:val="none"/>
                      <w:lang w:val="en-US" w:eastAsia="zh-CN"/>
                    </w:rPr>
                    <w:t>回旋水域≥-11.3</w:t>
                  </w:r>
                </w:p>
              </w:tc>
              <w:tc>
                <w:tcPr>
                  <w:tcW w:w="899" w:type="pct"/>
                  <w:noWrap w:val="0"/>
                  <w:vAlign w:val="center"/>
                </w:tcPr>
                <w:p w14:paraId="21BAD8C5">
                  <w:pPr>
                    <w:snapToGrid w:val="0"/>
                    <w:jc w:val="center"/>
                    <w:rPr>
                      <w:rFonts w:hint="eastAsia"/>
                      <w:bCs/>
                      <w:color w:val="auto"/>
                      <w:szCs w:val="21"/>
                      <w:highlight w:val="none"/>
                    </w:rPr>
                  </w:pPr>
                </w:p>
              </w:tc>
            </w:tr>
            <w:tr w14:paraId="214D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2C7D65FF">
                  <w:pPr>
                    <w:autoSpaceDE w:val="0"/>
                    <w:autoSpaceDN w:val="0"/>
                    <w:snapToGrid w:val="0"/>
                    <w:jc w:val="center"/>
                    <w:rPr>
                      <w:rFonts w:hint="default"/>
                      <w:bCs/>
                      <w:color w:val="auto"/>
                      <w:highlight w:val="none"/>
                      <w:lang w:val="en-US" w:eastAsia="zh-CN"/>
                    </w:rPr>
                  </w:pPr>
                  <w:r>
                    <w:rPr>
                      <w:rFonts w:hint="eastAsia"/>
                      <w:bCs/>
                      <w:color w:val="auto"/>
                      <w:highlight w:val="none"/>
                      <w:lang w:val="en-US" w:eastAsia="zh-CN"/>
                    </w:rPr>
                    <w:t>3</w:t>
                  </w:r>
                </w:p>
              </w:tc>
              <w:tc>
                <w:tcPr>
                  <w:tcW w:w="1510" w:type="pct"/>
                  <w:noWrap w:val="0"/>
                  <w:vAlign w:val="center"/>
                </w:tcPr>
                <w:p w14:paraId="3DE23CE7">
                  <w:pPr>
                    <w:snapToGrid w:val="0"/>
                    <w:jc w:val="center"/>
                    <w:rPr>
                      <w:rFonts w:hint="eastAsia"/>
                      <w:bCs/>
                      <w:color w:val="auto"/>
                      <w:szCs w:val="21"/>
                      <w:highlight w:val="none"/>
                      <w:lang w:eastAsia="zh-CN"/>
                    </w:rPr>
                  </w:pPr>
                  <w:r>
                    <w:rPr>
                      <w:rFonts w:hint="eastAsia"/>
                      <w:bCs/>
                      <w:color w:val="auto"/>
                      <w:szCs w:val="21"/>
                      <w:highlight w:val="none"/>
                      <w:lang w:eastAsia="zh-CN"/>
                    </w:rPr>
                    <w:t>设计高水位</w:t>
                  </w:r>
                </w:p>
                <w:p w14:paraId="68D81443">
                  <w:pPr>
                    <w:snapToGrid w:val="0"/>
                    <w:jc w:val="center"/>
                    <w:rPr>
                      <w:rFonts w:hint="eastAsia"/>
                      <w:bCs/>
                      <w:color w:val="auto"/>
                      <w:szCs w:val="21"/>
                      <w:highlight w:val="none"/>
                      <w:lang w:eastAsia="zh-CN"/>
                    </w:rPr>
                  </w:pPr>
                  <w:r>
                    <w:rPr>
                      <w:rFonts w:hint="eastAsia"/>
                      <w:bCs/>
                      <w:color w:val="auto"/>
                      <w:szCs w:val="21"/>
                      <w:highlight w:val="none"/>
                      <w:lang w:eastAsia="zh-CN"/>
                    </w:rPr>
                    <w:t>（高潮累积频率10%）</w:t>
                  </w:r>
                </w:p>
              </w:tc>
              <w:tc>
                <w:tcPr>
                  <w:tcW w:w="551" w:type="pct"/>
                  <w:noWrap w:val="0"/>
                  <w:vAlign w:val="center"/>
                </w:tcPr>
                <w:p w14:paraId="085DB7F7">
                  <w:pPr>
                    <w:snapToGrid w:val="0"/>
                    <w:jc w:val="center"/>
                    <w:rPr>
                      <w:rFonts w:hint="eastAsia"/>
                      <w:bCs/>
                      <w:color w:val="auto"/>
                      <w:szCs w:val="21"/>
                      <w:highlight w:val="none"/>
                    </w:rPr>
                  </w:pPr>
                  <w:r>
                    <w:rPr>
                      <w:rFonts w:hint="eastAsia"/>
                      <w:bCs/>
                      <w:color w:val="auto"/>
                      <w:szCs w:val="21"/>
                      <w:highlight w:val="none"/>
                      <w:lang w:val="en-US" w:eastAsia="zh-CN"/>
                    </w:rPr>
                    <w:t>m</w:t>
                  </w:r>
                </w:p>
              </w:tc>
              <w:tc>
                <w:tcPr>
                  <w:tcW w:w="1421" w:type="pct"/>
                  <w:noWrap w:val="0"/>
                  <w:vAlign w:val="center"/>
                </w:tcPr>
                <w:p w14:paraId="7348EDE2">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5.33</w:t>
                  </w:r>
                </w:p>
              </w:tc>
              <w:tc>
                <w:tcPr>
                  <w:tcW w:w="899" w:type="pct"/>
                  <w:noWrap w:val="0"/>
                  <w:vAlign w:val="center"/>
                </w:tcPr>
                <w:p w14:paraId="050321A0">
                  <w:pPr>
                    <w:snapToGrid w:val="0"/>
                    <w:jc w:val="center"/>
                    <w:rPr>
                      <w:rFonts w:hint="eastAsia"/>
                      <w:bCs/>
                      <w:color w:val="auto"/>
                      <w:szCs w:val="21"/>
                      <w:highlight w:val="none"/>
                    </w:rPr>
                  </w:pPr>
                </w:p>
              </w:tc>
            </w:tr>
            <w:tr w14:paraId="7983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223D360B">
                  <w:pPr>
                    <w:autoSpaceDE w:val="0"/>
                    <w:autoSpaceDN w:val="0"/>
                    <w:snapToGrid w:val="0"/>
                    <w:jc w:val="center"/>
                    <w:rPr>
                      <w:rFonts w:hint="default"/>
                      <w:bCs/>
                      <w:color w:val="auto"/>
                      <w:highlight w:val="none"/>
                      <w:lang w:val="en-US" w:eastAsia="zh-CN"/>
                    </w:rPr>
                  </w:pPr>
                  <w:r>
                    <w:rPr>
                      <w:rFonts w:hint="eastAsia"/>
                      <w:bCs/>
                      <w:color w:val="auto"/>
                      <w:highlight w:val="none"/>
                      <w:lang w:val="en-US" w:eastAsia="zh-CN"/>
                    </w:rPr>
                    <w:t>4</w:t>
                  </w:r>
                </w:p>
              </w:tc>
              <w:tc>
                <w:tcPr>
                  <w:tcW w:w="1510" w:type="pct"/>
                  <w:noWrap w:val="0"/>
                  <w:vAlign w:val="center"/>
                </w:tcPr>
                <w:p w14:paraId="77E0FE1F">
                  <w:pPr>
                    <w:keepNext w:val="0"/>
                    <w:keepLines w:val="0"/>
                    <w:widowControl/>
                    <w:suppressLineNumbers w:val="0"/>
                    <w:jc w:val="center"/>
                    <w:rPr>
                      <w:rFonts w:hint="eastAsia"/>
                      <w:bCs/>
                      <w:color w:val="auto"/>
                      <w:szCs w:val="21"/>
                      <w:highlight w:val="none"/>
                      <w:lang w:eastAsia="zh-CN"/>
                    </w:rPr>
                  </w:pPr>
                  <w:r>
                    <w:rPr>
                      <w:rFonts w:hint="eastAsia"/>
                      <w:bCs/>
                      <w:color w:val="auto"/>
                      <w:szCs w:val="21"/>
                      <w:highlight w:val="none"/>
                      <w:lang w:eastAsia="zh-CN"/>
                    </w:rPr>
                    <w:t>设计低水位</w:t>
                  </w:r>
                </w:p>
                <w:p w14:paraId="2904ED30">
                  <w:pPr>
                    <w:keepNext w:val="0"/>
                    <w:keepLines w:val="0"/>
                    <w:widowControl/>
                    <w:suppressLineNumbers w:val="0"/>
                    <w:jc w:val="center"/>
                    <w:rPr>
                      <w:rFonts w:hint="eastAsia"/>
                      <w:bCs/>
                      <w:color w:val="auto"/>
                      <w:szCs w:val="21"/>
                      <w:highlight w:val="none"/>
                      <w:lang w:eastAsia="zh-CN"/>
                    </w:rPr>
                  </w:pPr>
                  <w:r>
                    <w:rPr>
                      <w:rFonts w:hint="eastAsia"/>
                      <w:bCs/>
                      <w:color w:val="auto"/>
                      <w:szCs w:val="21"/>
                      <w:highlight w:val="none"/>
                      <w:lang w:eastAsia="zh-CN"/>
                    </w:rPr>
                    <w:t>（</w:t>
                  </w:r>
                  <w:r>
                    <w:rPr>
                      <w:rFonts w:hint="eastAsia" w:ascii="宋体" w:hAnsi="宋体" w:eastAsia="宋体" w:cs="宋体"/>
                      <w:color w:val="auto"/>
                      <w:kern w:val="0"/>
                      <w:sz w:val="20"/>
                      <w:szCs w:val="20"/>
                      <w:highlight w:val="none"/>
                      <w:lang w:val="en-US" w:eastAsia="zh-CN" w:bidi="ar"/>
                    </w:rPr>
                    <w:t>低潮累积频率</w:t>
                  </w:r>
                  <w:r>
                    <w:rPr>
                      <w:rFonts w:hint="default" w:ascii="Times New Roman" w:hAnsi="Times New Roman" w:eastAsia="宋体" w:cs="Times New Roman"/>
                      <w:color w:val="auto"/>
                      <w:kern w:val="0"/>
                      <w:sz w:val="20"/>
                      <w:szCs w:val="20"/>
                      <w:highlight w:val="none"/>
                      <w:lang w:val="en-US" w:eastAsia="zh-CN" w:bidi="ar"/>
                    </w:rPr>
                    <w:t>90%</w:t>
                  </w:r>
                  <w:r>
                    <w:rPr>
                      <w:rFonts w:hint="eastAsia"/>
                      <w:bCs/>
                      <w:color w:val="auto"/>
                      <w:szCs w:val="21"/>
                      <w:highlight w:val="none"/>
                      <w:lang w:eastAsia="zh-CN"/>
                    </w:rPr>
                    <w:t>）</w:t>
                  </w:r>
                </w:p>
              </w:tc>
              <w:tc>
                <w:tcPr>
                  <w:tcW w:w="551" w:type="pct"/>
                  <w:noWrap w:val="0"/>
                  <w:vAlign w:val="center"/>
                </w:tcPr>
                <w:p w14:paraId="21E3A559">
                  <w:pPr>
                    <w:snapToGrid w:val="0"/>
                    <w:jc w:val="center"/>
                    <w:rPr>
                      <w:rFonts w:hint="eastAsia"/>
                      <w:bCs/>
                      <w:color w:val="auto"/>
                      <w:szCs w:val="21"/>
                      <w:highlight w:val="none"/>
                    </w:rPr>
                  </w:pPr>
                  <w:r>
                    <w:rPr>
                      <w:rFonts w:hint="eastAsia"/>
                      <w:bCs/>
                      <w:color w:val="auto"/>
                      <w:szCs w:val="21"/>
                      <w:highlight w:val="none"/>
                      <w:lang w:val="en-US" w:eastAsia="zh-CN"/>
                    </w:rPr>
                    <w:t>m</w:t>
                  </w:r>
                </w:p>
              </w:tc>
              <w:tc>
                <w:tcPr>
                  <w:tcW w:w="1421" w:type="pct"/>
                  <w:noWrap w:val="0"/>
                  <w:vAlign w:val="center"/>
                </w:tcPr>
                <w:p w14:paraId="7BE784DB">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-0.39</w:t>
                  </w:r>
                </w:p>
              </w:tc>
              <w:tc>
                <w:tcPr>
                  <w:tcW w:w="899" w:type="pct"/>
                  <w:noWrap w:val="0"/>
                  <w:vAlign w:val="center"/>
                </w:tcPr>
                <w:p w14:paraId="692510EB">
                  <w:pPr>
                    <w:snapToGrid w:val="0"/>
                    <w:jc w:val="center"/>
                    <w:rPr>
                      <w:rFonts w:hint="eastAsia"/>
                      <w:bCs/>
                      <w:color w:val="auto"/>
                      <w:szCs w:val="21"/>
                      <w:highlight w:val="none"/>
                    </w:rPr>
                  </w:pPr>
                </w:p>
              </w:tc>
            </w:tr>
            <w:tr w14:paraId="2F78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5B57FEAE">
                  <w:pPr>
                    <w:autoSpaceDE w:val="0"/>
                    <w:autoSpaceDN w:val="0"/>
                    <w:snapToGrid w:val="0"/>
                    <w:jc w:val="center"/>
                    <w:rPr>
                      <w:rFonts w:hint="default"/>
                      <w:bCs/>
                      <w:color w:val="auto"/>
                      <w:highlight w:val="none"/>
                      <w:lang w:val="en-US" w:eastAsia="zh-CN"/>
                    </w:rPr>
                  </w:pPr>
                  <w:r>
                    <w:rPr>
                      <w:rFonts w:hint="eastAsia"/>
                      <w:bCs/>
                      <w:color w:val="auto"/>
                      <w:highlight w:val="none"/>
                      <w:lang w:val="en-US" w:eastAsia="zh-CN"/>
                    </w:rPr>
                    <w:t>5</w:t>
                  </w:r>
                </w:p>
              </w:tc>
              <w:tc>
                <w:tcPr>
                  <w:tcW w:w="1510" w:type="pct"/>
                  <w:noWrap w:val="0"/>
                  <w:vAlign w:val="center"/>
                </w:tcPr>
                <w:p w14:paraId="1618C8A7">
                  <w:pPr>
                    <w:keepNext w:val="0"/>
                    <w:keepLines w:val="0"/>
                    <w:widowControl/>
                    <w:suppressLineNumbers w:val="0"/>
                    <w:jc w:val="center"/>
                    <w:rPr>
                      <w:rFonts w:hint="default"/>
                      <w:bCs/>
                      <w:color w:val="auto"/>
                      <w:szCs w:val="21"/>
                      <w:highlight w:val="none"/>
                      <w:lang w:val="en-US" w:eastAsia="zh-CN"/>
                    </w:rPr>
                  </w:pPr>
                  <w:r>
                    <w:rPr>
                      <w:rFonts w:hint="eastAsia"/>
                      <w:bCs/>
                      <w:color w:val="auto"/>
                      <w:szCs w:val="21"/>
                      <w:highlight w:val="none"/>
                      <w:lang w:val="en-US" w:eastAsia="zh-CN"/>
                    </w:rPr>
                    <w:t>开挖量</w:t>
                  </w:r>
                </w:p>
              </w:tc>
              <w:tc>
                <w:tcPr>
                  <w:tcW w:w="551" w:type="pct"/>
                  <w:noWrap w:val="0"/>
                  <w:vAlign w:val="center"/>
                </w:tcPr>
                <w:p w14:paraId="360A2606">
                  <w:pPr>
                    <w:snapToGrid w:val="0"/>
                    <w:jc w:val="center"/>
                    <w:rPr>
                      <w:rFonts w:hint="default"/>
                      <w:bCs/>
                      <w:color w:val="auto"/>
                      <w:szCs w:val="21"/>
                      <w:highlight w:val="none"/>
                      <w:lang w:val="en-US" w:eastAsia="zh-CN"/>
                    </w:rPr>
                  </w:pPr>
                  <w:r>
                    <w:rPr>
                      <w:rFonts w:hint="eastAsia"/>
                      <w:bCs/>
                      <w:color w:val="auto"/>
                      <w:szCs w:val="21"/>
                      <w:highlight w:val="none"/>
                      <w:lang w:val="en-US" w:eastAsia="zh-CN"/>
                    </w:rPr>
                    <w:t>m</w:t>
                  </w:r>
                  <w:r>
                    <w:rPr>
                      <w:rFonts w:hint="eastAsia"/>
                      <w:bCs/>
                      <w:color w:val="auto"/>
                      <w:szCs w:val="21"/>
                      <w:highlight w:val="none"/>
                      <w:vertAlign w:val="superscript"/>
                      <w:lang w:val="en-US" w:eastAsia="zh-CN"/>
                    </w:rPr>
                    <w:t>3</w:t>
                  </w:r>
                </w:p>
              </w:tc>
              <w:tc>
                <w:tcPr>
                  <w:tcW w:w="1421" w:type="pct"/>
                  <w:noWrap w:val="0"/>
                  <w:vAlign w:val="center"/>
                </w:tcPr>
                <w:p w14:paraId="1A3BEA1B">
                  <w:pPr>
                    <w:snapToGrid w:val="0"/>
                    <w:jc w:val="center"/>
                    <w:rPr>
                      <w:rFonts w:hint="default"/>
                      <w:bCs/>
                      <w:color w:val="auto"/>
                      <w:szCs w:val="21"/>
                      <w:highlight w:val="none"/>
                      <w:lang w:val="en-US" w:eastAsia="zh-CN"/>
                    </w:rPr>
                  </w:pPr>
                  <w:r>
                    <w:rPr>
                      <w:rFonts w:hint="eastAsia"/>
                      <w:bCs/>
                      <w:color w:val="auto"/>
                      <w:szCs w:val="21"/>
                      <w:highlight w:val="none"/>
                      <w:lang w:val="en-US" w:eastAsia="zh-CN"/>
                    </w:rPr>
                    <w:t>18634.85</w:t>
                  </w:r>
                </w:p>
              </w:tc>
              <w:tc>
                <w:tcPr>
                  <w:tcW w:w="899" w:type="pct"/>
                  <w:noWrap w:val="0"/>
                  <w:vAlign w:val="center"/>
                </w:tcPr>
                <w:p w14:paraId="3DD747A6">
                  <w:pPr>
                    <w:snapToGrid w:val="0"/>
                    <w:jc w:val="center"/>
                    <w:rPr>
                      <w:rFonts w:hint="eastAsia"/>
                      <w:bCs/>
                      <w:color w:val="auto"/>
                      <w:szCs w:val="21"/>
                      <w:highlight w:val="none"/>
                    </w:rPr>
                  </w:pPr>
                  <w:r>
                    <w:rPr>
                      <w:rFonts w:hint="eastAsia"/>
                      <w:bCs/>
                      <w:color w:val="auto"/>
                      <w:szCs w:val="21"/>
                      <w:highlight w:val="none"/>
                      <w:lang w:val="en-US" w:eastAsia="zh-CN"/>
                    </w:rPr>
                    <w:t>含超挖</w:t>
                  </w:r>
                </w:p>
              </w:tc>
            </w:tr>
            <w:tr w14:paraId="1B45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199A354E">
                  <w:pPr>
                    <w:autoSpaceDE w:val="0"/>
                    <w:autoSpaceDN w:val="0"/>
                    <w:snapToGrid w:val="0"/>
                    <w:jc w:val="center"/>
                    <w:rPr>
                      <w:rFonts w:hint="default"/>
                      <w:bCs/>
                      <w:color w:val="auto"/>
                      <w:highlight w:val="none"/>
                      <w:lang w:val="en-US" w:eastAsia="zh-CN"/>
                    </w:rPr>
                  </w:pPr>
                  <w:r>
                    <w:rPr>
                      <w:rFonts w:hint="eastAsia"/>
                      <w:bCs/>
                      <w:color w:val="auto"/>
                      <w:highlight w:val="none"/>
                      <w:lang w:val="en-US" w:eastAsia="zh-CN"/>
                    </w:rPr>
                    <w:t>6</w:t>
                  </w:r>
                </w:p>
              </w:tc>
              <w:tc>
                <w:tcPr>
                  <w:tcW w:w="1510" w:type="pct"/>
                  <w:noWrap w:val="0"/>
                  <w:vAlign w:val="center"/>
                </w:tcPr>
                <w:p w14:paraId="3F5DED56">
                  <w:pPr>
                    <w:snapToGrid w:val="0"/>
                    <w:jc w:val="center"/>
                    <w:rPr>
                      <w:rFonts w:hint="eastAsia"/>
                      <w:bCs/>
                      <w:color w:val="auto"/>
                      <w:szCs w:val="21"/>
                      <w:highlight w:val="none"/>
                      <w:lang w:eastAsia="zh-CN"/>
                    </w:rPr>
                  </w:pPr>
                  <w:r>
                    <w:rPr>
                      <w:rFonts w:hint="eastAsia"/>
                      <w:bCs/>
                      <w:color w:val="auto"/>
                      <w:szCs w:val="21"/>
                      <w:highlight w:val="none"/>
                      <w:lang w:eastAsia="zh-CN"/>
                    </w:rPr>
                    <w:t>建设工期</w:t>
                  </w:r>
                </w:p>
              </w:tc>
              <w:tc>
                <w:tcPr>
                  <w:tcW w:w="551" w:type="pct"/>
                  <w:noWrap w:val="0"/>
                  <w:vAlign w:val="center"/>
                </w:tcPr>
                <w:p w14:paraId="3BCAEB04">
                  <w:pPr>
                    <w:snapToGrid w:val="0"/>
                    <w:jc w:val="center"/>
                    <w:rPr>
                      <w:rFonts w:hint="eastAsia"/>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月</w:t>
                  </w:r>
                </w:p>
              </w:tc>
              <w:tc>
                <w:tcPr>
                  <w:tcW w:w="1421" w:type="pct"/>
                  <w:noWrap w:val="0"/>
                  <w:vAlign w:val="center"/>
                </w:tcPr>
                <w:p w14:paraId="2F2ABBB4">
                  <w:pPr>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3</w:t>
                  </w:r>
                </w:p>
              </w:tc>
              <w:tc>
                <w:tcPr>
                  <w:tcW w:w="899" w:type="pct"/>
                  <w:noWrap w:val="0"/>
                  <w:vAlign w:val="center"/>
                </w:tcPr>
                <w:p w14:paraId="1EC69FB1">
                  <w:pPr>
                    <w:snapToGrid w:val="0"/>
                    <w:jc w:val="center"/>
                    <w:rPr>
                      <w:rFonts w:hint="default" w:eastAsia="宋体"/>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2026年3月开工，2026年5月完工</w:t>
                  </w:r>
                </w:p>
              </w:tc>
            </w:tr>
          </w:tbl>
          <w:p w14:paraId="7BDFA426">
            <w:pPr>
              <w:pStyle w:val="40"/>
              <w:spacing w:before="0" w:beforeAutospacing="0" w:after="0" w:afterAutospacing="0"/>
              <w:jc w:val="center"/>
              <w:rPr>
                <w:rFonts w:ascii="Times New Roman" w:hAnsi="Times New Roman"/>
                <w:b/>
                <w:color w:val="auto"/>
                <w:sz w:val="21"/>
                <w:szCs w:val="21"/>
                <w:highlight w:val="none"/>
              </w:rPr>
            </w:pPr>
          </w:p>
          <w:p w14:paraId="3E97E961">
            <w:pPr>
              <w:keepNext w:val="0"/>
              <w:keepLines w:val="0"/>
              <w:pageBreakBefore w:val="0"/>
              <w:widowControl w:val="0"/>
              <w:numPr>
                <w:ilvl w:val="0"/>
                <w:numId w:val="7"/>
              </w:numPr>
              <w:tabs>
                <w:tab w:val="clear" w:pos="0"/>
              </w:tabs>
              <w:kinsoku/>
              <w:wordWrap/>
              <w:overflowPunct/>
              <w:topLinePunct w:val="0"/>
              <w:autoSpaceDE/>
              <w:autoSpaceDN/>
              <w:bidi w:val="0"/>
              <w:adjustRightInd/>
              <w:snapToGrid/>
              <w:spacing w:line="360" w:lineRule="auto"/>
              <w:ind w:left="0" w:leftChars="0" w:firstLine="420" w:firstLineChars="0"/>
              <w:textAlignment w:val="auto"/>
              <w:rPr>
                <w:rFonts w:hint="eastAsia" w:ascii="Times New Roman" w:hAnsi="Times New Roman" w:eastAsia="宋体" w:cs="Times New Roman"/>
                <w:b/>
                <w:bCs/>
                <w:color w:val="auto"/>
                <w:sz w:val="24"/>
                <w:highlight w:val="none"/>
                <w:shd w:val="clear" w:color="auto" w:fill="FFFFFF"/>
                <w:lang w:eastAsia="zh-CN"/>
              </w:rPr>
            </w:pPr>
            <w:r>
              <w:rPr>
                <w:rFonts w:hint="eastAsia" w:ascii="Times New Roman" w:hAnsi="Times New Roman" w:eastAsia="宋体" w:cs="Times New Roman"/>
                <w:b/>
                <w:bCs/>
                <w:color w:val="auto"/>
                <w:sz w:val="24"/>
                <w:highlight w:val="none"/>
                <w:shd w:val="clear" w:color="auto" w:fill="FFFFFF"/>
                <w:lang w:val="en-US" w:eastAsia="zh-CN"/>
              </w:rPr>
              <w:t>设计代表船型</w:t>
            </w:r>
          </w:p>
          <w:p w14:paraId="768E2327">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u w:val="single"/>
                <w:lang w:eastAsia="zh-CN"/>
              </w:rPr>
            </w:pPr>
            <w:r>
              <w:rPr>
                <w:rFonts w:hint="eastAsia" w:ascii="Times New Roman" w:hAnsi="Times New Roman" w:eastAsia="宋体" w:cs="Times New Roman"/>
                <w:color w:val="auto"/>
                <w:sz w:val="24"/>
                <w:highlight w:val="none"/>
                <w:u w:val="single"/>
                <w:lang w:eastAsia="zh-CN"/>
              </w:rPr>
              <w:t>钦州港金谷港区金鼓江作业区</w:t>
            </w:r>
            <w:r>
              <w:rPr>
                <w:rFonts w:hint="eastAsia" w:ascii="Times New Roman" w:hAnsi="Times New Roman" w:eastAsia="宋体" w:cs="Times New Roman"/>
                <w:color w:val="auto"/>
                <w:sz w:val="24"/>
                <w:highlight w:val="none"/>
                <w:u w:val="single"/>
                <w:lang w:val="en-US" w:eastAsia="zh-CN"/>
              </w:rPr>
              <w:t>19</w:t>
            </w:r>
            <w:r>
              <w:rPr>
                <w:rFonts w:hint="eastAsia" w:ascii="Times New Roman" w:hAnsi="Times New Roman" w:eastAsia="宋体" w:cs="Times New Roman"/>
                <w:color w:val="auto"/>
                <w:sz w:val="24"/>
                <w:highlight w:val="none"/>
                <w:u w:val="single"/>
                <w:lang w:eastAsia="zh-CN"/>
              </w:rPr>
              <w:t>#泊位年吞吐量为</w:t>
            </w:r>
            <w:r>
              <w:rPr>
                <w:rFonts w:hint="eastAsia" w:ascii="Times New Roman" w:hAnsi="Times New Roman" w:eastAsia="宋体" w:cs="Times New Roman"/>
                <w:color w:val="auto"/>
                <w:sz w:val="24"/>
                <w:highlight w:val="none"/>
                <w:u w:val="single"/>
                <w:lang w:val="en-US" w:eastAsia="zh-CN"/>
              </w:rPr>
              <w:t>157.3</w:t>
            </w:r>
            <w:r>
              <w:rPr>
                <w:rFonts w:hint="eastAsia" w:ascii="Times New Roman" w:hAnsi="Times New Roman" w:eastAsia="宋体" w:cs="Times New Roman"/>
                <w:color w:val="auto"/>
                <w:sz w:val="24"/>
                <w:highlight w:val="none"/>
                <w:u w:val="single"/>
                <w:lang w:eastAsia="zh-CN"/>
              </w:rPr>
              <w:t>万吨，货种为</w:t>
            </w:r>
            <w:r>
              <w:rPr>
                <w:rFonts w:hint="eastAsia" w:ascii="Times New Roman" w:hAnsi="Times New Roman" w:eastAsia="宋体" w:cs="Times New Roman"/>
                <w:color w:val="auto"/>
                <w:sz w:val="24"/>
                <w:highlight w:val="none"/>
                <w:u w:val="single"/>
                <w:lang w:val="en-US" w:eastAsia="zh-CN"/>
              </w:rPr>
              <w:t>丙烷、丁烷、乙烯、丙烯、氯乙烯</w:t>
            </w:r>
            <w:r>
              <w:rPr>
                <w:rFonts w:hint="eastAsia" w:ascii="Times New Roman" w:hAnsi="Times New Roman" w:eastAsia="宋体" w:cs="Times New Roman"/>
                <w:color w:val="auto"/>
                <w:sz w:val="24"/>
                <w:highlight w:val="none"/>
                <w:u w:val="single"/>
                <w:lang w:eastAsia="zh-CN"/>
              </w:rPr>
              <w:t>，到港船型为</w:t>
            </w:r>
            <w:r>
              <w:rPr>
                <w:rFonts w:hint="eastAsia" w:ascii="Times New Roman" w:hAnsi="Times New Roman" w:eastAsia="宋体" w:cs="Times New Roman"/>
                <w:color w:val="auto"/>
                <w:sz w:val="24"/>
                <w:highlight w:val="none"/>
                <w:u w:val="single"/>
                <w:lang w:val="en-US" w:eastAsia="zh-CN"/>
              </w:rPr>
              <w:t>3000吨级、5000吨级及</w:t>
            </w:r>
            <w:r>
              <w:rPr>
                <w:rFonts w:hint="eastAsia" w:ascii="Times New Roman" w:hAnsi="Times New Roman" w:eastAsia="宋体" w:cs="Times New Roman"/>
                <w:color w:val="auto"/>
                <w:sz w:val="24"/>
                <w:highlight w:val="none"/>
                <w:u w:val="single"/>
                <w:lang w:eastAsia="zh-CN"/>
              </w:rPr>
              <w:t>5</w:t>
            </w:r>
            <w:r>
              <w:rPr>
                <w:rFonts w:hint="eastAsia" w:ascii="Times New Roman" w:hAnsi="Times New Roman" w:eastAsia="宋体" w:cs="Times New Roman"/>
                <w:color w:val="auto"/>
                <w:sz w:val="24"/>
                <w:highlight w:val="none"/>
                <w:u w:val="single"/>
                <w:lang w:val="en-US" w:eastAsia="zh-CN"/>
              </w:rPr>
              <w:t>0000吨级的液化烃船舶</w:t>
            </w:r>
            <w:r>
              <w:rPr>
                <w:rFonts w:hint="eastAsia" w:ascii="Times New Roman" w:hAnsi="Times New Roman" w:eastAsia="宋体" w:cs="Times New Roman"/>
                <w:color w:val="auto"/>
                <w:sz w:val="24"/>
                <w:highlight w:val="none"/>
                <w:u w:val="single"/>
                <w:lang w:eastAsia="zh-CN"/>
              </w:rPr>
              <w:t>。设计船型主尺寸见表2.1-</w:t>
            </w:r>
            <w:r>
              <w:rPr>
                <w:rFonts w:hint="eastAsia" w:ascii="Times New Roman" w:hAnsi="Times New Roman" w:eastAsia="宋体" w:cs="Times New Roman"/>
                <w:color w:val="auto"/>
                <w:sz w:val="24"/>
                <w:highlight w:val="none"/>
                <w:u w:val="single"/>
                <w:lang w:val="en-US" w:eastAsia="zh-CN"/>
              </w:rPr>
              <w:t>4</w:t>
            </w:r>
            <w:r>
              <w:rPr>
                <w:rFonts w:hint="eastAsia" w:ascii="Times New Roman" w:hAnsi="Times New Roman" w:eastAsia="宋体" w:cs="Times New Roman"/>
                <w:color w:val="auto"/>
                <w:sz w:val="24"/>
                <w:highlight w:val="none"/>
                <w:u w:val="single"/>
                <w:lang w:eastAsia="zh-CN"/>
              </w:rPr>
              <w:t>，</w:t>
            </w:r>
            <w:r>
              <w:rPr>
                <w:rFonts w:hint="eastAsia" w:ascii="Times New Roman" w:hAnsi="Times New Roman" w:eastAsia="宋体" w:cs="Times New Roman"/>
                <w:color w:val="auto"/>
                <w:sz w:val="24"/>
                <w:highlight w:val="none"/>
                <w:u w:val="single"/>
                <w:lang w:val="en-US" w:eastAsia="zh-CN"/>
              </w:rPr>
              <w:t>货种年吞吐量见表2.1-5</w:t>
            </w:r>
            <w:r>
              <w:rPr>
                <w:rFonts w:hint="eastAsia" w:ascii="Times New Roman" w:hAnsi="Times New Roman" w:eastAsia="宋体" w:cs="Times New Roman"/>
                <w:color w:val="auto"/>
                <w:sz w:val="24"/>
                <w:highlight w:val="none"/>
                <w:u w:val="single"/>
                <w:lang w:eastAsia="zh-CN"/>
              </w:rPr>
              <w:t>。</w:t>
            </w:r>
          </w:p>
          <w:p w14:paraId="55032B15">
            <w:pPr>
              <w:pStyle w:val="6"/>
              <w:numPr>
                <w:ilvl w:val="0"/>
                <w:numId w:val="0"/>
              </w:numPr>
              <w:bidi w:val="0"/>
              <w:ind w:leftChars="0"/>
              <w:jc w:val="center"/>
              <w:rPr>
                <w:color w:val="auto"/>
                <w:highlight w:val="none"/>
                <w:u w:val="single"/>
              </w:rPr>
            </w:pPr>
            <w:r>
              <w:rPr>
                <w:rFonts w:hint="eastAsia"/>
                <w:color w:val="auto"/>
                <w:highlight w:val="none"/>
                <w:u w:val="single"/>
                <w:lang w:val="en-US" w:eastAsia="zh-CN"/>
              </w:rPr>
              <w:t>表2.2-2</w:t>
            </w:r>
            <w:r>
              <w:rPr>
                <w:color w:val="auto"/>
                <w:highlight w:val="none"/>
                <w:u w:val="single"/>
              </w:rPr>
              <w:t>设计船型主尺度表</w:t>
            </w:r>
          </w:p>
          <w:tbl>
            <w:tblPr>
              <w:tblStyle w:val="2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79"/>
              <w:gridCol w:w="1379"/>
              <w:gridCol w:w="954"/>
              <w:gridCol w:w="970"/>
              <w:gridCol w:w="983"/>
              <w:gridCol w:w="1471"/>
              <w:gridCol w:w="1246"/>
            </w:tblGrid>
            <w:tr w14:paraId="2F56F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822" w:type="pct"/>
                  <w:vMerge w:val="restart"/>
                  <w:tcBorders>
                    <w:tl2br w:val="nil"/>
                    <w:tr2bl w:val="nil"/>
                  </w:tcBorders>
                  <w:noWrap w:val="0"/>
                  <w:vAlign w:val="center"/>
                </w:tcPr>
                <w:p w14:paraId="12F1B9C2">
                  <w:pPr>
                    <w:spacing w:line="240" w:lineRule="auto"/>
                    <w:ind w:firstLine="0" w:firstLineChars="0"/>
                    <w:jc w:val="center"/>
                    <w:rPr>
                      <w:rFonts w:hint="eastAsia" w:eastAsia="宋体"/>
                      <w:b/>
                      <w:bCs/>
                      <w:color w:val="auto"/>
                      <w:spacing w:val="-1"/>
                      <w:sz w:val="21"/>
                      <w:szCs w:val="21"/>
                      <w:highlight w:val="none"/>
                      <w:u w:val="single"/>
                      <w:lang w:val="en-US" w:eastAsia="zh-CN"/>
                    </w:rPr>
                  </w:pPr>
                  <w:r>
                    <w:rPr>
                      <w:rFonts w:hint="eastAsia"/>
                      <w:b/>
                      <w:bCs/>
                      <w:color w:val="auto"/>
                      <w:spacing w:val="-1"/>
                      <w:sz w:val="21"/>
                      <w:szCs w:val="21"/>
                      <w:highlight w:val="none"/>
                      <w:u w:val="single"/>
                      <w:lang w:val="en-US" w:eastAsia="zh-CN"/>
                    </w:rPr>
                    <w:t>类别</w:t>
                  </w:r>
                </w:p>
              </w:tc>
              <w:tc>
                <w:tcPr>
                  <w:tcW w:w="822" w:type="pct"/>
                  <w:vMerge w:val="restart"/>
                  <w:tcBorders>
                    <w:tl2br w:val="nil"/>
                    <w:tr2bl w:val="nil"/>
                  </w:tcBorders>
                  <w:noWrap w:val="0"/>
                  <w:vAlign w:val="center"/>
                </w:tcPr>
                <w:p w14:paraId="3C815013">
                  <w:pPr>
                    <w:spacing w:line="240" w:lineRule="auto"/>
                    <w:ind w:firstLine="0" w:firstLineChars="0"/>
                    <w:jc w:val="center"/>
                    <w:rPr>
                      <w:rFonts w:hint="eastAsia" w:eastAsia="宋体"/>
                      <w:b/>
                      <w:bCs/>
                      <w:color w:val="auto"/>
                      <w:sz w:val="21"/>
                      <w:szCs w:val="21"/>
                      <w:highlight w:val="none"/>
                      <w:u w:val="single"/>
                      <w:lang w:eastAsia="zh-CN"/>
                    </w:rPr>
                  </w:pPr>
                  <w:r>
                    <w:rPr>
                      <w:b/>
                      <w:bCs/>
                      <w:color w:val="auto"/>
                      <w:spacing w:val="-1"/>
                      <w:sz w:val="21"/>
                      <w:szCs w:val="21"/>
                      <w:highlight w:val="none"/>
                      <w:u w:val="single"/>
                    </w:rPr>
                    <w:t>船舶吨</w:t>
                  </w:r>
                  <w:r>
                    <w:rPr>
                      <w:b/>
                      <w:bCs/>
                      <w:color w:val="auto"/>
                      <w:sz w:val="21"/>
                      <w:szCs w:val="21"/>
                      <w:highlight w:val="none"/>
                      <w:u w:val="single"/>
                    </w:rPr>
                    <w:t>级</w:t>
                  </w:r>
                  <w:r>
                    <w:rPr>
                      <w:rFonts w:hint="eastAsia"/>
                      <w:b/>
                      <w:bCs/>
                      <w:color w:val="auto"/>
                      <w:sz w:val="21"/>
                      <w:szCs w:val="21"/>
                      <w:highlight w:val="none"/>
                      <w:u w:val="single"/>
                      <w:lang w:val="en-US" w:eastAsia="zh-CN"/>
                    </w:rPr>
                    <w:t>GT</w:t>
                  </w:r>
                </w:p>
              </w:tc>
              <w:tc>
                <w:tcPr>
                  <w:tcW w:w="2610" w:type="pct"/>
                  <w:gridSpan w:val="4"/>
                  <w:tcBorders>
                    <w:tl2br w:val="nil"/>
                    <w:tr2bl w:val="nil"/>
                  </w:tcBorders>
                  <w:noWrap w:val="0"/>
                  <w:vAlign w:val="center"/>
                </w:tcPr>
                <w:p w14:paraId="364B72D8">
                  <w:pPr>
                    <w:spacing w:line="240" w:lineRule="auto"/>
                    <w:ind w:firstLine="0" w:firstLineChars="0"/>
                    <w:jc w:val="center"/>
                    <w:rPr>
                      <w:b/>
                      <w:bCs/>
                      <w:color w:val="auto"/>
                      <w:sz w:val="21"/>
                      <w:szCs w:val="21"/>
                      <w:highlight w:val="none"/>
                      <w:u w:val="single"/>
                    </w:rPr>
                  </w:pPr>
                  <w:r>
                    <w:rPr>
                      <w:b/>
                      <w:bCs/>
                      <w:color w:val="auto"/>
                      <w:sz w:val="21"/>
                      <w:szCs w:val="21"/>
                      <w:highlight w:val="none"/>
                      <w:u w:val="single"/>
                    </w:rPr>
                    <w:t>船型主尺度（m）</w:t>
                  </w:r>
                </w:p>
              </w:tc>
              <w:tc>
                <w:tcPr>
                  <w:tcW w:w="743" w:type="pct"/>
                  <w:vMerge w:val="restart"/>
                  <w:tcBorders>
                    <w:tl2br w:val="nil"/>
                    <w:tr2bl w:val="nil"/>
                  </w:tcBorders>
                  <w:noWrap w:val="0"/>
                  <w:vAlign w:val="center"/>
                </w:tcPr>
                <w:p w14:paraId="4D52B014">
                  <w:pPr>
                    <w:spacing w:line="240" w:lineRule="auto"/>
                    <w:ind w:firstLine="0" w:firstLineChars="0"/>
                    <w:jc w:val="center"/>
                    <w:rPr>
                      <w:b/>
                      <w:bCs/>
                      <w:color w:val="auto"/>
                      <w:sz w:val="21"/>
                      <w:szCs w:val="21"/>
                      <w:highlight w:val="none"/>
                      <w:u w:val="single"/>
                    </w:rPr>
                  </w:pPr>
                  <w:r>
                    <w:rPr>
                      <w:b/>
                      <w:bCs/>
                      <w:color w:val="auto"/>
                      <w:spacing w:val="-1"/>
                      <w:sz w:val="21"/>
                      <w:szCs w:val="21"/>
                      <w:highlight w:val="none"/>
                      <w:u w:val="single"/>
                    </w:rPr>
                    <w:t>备注</w:t>
                  </w:r>
                </w:p>
              </w:tc>
            </w:tr>
            <w:tr w14:paraId="7754A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822" w:type="pct"/>
                  <w:vMerge w:val="continue"/>
                  <w:tcBorders>
                    <w:tl2br w:val="nil"/>
                    <w:tr2bl w:val="nil"/>
                  </w:tcBorders>
                  <w:noWrap w:val="0"/>
                  <w:vAlign w:val="center"/>
                </w:tcPr>
                <w:p w14:paraId="43061AF9">
                  <w:pPr>
                    <w:spacing w:line="240" w:lineRule="auto"/>
                    <w:ind w:firstLine="0" w:firstLineChars="0"/>
                    <w:jc w:val="center"/>
                    <w:rPr>
                      <w:b/>
                      <w:bCs/>
                      <w:color w:val="auto"/>
                      <w:sz w:val="21"/>
                      <w:szCs w:val="21"/>
                      <w:highlight w:val="none"/>
                      <w:u w:val="single"/>
                    </w:rPr>
                  </w:pPr>
                </w:p>
              </w:tc>
              <w:tc>
                <w:tcPr>
                  <w:tcW w:w="822" w:type="pct"/>
                  <w:vMerge w:val="continue"/>
                  <w:tcBorders>
                    <w:tl2br w:val="nil"/>
                    <w:tr2bl w:val="nil"/>
                  </w:tcBorders>
                  <w:noWrap w:val="0"/>
                  <w:vAlign w:val="center"/>
                </w:tcPr>
                <w:p w14:paraId="4DA4F031">
                  <w:pPr>
                    <w:spacing w:line="240" w:lineRule="auto"/>
                    <w:ind w:firstLine="0" w:firstLineChars="0"/>
                    <w:jc w:val="center"/>
                    <w:rPr>
                      <w:b/>
                      <w:bCs/>
                      <w:color w:val="auto"/>
                      <w:sz w:val="21"/>
                      <w:szCs w:val="21"/>
                      <w:highlight w:val="none"/>
                      <w:u w:val="single"/>
                    </w:rPr>
                  </w:pPr>
                </w:p>
              </w:tc>
              <w:tc>
                <w:tcPr>
                  <w:tcW w:w="569" w:type="pct"/>
                  <w:tcBorders>
                    <w:tl2br w:val="nil"/>
                    <w:tr2bl w:val="nil"/>
                  </w:tcBorders>
                  <w:noWrap w:val="0"/>
                  <w:vAlign w:val="center"/>
                </w:tcPr>
                <w:p w14:paraId="19199F9D">
                  <w:pPr>
                    <w:spacing w:line="240" w:lineRule="auto"/>
                    <w:ind w:firstLine="0" w:firstLineChars="0"/>
                    <w:jc w:val="center"/>
                    <w:rPr>
                      <w:b/>
                      <w:bCs/>
                      <w:color w:val="auto"/>
                      <w:sz w:val="21"/>
                      <w:szCs w:val="21"/>
                      <w:highlight w:val="none"/>
                      <w:u w:val="single"/>
                    </w:rPr>
                  </w:pPr>
                  <w:r>
                    <w:rPr>
                      <w:b/>
                      <w:bCs/>
                      <w:color w:val="auto"/>
                      <w:spacing w:val="-6"/>
                      <w:sz w:val="21"/>
                      <w:szCs w:val="21"/>
                      <w:highlight w:val="none"/>
                      <w:u w:val="single"/>
                    </w:rPr>
                    <w:t>总长L</w:t>
                  </w:r>
                </w:p>
              </w:tc>
              <w:tc>
                <w:tcPr>
                  <w:tcW w:w="578" w:type="pct"/>
                  <w:tcBorders>
                    <w:tl2br w:val="nil"/>
                    <w:tr2bl w:val="nil"/>
                  </w:tcBorders>
                  <w:noWrap w:val="0"/>
                  <w:vAlign w:val="center"/>
                </w:tcPr>
                <w:p w14:paraId="10B74E35">
                  <w:pPr>
                    <w:spacing w:line="240" w:lineRule="auto"/>
                    <w:ind w:firstLine="0" w:firstLineChars="0"/>
                    <w:jc w:val="center"/>
                    <w:rPr>
                      <w:b/>
                      <w:bCs/>
                      <w:color w:val="auto"/>
                      <w:sz w:val="21"/>
                      <w:szCs w:val="21"/>
                      <w:highlight w:val="none"/>
                      <w:u w:val="single"/>
                    </w:rPr>
                  </w:pPr>
                  <w:r>
                    <w:rPr>
                      <w:b/>
                      <w:bCs/>
                      <w:color w:val="auto"/>
                      <w:spacing w:val="-7"/>
                      <w:sz w:val="21"/>
                      <w:szCs w:val="21"/>
                      <w:highlight w:val="none"/>
                      <w:u w:val="single"/>
                    </w:rPr>
                    <w:t>型</w:t>
                  </w:r>
                  <w:r>
                    <w:rPr>
                      <w:b/>
                      <w:bCs/>
                      <w:color w:val="auto"/>
                      <w:spacing w:val="-5"/>
                      <w:sz w:val="21"/>
                      <w:szCs w:val="21"/>
                      <w:highlight w:val="none"/>
                      <w:u w:val="single"/>
                    </w:rPr>
                    <w:t>宽B</w:t>
                  </w:r>
                </w:p>
              </w:tc>
              <w:tc>
                <w:tcPr>
                  <w:tcW w:w="586" w:type="pct"/>
                  <w:tcBorders>
                    <w:tl2br w:val="nil"/>
                    <w:tr2bl w:val="nil"/>
                  </w:tcBorders>
                  <w:noWrap w:val="0"/>
                  <w:vAlign w:val="center"/>
                </w:tcPr>
                <w:p w14:paraId="70F5439B">
                  <w:pPr>
                    <w:spacing w:line="240" w:lineRule="auto"/>
                    <w:ind w:firstLine="0" w:firstLineChars="0"/>
                    <w:jc w:val="center"/>
                    <w:rPr>
                      <w:b/>
                      <w:bCs/>
                      <w:color w:val="auto"/>
                      <w:sz w:val="21"/>
                      <w:szCs w:val="21"/>
                      <w:highlight w:val="none"/>
                      <w:u w:val="single"/>
                    </w:rPr>
                  </w:pPr>
                  <w:r>
                    <w:rPr>
                      <w:b/>
                      <w:bCs/>
                      <w:color w:val="auto"/>
                      <w:spacing w:val="-7"/>
                      <w:sz w:val="21"/>
                      <w:szCs w:val="21"/>
                      <w:highlight w:val="none"/>
                      <w:u w:val="single"/>
                    </w:rPr>
                    <w:t>型</w:t>
                  </w:r>
                  <w:r>
                    <w:rPr>
                      <w:b/>
                      <w:bCs/>
                      <w:color w:val="auto"/>
                      <w:spacing w:val="-5"/>
                      <w:sz w:val="21"/>
                      <w:szCs w:val="21"/>
                      <w:highlight w:val="none"/>
                      <w:u w:val="single"/>
                    </w:rPr>
                    <w:t>深H</w:t>
                  </w:r>
                </w:p>
              </w:tc>
              <w:tc>
                <w:tcPr>
                  <w:tcW w:w="875" w:type="pct"/>
                  <w:tcBorders>
                    <w:tl2br w:val="nil"/>
                    <w:tr2bl w:val="nil"/>
                  </w:tcBorders>
                  <w:noWrap w:val="0"/>
                  <w:vAlign w:val="center"/>
                </w:tcPr>
                <w:p w14:paraId="1785ED37">
                  <w:pPr>
                    <w:spacing w:line="240" w:lineRule="auto"/>
                    <w:ind w:firstLine="0" w:firstLineChars="0"/>
                    <w:jc w:val="center"/>
                    <w:rPr>
                      <w:b/>
                      <w:bCs/>
                      <w:color w:val="auto"/>
                      <w:sz w:val="21"/>
                      <w:szCs w:val="21"/>
                      <w:highlight w:val="none"/>
                      <w:u w:val="single"/>
                    </w:rPr>
                  </w:pPr>
                  <w:r>
                    <w:rPr>
                      <w:b/>
                      <w:bCs/>
                      <w:color w:val="auto"/>
                      <w:spacing w:val="-4"/>
                      <w:sz w:val="21"/>
                      <w:szCs w:val="21"/>
                      <w:highlight w:val="none"/>
                      <w:u w:val="single"/>
                    </w:rPr>
                    <w:t>满载</w:t>
                  </w:r>
                  <w:r>
                    <w:rPr>
                      <w:b/>
                      <w:bCs/>
                      <w:color w:val="auto"/>
                      <w:spacing w:val="-2"/>
                      <w:sz w:val="21"/>
                      <w:szCs w:val="21"/>
                      <w:highlight w:val="none"/>
                      <w:u w:val="single"/>
                    </w:rPr>
                    <w:t>吃水T</w:t>
                  </w:r>
                </w:p>
              </w:tc>
              <w:tc>
                <w:tcPr>
                  <w:tcW w:w="743" w:type="pct"/>
                  <w:vMerge w:val="continue"/>
                  <w:tcBorders>
                    <w:tl2br w:val="nil"/>
                    <w:tr2bl w:val="nil"/>
                  </w:tcBorders>
                  <w:noWrap w:val="0"/>
                  <w:vAlign w:val="center"/>
                </w:tcPr>
                <w:p w14:paraId="171D29F1">
                  <w:pPr>
                    <w:spacing w:line="240" w:lineRule="auto"/>
                    <w:ind w:firstLine="0" w:firstLineChars="0"/>
                    <w:jc w:val="center"/>
                    <w:rPr>
                      <w:b/>
                      <w:bCs/>
                      <w:color w:val="auto"/>
                      <w:sz w:val="21"/>
                      <w:szCs w:val="21"/>
                      <w:highlight w:val="none"/>
                      <w:u w:val="single"/>
                    </w:rPr>
                  </w:pPr>
                </w:p>
              </w:tc>
            </w:tr>
            <w:tr w14:paraId="6E5F2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restart"/>
                  <w:tcBorders>
                    <w:tl2br w:val="nil"/>
                    <w:tr2bl w:val="nil"/>
                  </w:tcBorders>
                  <w:noWrap w:val="0"/>
                  <w:vAlign w:val="center"/>
                </w:tcPr>
                <w:p w14:paraId="2F3A4728">
                  <w:pPr>
                    <w:spacing w:line="240" w:lineRule="auto"/>
                    <w:ind w:firstLine="0" w:firstLineChars="0"/>
                    <w:jc w:val="center"/>
                    <w:rPr>
                      <w:rFonts w:hint="eastAsia" w:eastAsia="宋体"/>
                      <w:color w:val="auto"/>
                      <w:spacing w:val="-2"/>
                      <w:sz w:val="21"/>
                      <w:szCs w:val="21"/>
                      <w:highlight w:val="none"/>
                      <w:u w:val="single"/>
                      <w:lang w:val="en-US" w:eastAsia="zh-CN"/>
                    </w:rPr>
                  </w:pPr>
                  <w:r>
                    <w:rPr>
                      <w:rFonts w:hint="eastAsia"/>
                      <w:color w:val="auto"/>
                      <w:spacing w:val="-2"/>
                      <w:sz w:val="21"/>
                      <w:szCs w:val="21"/>
                      <w:highlight w:val="none"/>
                      <w:u w:val="single"/>
                      <w:lang w:val="en-US" w:eastAsia="zh-CN"/>
                    </w:rPr>
                    <w:t>丙烷船</w:t>
                  </w:r>
                </w:p>
              </w:tc>
              <w:tc>
                <w:tcPr>
                  <w:tcW w:w="822" w:type="pct"/>
                  <w:tcBorders>
                    <w:tl2br w:val="nil"/>
                    <w:tr2bl w:val="nil"/>
                  </w:tcBorders>
                  <w:noWrap w:val="0"/>
                  <w:vAlign w:val="center"/>
                </w:tcPr>
                <w:p w14:paraId="223B0F47">
                  <w:pPr>
                    <w:spacing w:line="240" w:lineRule="auto"/>
                    <w:ind w:firstLine="0" w:firstLineChars="0"/>
                    <w:jc w:val="center"/>
                    <w:rPr>
                      <w:color w:val="auto"/>
                      <w:sz w:val="21"/>
                      <w:szCs w:val="21"/>
                      <w:highlight w:val="none"/>
                      <w:u w:val="single"/>
                    </w:rPr>
                  </w:pPr>
                  <w:r>
                    <w:rPr>
                      <w:color w:val="auto"/>
                      <w:spacing w:val="-2"/>
                      <w:sz w:val="21"/>
                      <w:szCs w:val="21"/>
                      <w:highlight w:val="none"/>
                      <w:u w:val="single"/>
                    </w:rPr>
                    <w:t>500</w:t>
                  </w:r>
                  <w:r>
                    <w:rPr>
                      <w:color w:val="auto"/>
                      <w:spacing w:val="-1"/>
                      <w:sz w:val="21"/>
                      <w:szCs w:val="21"/>
                      <w:highlight w:val="none"/>
                      <w:u w:val="single"/>
                    </w:rPr>
                    <w:t>00</w:t>
                  </w:r>
                </w:p>
              </w:tc>
              <w:tc>
                <w:tcPr>
                  <w:tcW w:w="569" w:type="pct"/>
                  <w:tcBorders>
                    <w:tl2br w:val="nil"/>
                    <w:tr2bl w:val="nil"/>
                  </w:tcBorders>
                  <w:noWrap w:val="0"/>
                  <w:vAlign w:val="center"/>
                </w:tcPr>
                <w:p w14:paraId="077F1FD9">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pacing w:val="-1"/>
                      <w:sz w:val="21"/>
                      <w:szCs w:val="21"/>
                      <w:highlight w:val="none"/>
                      <w:u w:val="single"/>
                      <w:lang w:val="en-US" w:eastAsia="zh-CN"/>
                    </w:rPr>
                    <w:t>230</w:t>
                  </w:r>
                </w:p>
              </w:tc>
              <w:tc>
                <w:tcPr>
                  <w:tcW w:w="578" w:type="pct"/>
                  <w:tcBorders>
                    <w:tl2br w:val="nil"/>
                    <w:tr2bl w:val="nil"/>
                  </w:tcBorders>
                  <w:noWrap w:val="0"/>
                  <w:vAlign w:val="center"/>
                </w:tcPr>
                <w:p w14:paraId="40FFDAF5">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pacing w:val="-2"/>
                      <w:sz w:val="21"/>
                      <w:szCs w:val="21"/>
                      <w:highlight w:val="none"/>
                      <w:u w:val="single"/>
                      <w:lang w:val="en-US" w:eastAsia="zh-CN"/>
                    </w:rPr>
                    <w:t>36.7</w:t>
                  </w:r>
                </w:p>
              </w:tc>
              <w:tc>
                <w:tcPr>
                  <w:tcW w:w="586" w:type="pct"/>
                  <w:tcBorders>
                    <w:tl2br w:val="nil"/>
                    <w:tr2bl w:val="nil"/>
                  </w:tcBorders>
                  <w:noWrap w:val="0"/>
                  <w:vAlign w:val="center"/>
                </w:tcPr>
                <w:p w14:paraId="7143A44F">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pacing w:val="-8"/>
                      <w:sz w:val="21"/>
                      <w:szCs w:val="21"/>
                      <w:highlight w:val="none"/>
                      <w:u w:val="single"/>
                      <w:lang w:val="en-US" w:eastAsia="zh-CN"/>
                    </w:rPr>
                    <w:t>22.8</w:t>
                  </w:r>
                </w:p>
              </w:tc>
              <w:tc>
                <w:tcPr>
                  <w:tcW w:w="875" w:type="pct"/>
                  <w:tcBorders>
                    <w:tl2br w:val="nil"/>
                    <w:tr2bl w:val="nil"/>
                  </w:tcBorders>
                  <w:noWrap w:val="0"/>
                  <w:vAlign w:val="center"/>
                </w:tcPr>
                <w:p w14:paraId="4734B918">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pacing w:val="-8"/>
                      <w:sz w:val="21"/>
                      <w:szCs w:val="21"/>
                      <w:highlight w:val="none"/>
                      <w:u w:val="single"/>
                      <w:lang w:val="en-US" w:eastAsia="zh-CN"/>
                    </w:rPr>
                    <w:t>13.6</w:t>
                  </w:r>
                </w:p>
              </w:tc>
              <w:tc>
                <w:tcPr>
                  <w:tcW w:w="743" w:type="pct"/>
                  <w:tcBorders>
                    <w:tl2br w:val="nil"/>
                    <w:tr2bl w:val="nil"/>
                  </w:tcBorders>
                  <w:noWrap w:val="0"/>
                  <w:vAlign w:val="center"/>
                </w:tcPr>
                <w:p w14:paraId="5A9B6DD8">
                  <w:pPr>
                    <w:spacing w:line="240" w:lineRule="auto"/>
                    <w:ind w:firstLine="0" w:firstLineChars="0"/>
                    <w:jc w:val="center"/>
                    <w:rPr>
                      <w:color w:val="auto"/>
                      <w:sz w:val="21"/>
                      <w:szCs w:val="21"/>
                      <w:highlight w:val="none"/>
                      <w:u w:val="single"/>
                    </w:rPr>
                  </w:pPr>
                  <w:r>
                    <w:rPr>
                      <w:color w:val="auto"/>
                      <w:spacing w:val="-1"/>
                      <w:sz w:val="21"/>
                      <w:szCs w:val="21"/>
                      <w:highlight w:val="none"/>
                      <w:u w:val="single"/>
                    </w:rPr>
                    <w:t>设计</w:t>
                  </w:r>
                  <w:r>
                    <w:rPr>
                      <w:color w:val="auto"/>
                      <w:sz w:val="21"/>
                      <w:szCs w:val="21"/>
                      <w:highlight w:val="none"/>
                      <w:u w:val="single"/>
                    </w:rPr>
                    <w:t>船型</w:t>
                  </w:r>
                </w:p>
              </w:tc>
            </w:tr>
            <w:tr w14:paraId="34138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continue"/>
                  <w:tcBorders>
                    <w:tl2br w:val="nil"/>
                    <w:tr2bl w:val="nil"/>
                  </w:tcBorders>
                  <w:noWrap w:val="0"/>
                  <w:vAlign w:val="center"/>
                </w:tcPr>
                <w:p w14:paraId="38FF2FCF">
                  <w:pPr>
                    <w:spacing w:line="240" w:lineRule="auto"/>
                    <w:ind w:firstLine="0" w:firstLineChars="0"/>
                    <w:jc w:val="center"/>
                    <w:rPr>
                      <w:rFonts w:hint="eastAsia"/>
                      <w:color w:val="auto"/>
                      <w:spacing w:val="-2"/>
                      <w:sz w:val="21"/>
                      <w:szCs w:val="21"/>
                      <w:highlight w:val="none"/>
                      <w:u w:val="single"/>
                      <w:lang w:val="en-US" w:eastAsia="zh-CN"/>
                    </w:rPr>
                  </w:pPr>
                </w:p>
              </w:tc>
              <w:tc>
                <w:tcPr>
                  <w:tcW w:w="822" w:type="pct"/>
                  <w:tcBorders>
                    <w:tl2br w:val="nil"/>
                    <w:tr2bl w:val="nil"/>
                  </w:tcBorders>
                  <w:noWrap w:val="0"/>
                  <w:vAlign w:val="center"/>
                </w:tcPr>
                <w:p w14:paraId="0227B55F">
                  <w:pPr>
                    <w:spacing w:line="240" w:lineRule="auto"/>
                    <w:ind w:firstLine="0" w:firstLineChars="0"/>
                    <w:jc w:val="center"/>
                    <w:rPr>
                      <w:rFonts w:hint="default" w:eastAsia="宋体"/>
                      <w:color w:val="auto"/>
                      <w:spacing w:val="-2"/>
                      <w:sz w:val="21"/>
                      <w:szCs w:val="21"/>
                      <w:highlight w:val="none"/>
                      <w:u w:val="single"/>
                      <w:lang w:val="en-US" w:eastAsia="zh-CN"/>
                    </w:rPr>
                  </w:pPr>
                  <w:r>
                    <w:rPr>
                      <w:rFonts w:hint="eastAsia"/>
                      <w:color w:val="auto"/>
                      <w:spacing w:val="-2"/>
                      <w:sz w:val="21"/>
                      <w:szCs w:val="21"/>
                      <w:highlight w:val="none"/>
                      <w:u w:val="single"/>
                      <w:lang w:val="en-US" w:eastAsia="zh-CN"/>
                    </w:rPr>
                    <w:t>30000</w:t>
                  </w:r>
                </w:p>
              </w:tc>
              <w:tc>
                <w:tcPr>
                  <w:tcW w:w="569" w:type="pct"/>
                  <w:tcBorders>
                    <w:tl2br w:val="nil"/>
                    <w:tr2bl w:val="nil"/>
                  </w:tcBorders>
                  <w:noWrap w:val="0"/>
                  <w:vAlign w:val="center"/>
                </w:tcPr>
                <w:p w14:paraId="6F5ECC92">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230</w:t>
                  </w:r>
                </w:p>
              </w:tc>
              <w:tc>
                <w:tcPr>
                  <w:tcW w:w="578" w:type="pct"/>
                  <w:tcBorders>
                    <w:tl2br w:val="nil"/>
                    <w:tr2bl w:val="nil"/>
                  </w:tcBorders>
                  <w:noWrap w:val="0"/>
                  <w:vAlign w:val="center"/>
                </w:tcPr>
                <w:p w14:paraId="03BA590A">
                  <w:pPr>
                    <w:spacing w:line="240" w:lineRule="auto"/>
                    <w:ind w:firstLine="0" w:firstLineChars="0"/>
                    <w:jc w:val="center"/>
                    <w:rPr>
                      <w:rFonts w:hint="default"/>
                      <w:color w:val="auto"/>
                      <w:spacing w:val="-2"/>
                      <w:sz w:val="21"/>
                      <w:szCs w:val="21"/>
                      <w:highlight w:val="none"/>
                      <w:u w:val="single"/>
                      <w:lang w:val="en-US" w:eastAsia="zh-CN"/>
                    </w:rPr>
                  </w:pPr>
                  <w:r>
                    <w:rPr>
                      <w:rFonts w:hint="eastAsia"/>
                      <w:color w:val="auto"/>
                      <w:spacing w:val="-2"/>
                      <w:sz w:val="21"/>
                      <w:szCs w:val="21"/>
                      <w:highlight w:val="none"/>
                      <w:u w:val="single"/>
                      <w:lang w:val="en-US" w:eastAsia="zh-CN"/>
                    </w:rPr>
                    <w:t>36.6</w:t>
                  </w:r>
                </w:p>
              </w:tc>
              <w:tc>
                <w:tcPr>
                  <w:tcW w:w="586" w:type="pct"/>
                  <w:tcBorders>
                    <w:tl2br w:val="nil"/>
                    <w:tr2bl w:val="nil"/>
                  </w:tcBorders>
                  <w:noWrap w:val="0"/>
                  <w:vAlign w:val="center"/>
                </w:tcPr>
                <w:p w14:paraId="7FCC2D27">
                  <w:pPr>
                    <w:spacing w:line="240" w:lineRule="auto"/>
                    <w:ind w:firstLine="0" w:firstLineChars="0"/>
                    <w:jc w:val="center"/>
                    <w:rPr>
                      <w:rFonts w:hint="default"/>
                      <w:color w:val="auto"/>
                      <w:spacing w:val="-8"/>
                      <w:sz w:val="21"/>
                      <w:szCs w:val="21"/>
                      <w:highlight w:val="none"/>
                      <w:u w:val="single"/>
                      <w:lang w:val="en-US" w:eastAsia="zh-CN"/>
                    </w:rPr>
                  </w:pPr>
                  <w:r>
                    <w:rPr>
                      <w:rFonts w:hint="eastAsia"/>
                      <w:color w:val="auto"/>
                      <w:spacing w:val="-8"/>
                      <w:sz w:val="21"/>
                      <w:szCs w:val="21"/>
                      <w:highlight w:val="none"/>
                      <w:u w:val="single"/>
                      <w:lang w:val="en-US" w:eastAsia="zh-CN"/>
                    </w:rPr>
                    <w:t>21.6</w:t>
                  </w:r>
                </w:p>
              </w:tc>
              <w:tc>
                <w:tcPr>
                  <w:tcW w:w="875" w:type="pct"/>
                  <w:tcBorders>
                    <w:tl2br w:val="nil"/>
                    <w:tr2bl w:val="nil"/>
                  </w:tcBorders>
                  <w:noWrap w:val="0"/>
                  <w:vAlign w:val="center"/>
                </w:tcPr>
                <w:p w14:paraId="00819128">
                  <w:pPr>
                    <w:spacing w:line="240" w:lineRule="auto"/>
                    <w:ind w:firstLine="0" w:firstLineChars="0"/>
                    <w:jc w:val="center"/>
                    <w:rPr>
                      <w:rFonts w:hint="default"/>
                      <w:color w:val="auto"/>
                      <w:spacing w:val="-8"/>
                      <w:sz w:val="21"/>
                      <w:szCs w:val="21"/>
                      <w:highlight w:val="none"/>
                      <w:u w:val="single"/>
                      <w:lang w:val="en-US" w:eastAsia="zh-CN"/>
                    </w:rPr>
                  </w:pPr>
                  <w:r>
                    <w:rPr>
                      <w:rFonts w:hint="eastAsia"/>
                      <w:color w:val="auto"/>
                      <w:spacing w:val="-8"/>
                      <w:sz w:val="21"/>
                      <w:szCs w:val="21"/>
                      <w:highlight w:val="none"/>
                      <w:u w:val="single"/>
                      <w:lang w:val="en-US" w:eastAsia="zh-CN"/>
                    </w:rPr>
                    <w:t>12.7</w:t>
                  </w:r>
                </w:p>
              </w:tc>
              <w:tc>
                <w:tcPr>
                  <w:tcW w:w="743" w:type="pct"/>
                  <w:vMerge w:val="restart"/>
                  <w:tcBorders>
                    <w:tl2br w:val="nil"/>
                    <w:tr2bl w:val="nil"/>
                  </w:tcBorders>
                  <w:noWrap w:val="0"/>
                  <w:vAlign w:val="center"/>
                </w:tcPr>
                <w:p w14:paraId="6A0ED32F">
                  <w:pPr>
                    <w:spacing w:line="240" w:lineRule="auto"/>
                    <w:ind w:firstLine="0" w:firstLineChars="0"/>
                    <w:jc w:val="center"/>
                    <w:rPr>
                      <w:rFonts w:hint="eastAsia" w:eastAsia="宋体"/>
                      <w:color w:val="auto"/>
                      <w:sz w:val="21"/>
                      <w:szCs w:val="21"/>
                      <w:highlight w:val="none"/>
                      <w:u w:val="single"/>
                      <w:lang w:val="en-US" w:eastAsia="zh-CN"/>
                    </w:rPr>
                  </w:pPr>
                  <w:r>
                    <w:rPr>
                      <w:rFonts w:hint="eastAsia"/>
                      <w:color w:val="auto"/>
                      <w:sz w:val="21"/>
                      <w:szCs w:val="21"/>
                      <w:highlight w:val="none"/>
                      <w:u w:val="single"/>
                      <w:lang w:val="en-US" w:eastAsia="zh-CN"/>
                    </w:rPr>
                    <w:t>兼顾船型</w:t>
                  </w:r>
                </w:p>
              </w:tc>
            </w:tr>
            <w:tr w14:paraId="562A6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continue"/>
                  <w:tcBorders>
                    <w:tl2br w:val="nil"/>
                    <w:tr2bl w:val="nil"/>
                  </w:tcBorders>
                  <w:noWrap w:val="0"/>
                  <w:vAlign w:val="center"/>
                </w:tcPr>
                <w:p w14:paraId="3BAE8162">
                  <w:pPr>
                    <w:spacing w:line="240" w:lineRule="auto"/>
                    <w:ind w:firstLine="0" w:firstLineChars="0"/>
                    <w:jc w:val="center"/>
                    <w:rPr>
                      <w:rFonts w:hint="eastAsia"/>
                      <w:color w:val="auto"/>
                      <w:spacing w:val="-2"/>
                      <w:sz w:val="21"/>
                      <w:szCs w:val="21"/>
                      <w:highlight w:val="none"/>
                      <w:u w:val="single"/>
                      <w:lang w:val="en-US" w:eastAsia="zh-CN"/>
                    </w:rPr>
                  </w:pPr>
                </w:p>
              </w:tc>
              <w:tc>
                <w:tcPr>
                  <w:tcW w:w="822" w:type="pct"/>
                  <w:tcBorders>
                    <w:tl2br w:val="nil"/>
                    <w:tr2bl w:val="nil"/>
                  </w:tcBorders>
                  <w:noWrap w:val="0"/>
                  <w:vAlign w:val="center"/>
                </w:tcPr>
                <w:p w14:paraId="62FA85ED">
                  <w:pPr>
                    <w:spacing w:line="240" w:lineRule="auto"/>
                    <w:ind w:firstLine="0" w:firstLineChars="0"/>
                    <w:jc w:val="center"/>
                    <w:rPr>
                      <w:rFonts w:hint="default" w:eastAsia="宋体"/>
                      <w:color w:val="auto"/>
                      <w:spacing w:val="-2"/>
                      <w:sz w:val="21"/>
                      <w:szCs w:val="21"/>
                      <w:highlight w:val="none"/>
                      <w:u w:val="single"/>
                      <w:lang w:val="en-US" w:eastAsia="zh-CN"/>
                    </w:rPr>
                  </w:pPr>
                  <w:r>
                    <w:rPr>
                      <w:rFonts w:hint="eastAsia"/>
                      <w:color w:val="auto"/>
                      <w:spacing w:val="-2"/>
                      <w:sz w:val="21"/>
                      <w:szCs w:val="21"/>
                      <w:highlight w:val="none"/>
                      <w:u w:val="single"/>
                      <w:lang w:val="en-US" w:eastAsia="zh-CN"/>
                    </w:rPr>
                    <w:t>30000</w:t>
                  </w:r>
                </w:p>
              </w:tc>
              <w:tc>
                <w:tcPr>
                  <w:tcW w:w="569" w:type="pct"/>
                  <w:tcBorders>
                    <w:tl2br w:val="nil"/>
                    <w:tr2bl w:val="nil"/>
                  </w:tcBorders>
                  <w:noWrap w:val="0"/>
                  <w:vAlign w:val="center"/>
                </w:tcPr>
                <w:p w14:paraId="46330B7E">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220</w:t>
                  </w:r>
                </w:p>
              </w:tc>
              <w:tc>
                <w:tcPr>
                  <w:tcW w:w="578" w:type="pct"/>
                  <w:tcBorders>
                    <w:tl2br w:val="nil"/>
                    <w:tr2bl w:val="nil"/>
                  </w:tcBorders>
                  <w:noWrap w:val="0"/>
                  <w:vAlign w:val="center"/>
                </w:tcPr>
                <w:p w14:paraId="2EA12F6A">
                  <w:pPr>
                    <w:spacing w:line="240" w:lineRule="auto"/>
                    <w:ind w:firstLine="0" w:firstLineChars="0"/>
                    <w:jc w:val="center"/>
                    <w:rPr>
                      <w:rFonts w:hint="default"/>
                      <w:color w:val="auto"/>
                      <w:spacing w:val="-2"/>
                      <w:sz w:val="21"/>
                      <w:szCs w:val="21"/>
                      <w:highlight w:val="none"/>
                      <w:u w:val="single"/>
                      <w:lang w:val="en-US" w:eastAsia="zh-CN"/>
                    </w:rPr>
                  </w:pPr>
                  <w:r>
                    <w:rPr>
                      <w:rFonts w:hint="eastAsia"/>
                      <w:color w:val="auto"/>
                      <w:spacing w:val="-2"/>
                      <w:sz w:val="21"/>
                      <w:szCs w:val="21"/>
                      <w:highlight w:val="none"/>
                      <w:u w:val="single"/>
                      <w:lang w:val="en-US" w:eastAsia="zh-CN"/>
                    </w:rPr>
                    <w:t>36.63</w:t>
                  </w:r>
                </w:p>
              </w:tc>
              <w:tc>
                <w:tcPr>
                  <w:tcW w:w="586" w:type="pct"/>
                  <w:tcBorders>
                    <w:tl2br w:val="nil"/>
                    <w:tr2bl w:val="nil"/>
                  </w:tcBorders>
                  <w:noWrap w:val="0"/>
                  <w:vAlign w:val="center"/>
                </w:tcPr>
                <w:p w14:paraId="08E40511">
                  <w:pPr>
                    <w:spacing w:line="240" w:lineRule="auto"/>
                    <w:ind w:firstLine="0" w:firstLineChars="0"/>
                    <w:jc w:val="center"/>
                    <w:rPr>
                      <w:rFonts w:hint="default"/>
                      <w:color w:val="auto"/>
                      <w:spacing w:val="-8"/>
                      <w:sz w:val="21"/>
                      <w:szCs w:val="21"/>
                      <w:highlight w:val="none"/>
                      <w:u w:val="single"/>
                      <w:lang w:val="en-US" w:eastAsia="zh-CN"/>
                    </w:rPr>
                  </w:pPr>
                  <w:r>
                    <w:rPr>
                      <w:rFonts w:hint="eastAsia"/>
                      <w:color w:val="auto"/>
                      <w:spacing w:val="-8"/>
                      <w:sz w:val="21"/>
                      <w:szCs w:val="21"/>
                      <w:highlight w:val="none"/>
                      <w:u w:val="single"/>
                      <w:lang w:val="en-US" w:eastAsia="zh-CN"/>
                    </w:rPr>
                    <w:t>22.22</w:t>
                  </w:r>
                </w:p>
              </w:tc>
              <w:tc>
                <w:tcPr>
                  <w:tcW w:w="875" w:type="pct"/>
                  <w:tcBorders>
                    <w:tl2br w:val="nil"/>
                    <w:tr2bl w:val="nil"/>
                  </w:tcBorders>
                  <w:noWrap w:val="0"/>
                  <w:vAlign w:val="center"/>
                </w:tcPr>
                <w:p w14:paraId="7107526D">
                  <w:pPr>
                    <w:spacing w:line="240" w:lineRule="auto"/>
                    <w:ind w:firstLine="0" w:firstLineChars="0"/>
                    <w:jc w:val="center"/>
                    <w:rPr>
                      <w:rFonts w:hint="default"/>
                      <w:color w:val="auto"/>
                      <w:spacing w:val="-8"/>
                      <w:sz w:val="21"/>
                      <w:szCs w:val="21"/>
                      <w:highlight w:val="none"/>
                      <w:u w:val="single"/>
                      <w:lang w:val="en-US" w:eastAsia="zh-CN"/>
                    </w:rPr>
                  </w:pPr>
                  <w:r>
                    <w:rPr>
                      <w:rFonts w:hint="eastAsia"/>
                      <w:color w:val="auto"/>
                      <w:spacing w:val="-8"/>
                      <w:sz w:val="21"/>
                      <w:szCs w:val="21"/>
                      <w:highlight w:val="none"/>
                      <w:u w:val="single"/>
                      <w:lang w:val="en-US" w:eastAsia="zh-CN"/>
                    </w:rPr>
                    <w:t>11.7</w:t>
                  </w:r>
                </w:p>
              </w:tc>
              <w:tc>
                <w:tcPr>
                  <w:tcW w:w="743" w:type="pct"/>
                  <w:vMerge w:val="continue"/>
                  <w:tcBorders>
                    <w:tl2br w:val="nil"/>
                    <w:tr2bl w:val="nil"/>
                  </w:tcBorders>
                  <w:noWrap w:val="0"/>
                  <w:vAlign w:val="center"/>
                </w:tcPr>
                <w:p w14:paraId="712B2CC7">
                  <w:pPr>
                    <w:spacing w:line="240" w:lineRule="auto"/>
                    <w:ind w:firstLine="0" w:firstLineChars="0"/>
                    <w:jc w:val="center"/>
                    <w:rPr>
                      <w:color w:val="auto"/>
                      <w:spacing w:val="-1"/>
                      <w:sz w:val="21"/>
                      <w:szCs w:val="21"/>
                      <w:highlight w:val="none"/>
                      <w:u w:val="single"/>
                    </w:rPr>
                  </w:pPr>
                </w:p>
              </w:tc>
            </w:tr>
            <w:tr w14:paraId="163EE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continue"/>
                  <w:tcBorders>
                    <w:tl2br w:val="nil"/>
                    <w:tr2bl w:val="nil"/>
                  </w:tcBorders>
                  <w:noWrap w:val="0"/>
                  <w:vAlign w:val="center"/>
                </w:tcPr>
                <w:p w14:paraId="4E0F3E6B">
                  <w:pPr>
                    <w:spacing w:line="240" w:lineRule="auto"/>
                    <w:ind w:firstLine="0" w:firstLineChars="0"/>
                    <w:jc w:val="center"/>
                    <w:rPr>
                      <w:rFonts w:hint="eastAsia"/>
                      <w:color w:val="auto"/>
                      <w:spacing w:val="-2"/>
                      <w:sz w:val="21"/>
                      <w:szCs w:val="21"/>
                      <w:highlight w:val="none"/>
                      <w:u w:val="single"/>
                      <w:lang w:val="en-US" w:eastAsia="zh-CN"/>
                    </w:rPr>
                  </w:pPr>
                </w:p>
              </w:tc>
              <w:tc>
                <w:tcPr>
                  <w:tcW w:w="822" w:type="pct"/>
                  <w:tcBorders>
                    <w:tl2br w:val="nil"/>
                    <w:tr2bl w:val="nil"/>
                  </w:tcBorders>
                  <w:noWrap w:val="0"/>
                  <w:vAlign w:val="center"/>
                </w:tcPr>
                <w:p w14:paraId="044D4991">
                  <w:pPr>
                    <w:spacing w:line="240" w:lineRule="auto"/>
                    <w:ind w:firstLine="0" w:firstLineChars="0"/>
                    <w:jc w:val="center"/>
                    <w:rPr>
                      <w:rFonts w:hint="default" w:eastAsia="宋体"/>
                      <w:color w:val="auto"/>
                      <w:spacing w:val="-2"/>
                      <w:sz w:val="21"/>
                      <w:szCs w:val="21"/>
                      <w:highlight w:val="none"/>
                      <w:u w:val="single"/>
                      <w:lang w:val="en-US" w:eastAsia="zh-CN"/>
                    </w:rPr>
                  </w:pPr>
                  <w:r>
                    <w:rPr>
                      <w:rFonts w:hint="eastAsia"/>
                      <w:color w:val="auto"/>
                      <w:spacing w:val="-2"/>
                      <w:sz w:val="21"/>
                      <w:szCs w:val="21"/>
                      <w:highlight w:val="none"/>
                      <w:u w:val="single"/>
                      <w:lang w:val="en-US" w:eastAsia="zh-CN"/>
                    </w:rPr>
                    <w:t>20000</w:t>
                  </w:r>
                </w:p>
              </w:tc>
              <w:tc>
                <w:tcPr>
                  <w:tcW w:w="569" w:type="pct"/>
                  <w:tcBorders>
                    <w:tl2br w:val="nil"/>
                    <w:tr2bl w:val="nil"/>
                  </w:tcBorders>
                  <w:noWrap w:val="0"/>
                  <w:vAlign w:val="center"/>
                </w:tcPr>
                <w:p w14:paraId="55A8C3CA">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180</w:t>
                  </w:r>
                </w:p>
              </w:tc>
              <w:tc>
                <w:tcPr>
                  <w:tcW w:w="578" w:type="pct"/>
                  <w:tcBorders>
                    <w:tl2br w:val="nil"/>
                    <w:tr2bl w:val="nil"/>
                  </w:tcBorders>
                  <w:noWrap w:val="0"/>
                  <w:vAlign w:val="center"/>
                </w:tcPr>
                <w:p w14:paraId="4D024E22">
                  <w:pPr>
                    <w:spacing w:line="240" w:lineRule="auto"/>
                    <w:ind w:firstLine="0" w:firstLineChars="0"/>
                    <w:jc w:val="center"/>
                    <w:rPr>
                      <w:rFonts w:hint="default"/>
                      <w:color w:val="auto"/>
                      <w:spacing w:val="-2"/>
                      <w:sz w:val="21"/>
                      <w:szCs w:val="21"/>
                      <w:highlight w:val="none"/>
                      <w:u w:val="single"/>
                      <w:lang w:val="en-US" w:eastAsia="zh-CN"/>
                    </w:rPr>
                  </w:pPr>
                  <w:r>
                    <w:rPr>
                      <w:rFonts w:hint="eastAsia"/>
                      <w:color w:val="auto"/>
                      <w:spacing w:val="-2"/>
                      <w:sz w:val="21"/>
                      <w:szCs w:val="21"/>
                      <w:highlight w:val="none"/>
                      <w:u w:val="single"/>
                      <w:lang w:val="en-US" w:eastAsia="zh-CN"/>
                    </w:rPr>
                    <w:t>28.0</w:t>
                  </w:r>
                </w:p>
              </w:tc>
              <w:tc>
                <w:tcPr>
                  <w:tcW w:w="586" w:type="pct"/>
                  <w:tcBorders>
                    <w:tl2br w:val="nil"/>
                    <w:tr2bl w:val="nil"/>
                  </w:tcBorders>
                  <w:noWrap w:val="0"/>
                  <w:vAlign w:val="center"/>
                </w:tcPr>
                <w:p w14:paraId="5C5BB944">
                  <w:pPr>
                    <w:spacing w:line="240" w:lineRule="auto"/>
                    <w:ind w:firstLine="0" w:firstLineChars="0"/>
                    <w:jc w:val="center"/>
                    <w:rPr>
                      <w:rFonts w:hint="default"/>
                      <w:color w:val="auto"/>
                      <w:spacing w:val="-8"/>
                      <w:sz w:val="21"/>
                      <w:szCs w:val="21"/>
                      <w:highlight w:val="none"/>
                      <w:u w:val="single"/>
                      <w:lang w:val="en-US" w:eastAsia="zh-CN"/>
                    </w:rPr>
                  </w:pPr>
                  <w:r>
                    <w:rPr>
                      <w:rFonts w:hint="eastAsia"/>
                      <w:color w:val="auto"/>
                      <w:spacing w:val="-8"/>
                      <w:sz w:val="21"/>
                      <w:szCs w:val="21"/>
                      <w:highlight w:val="none"/>
                      <w:u w:val="single"/>
                      <w:lang w:val="en-US" w:eastAsia="zh-CN"/>
                    </w:rPr>
                    <w:t>18.2</w:t>
                  </w:r>
                </w:p>
              </w:tc>
              <w:tc>
                <w:tcPr>
                  <w:tcW w:w="875" w:type="pct"/>
                  <w:tcBorders>
                    <w:tl2br w:val="nil"/>
                    <w:tr2bl w:val="nil"/>
                  </w:tcBorders>
                  <w:noWrap w:val="0"/>
                  <w:vAlign w:val="center"/>
                </w:tcPr>
                <w:p w14:paraId="27505F15">
                  <w:pPr>
                    <w:spacing w:line="240" w:lineRule="auto"/>
                    <w:ind w:firstLine="0" w:firstLineChars="0"/>
                    <w:jc w:val="center"/>
                    <w:rPr>
                      <w:rFonts w:hint="default"/>
                      <w:color w:val="auto"/>
                      <w:spacing w:val="-8"/>
                      <w:sz w:val="21"/>
                      <w:szCs w:val="21"/>
                      <w:highlight w:val="none"/>
                      <w:u w:val="single"/>
                      <w:lang w:val="en-US" w:eastAsia="zh-CN"/>
                    </w:rPr>
                  </w:pPr>
                  <w:r>
                    <w:rPr>
                      <w:rFonts w:hint="eastAsia"/>
                      <w:color w:val="auto"/>
                      <w:spacing w:val="-8"/>
                      <w:sz w:val="21"/>
                      <w:szCs w:val="21"/>
                      <w:highlight w:val="none"/>
                      <w:u w:val="single"/>
                      <w:lang w:val="en-US" w:eastAsia="zh-CN"/>
                    </w:rPr>
                    <w:t>11.7</w:t>
                  </w:r>
                </w:p>
              </w:tc>
              <w:tc>
                <w:tcPr>
                  <w:tcW w:w="743" w:type="pct"/>
                  <w:vMerge w:val="continue"/>
                  <w:tcBorders>
                    <w:tl2br w:val="nil"/>
                    <w:tr2bl w:val="nil"/>
                  </w:tcBorders>
                  <w:noWrap w:val="0"/>
                  <w:vAlign w:val="center"/>
                </w:tcPr>
                <w:p w14:paraId="307F7296">
                  <w:pPr>
                    <w:spacing w:line="240" w:lineRule="auto"/>
                    <w:ind w:firstLine="0" w:firstLineChars="0"/>
                    <w:jc w:val="center"/>
                    <w:rPr>
                      <w:color w:val="auto"/>
                      <w:spacing w:val="-1"/>
                      <w:sz w:val="21"/>
                      <w:szCs w:val="21"/>
                      <w:highlight w:val="none"/>
                      <w:u w:val="single"/>
                    </w:rPr>
                  </w:pPr>
                </w:p>
              </w:tc>
            </w:tr>
            <w:tr w14:paraId="53199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continue"/>
                  <w:tcBorders>
                    <w:tl2br w:val="nil"/>
                    <w:tr2bl w:val="nil"/>
                  </w:tcBorders>
                  <w:noWrap w:val="0"/>
                  <w:vAlign w:val="center"/>
                </w:tcPr>
                <w:p w14:paraId="512D2E9E">
                  <w:pPr>
                    <w:spacing w:line="240" w:lineRule="auto"/>
                    <w:ind w:firstLine="0" w:firstLineChars="0"/>
                    <w:jc w:val="center"/>
                    <w:rPr>
                      <w:rFonts w:hint="eastAsia"/>
                      <w:color w:val="auto"/>
                      <w:sz w:val="21"/>
                      <w:szCs w:val="21"/>
                      <w:highlight w:val="none"/>
                      <w:u w:val="single"/>
                      <w:lang w:val="en-US" w:eastAsia="zh-CN"/>
                    </w:rPr>
                  </w:pPr>
                </w:p>
              </w:tc>
              <w:tc>
                <w:tcPr>
                  <w:tcW w:w="822" w:type="pct"/>
                  <w:tcBorders>
                    <w:tl2br w:val="nil"/>
                    <w:tr2bl w:val="nil"/>
                  </w:tcBorders>
                  <w:noWrap w:val="0"/>
                  <w:vAlign w:val="center"/>
                </w:tcPr>
                <w:p w14:paraId="02FAD571">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10000</w:t>
                  </w:r>
                </w:p>
              </w:tc>
              <w:tc>
                <w:tcPr>
                  <w:tcW w:w="569" w:type="pct"/>
                  <w:tcBorders>
                    <w:tl2br w:val="nil"/>
                    <w:tr2bl w:val="nil"/>
                  </w:tcBorders>
                  <w:noWrap w:val="0"/>
                  <w:vAlign w:val="center"/>
                </w:tcPr>
                <w:p w14:paraId="35D551F7">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158</w:t>
                  </w:r>
                </w:p>
              </w:tc>
              <w:tc>
                <w:tcPr>
                  <w:tcW w:w="578" w:type="pct"/>
                  <w:tcBorders>
                    <w:tl2br w:val="nil"/>
                    <w:tr2bl w:val="nil"/>
                  </w:tcBorders>
                  <w:noWrap w:val="0"/>
                  <w:vAlign w:val="center"/>
                </w:tcPr>
                <w:p w14:paraId="4464D78F">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22.0</w:t>
                  </w:r>
                </w:p>
              </w:tc>
              <w:tc>
                <w:tcPr>
                  <w:tcW w:w="586" w:type="pct"/>
                  <w:tcBorders>
                    <w:tl2br w:val="nil"/>
                    <w:tr2bl w:val="nil"/>
                  </w:tcBorders>
                  <w:noWrap w:val="0"/>
                  <w:vAlign w:val="center"/>
                </w:tcPr>
                <w:p w14:paraId="7982E565">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13.9</w:t>
                  </w:r>
                </w:p>
              </w:tc>
              <w:tc>
                <w:tcPr>
                  <w:tcW w:w="875" w:type="pct"/>
                  <w:tcBorders>
                    <w:tl2br w:val="nil"/>
                    <w:tr2bl w:val="nil"/>
                  </w:tcBorders>
                  <w:noWrap w:val="0"/>
                  <w:vAlign w:val="center"/>
                </w:tcPr>
                <w:p w14:paraId="789B6DD7">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9.8</w:t>
                  </w:r>
                </w:p>
              </w:tc>
              <w:tc>
                <w:tcPr>
                  <w:tcW w:w="743" w:type="pct"/>
                  <w:vMerge w:val="continue"/>
                  <w:tcBorders>
                    <w:tl2br w:val="nil"/>
                    <w:tr2bl w:val="nil"/>
                  </w:tcBorders>
                  <w:noWrap w:val="0"/>
                  <w:vAlign w:val="center"/>
                </w:tcPr>
                <w:p w14:paraId="6FBDF908">
                  <w:pPr>
                    <w:spacing w:line="240" w:lineRule="auto"/>
                    <w:ind w:firstLine="0" w:firstLineChars="0"/>
                    <w:jc w:val="center"/>
                    <w:rPr>
                      <w:rFonts w:hint="eastAsia" w:eastAsia="宋体"/>
                      <w:color w:val="auto"/>
                      <w:sz w:val="21"/>
                      <w:szCs w:val="21"/>
                      <w:highlight w:val="none"/>
                      <w:u w:val="single"/>
                      <w:lang w:val="en-US" w:eastAsia="zh-CN"/>
                    </w:rPr>
                  </w:pPr>
                </w:p>
              </w:tc>
            </w:tr>
            <w:tr w14:paraId="3A431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restart"/>
                  <w:tcBorders>
                    <w:tl2br w:val="nil"/>
                    <w:tr2bl w:val="nil"/>
                  </w:tcBorders>
                  <w:noWrap w:val="0"/>
                  <w:vAlign w:val="center"/>
                </w:tcPr>
                <w:p w14:paraId="413D5D26">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丙烷丁烷船</w:t>
                  </w:r>
                </w:p>
              </w:tc>
              <w:tc>
                <w:tcPr>
                  <w:tcW w:w="822" w:type="pct"/>
                  <w:tcBorders>
                    <w:tl2br w:val="nil"/>
                    <w:tr2bl w:val="nil"/>
                  </w:tcBorders>
                  <w:noWrap w:val="0"/>
                  <w:vAlign w:val="center"/>
                </w:tcPr>
                <w:p w14:paraId="7C1BD46F">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50000</w:t>
                  </w:r>
                </w:p>
              </w:tc>
              <w:tc>
                <w:tcPr>
                  <w:tcW w:w="569" w:type="pct"/>
                  <w:tcBorders>
                    <w:tl2br w:val="nil"/>
                    <w:tr2bl w:val="nil"/>
                  </w:tcBorders>
                  <w:noWrap w:val="0"/>
                  <w:vAlign w:val="center"/>
                </w:tcPr>
                <w:p w14:paraId="0C4E767D">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230</w:t>
                  </w:r>
                </w:p>
              </w:tc>
              <w:tc>
                <w:tcPr>
                  <w:tcW w:w="578" w:type="pct"/>
                  <w:tcBorders>
                    <w:tl2br w:val="nil"/>
                    <w:tr2bl w:val="nil"/>
                  </w:tcBorders>
                  <w:noWrap w:val="0"/>
                  <w:vAlign w:val="center"/>
                </w:tcPr>
                <w:p w14:paraId="223FF082">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36.6</w:t>
                  </w:r>
                </w:p>
              </w:tc>
              <w:tc>
                <w:tcPr>
                  <w:tcW w:w="586" w:type="pct"/>
                  <w:tcBorders>
                    <w:tl2br w:val="nil"/>
                    <w:tr2bl w:val="nil"/>
                  </w:tcBorders>
                  <w:noWrap w:val="0"/>
                  <w:vAlign w:val="center"/>
                </w:tcPr>
                <w:p w14:paraId="7570D403">
                  <w:pPr>
                    <w:spacing w:line="240" w:lineRule="auto"/>
                    <w:ind w:firstLine="0" w:firstLineChars="0"/>
                    <w:jc w:val="center"/>
                    <w:rPr>
                      <w:rFonts w:hint="eastAsia"/>
                      <w:color w:val="auto"/>
                      <w:sz w:val="21"/>
                      <w:szCs w:val="21"/>
                      <w:highlight w:val="none"/>
                      <w:u w:val="single"/>
                      <w:lang w:val="en-US" w:eastAsia="zh-CN"/>
                    </w:rPr>
                  </w:pPr>
                </w:p>
              </w:tc>
              <w:tc>
                <w:tcPr>
                  <w:tcW w:w="875" w:type="pct"/>
                  <w:tcBorders>
                    <w:tl2br w:val="nil"/>
                    <w:tr2bl w:val="nil"/>
                  </w:tcBorders>
                  <w:noWrap w:val="0"/>
                  <w:vAlign w:val="center"/>
                </w:tcPr>
                <w:p w14:paraId="3CD3DEB6">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11.5</w:t>
                  </w:r>
                </w:p>
              </w:tc>
              <w:tc>
                <w:tcPr>
                  <w:tcW w:w="743" w:type="pct"/>
                  <w:vMerge w:val="continue"/>
                  <w:tcBorders>
                    <w:tl2br w:val="nil"/>
                    <w:tr2bl w:val="nil"/>
                  </w:tcBorders>
                  <w:noWrap w:val="0"/>
                  <w:vAlign w:val="center"/>
                </w:tcPr>
                <w:p w14:paraId="5908AA9A">
                  <w:pPr>
                    <w:spacing w:line="240" w:lineRule="auto"/>
                    <w:ind w:firstLine="0" w:firstLineChars="0"/>
                    <w:jc w:val="center"/>
                    <w:rPr>
                      <w:rFonts w:hint="eastAsia"/>
                      <w:color w:val="auto"/>
                      <w:sz w:val="21"/>
                      <w:szCs w:val="21"/>
                      <w:highlight w:val="none"/>
                      <w:u w:val="single"/>
                      <w:lang w:val="en-US" w:eastAsia="zh-CN"/>
                    </w:rPr>
                  </w:pPr>
                </w:p>
              </w:tc>
            </w:tr>
            <w:tr w14:paraId="4C1E7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continue"/>
                  <w:tcBorders>
                    <w:tl2br w:val="nil"/>
                    <w:tr2bl w:val="nil"/>
                  </w:tcBorders>
                  <w:noWrap w:val="0"/>
                  <w:vAlign w:val="center"/>
                </w:tcPr>
                <w:p w14:paraId="521A011C">
                  <w:pPr>
                    <w:spacing w:line="240" w:lineRule="auto"/>
                    <w:ind w:firstLine="0" w:firstLineChars="0"/>
                    <w:jc w:val="center"/>
                    <w:rPr>
                      <w:rFonts w:hint="eastAsia"/>
                      <w:color w:val="auto"/>
                      <w:sz w:val="21"/>
                      <w:szCs w:val="21"/>
                      <w:highlight w:val="none"/>
                      <w:u w:val="single"/>
                      <w:lang w:val="en-US" w:eastAsia="zh-CN"/>
                    </w:rPr>
                  </w:pPr>
                </w:p>
              </w:tc>
              <w:tc>
                <w:tcPr>
                  <w:tcW w:w="822" w:type="pct"/>
                  <w:tcBorders>
                    <w:tl2br w:val="nil"/>
                    <w:tr2bl w:val="nil"/>
                  </w:tcBorders>
                  <w:noWrap w:val="0"/>
                  <w:vAlign w:val="center"/>
                </w:tcPr>
                <w:p w14:paraId="43B311C5">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50000</w:t>
                  </w:r>
                </w:p>
              </w:tc>
              <w:tc>
                <w:tcPr>
                  <w:tcW w:w="569" w:type="pct"/>
                  <w:tcBorders>
                    <w:tl2br w:val="nil"/>
                    <w:tr2bl w:val="nil"/>
                  </w:tcBorders>
                  <w:noWrap w:val="0"/>
                  <w:vAlign w:val="center"/>
                </w:tcPr>
                <w:p w14:paraId="4B8B791B">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230</w:t>
                  </w:r>
                </w:p>
              </w:tc>
              <w:tc>
                <w:tcPr>
                  <w:tcW w:w="578" w:type="pct"/>
                  <w:tcBorders>
                    <w:tl2br w:val="nil"/>
                    <w:tr2bl w:val="nil"/>
                  </w:tcBorders>
                  <w:noWrap w:val="0"/>
                  <w:vAlign w:val="center"/>
                </w:tcPr>
                <w:p w14:paraId="14E1D1E6">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36.6</w:t>
                  </w:r>
                </w:p>
              </w:tc>
              <w:tc>
                <w:tcPr>
                  <w:tcW w:w="586" w:type="pct"/>
                  <w:tcBorders>
                    <w:tl2br w:val="nil"/>
                    <w:tr2bl w:val="nil"/>
                  </w:tcBorders>
                  <w:noWrap w:val="0"/>
                  <w:vAlign w:val="center"/>
                </w:tcPr>
                <w:p w14:paraId="08190C20">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22.8</w:t>
                  </w:r>
                </w:p>
              </w:tc>
              <w:tc>
                <w:tcPr>
                  <w:tcW w:w="875" w:type="pct"/>
                  <w:tcBorders>
                    <w:tl2br w:val="nil"/>
                    <w:tr2bl w:val="nil"/>
                  </w:tcBorders>
                  <w:noWrap w:val="0"/>
                  <w:vAlign w:val="center"/>
                </w:tcPr>
                <w:p w14:paraId="7A3CED8B">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11.7</w:t>
                  </w:r>
                </w:p>
              </w:tc>
              <w:tc>
                <w:tcPr>
                  <w:tcW w:w="743" w:type="pct"/>
                  <w:vMerge w:val="continue"/>
                  <w:tcBorders>
                    <w:tl2br w:val="nil"/>
                    <w:tr2bl w:val="nil"/>
                  </w:tcBorders>
                  <w:noWrap w:val="0"/>
                  <w:vAlign w:val="center"/>
                </w:tcPr>
                <w:p w14:paraId="7A9A0B8B">
                  <w:pPr>
                    <w:spacing w:line="240" w:lineRule="auto"/>
                    <w:ind w:firstLine="0" w:firstLineChars="0"/>
                    <w:jc w:val="center"/>
                    <w:rPr>
                      <w:rFonts w:hint="eastAsia"/>
                      <w:color w:val="auto"/>
                      <w:sz w:val="21"/>
                      <w:szCs w:val="21"/>
                      <w:highlight w:val="none"/>
                      <w:u w:val="single"/>
                      <w:lang w:val="en-US" w:eastAsia="zh-CN"/>
                    </w:rPr>
                  </w:pPr>
                </w:p>
              </w:tc>
            </w:tr>
            <w:tr w14:paraId="41FDB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restart"/>
                  <w:tcBorders>
                    <w:tl2br w:val="nil"/>
                    <w:tr2bl w:val="nil"/>
                  </w:tcBorders>
                  <w:noWrap w:val="0"/>
                  <w:vAlign w:val="center"/>
                </w:tcPr>
                <w:p w14:paraId="13F2A2BD">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乙烯船</w:t>
                  </w:r>
                </w:p>
              </w:tc>
              <w:tc>
                <w:tcPr>
                  <w:tcW w:w="822" w:type="pct"/>
                  <w:tcBorders>
                    <w:tl2br w:val="nil"/>
                    <w:tr2bl w:val="nil"/>
                  </w:tcBorders>
                  <w:noWrap w:val="0"/>
                  <w:vAlign w:val="center"/>
                </w:tcPr>
                <w:p w14:paraId="45296C27">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20000</w:t>
                  </w:r>
                </w:p>
              </w:tc>
              <w:tc>
                <w:tcPr>
                  <w:tcW w:w="569" w:type="pct"/>
                  <w:tcBorders>
                    <w:tl2br w:val="nil"/>
                    <w:tr2bl w:val="nil"/>
                  </w:tcBorders>
                  <w:noWrap w:val="0"/>
                  <w:vAlign w:val="center"/>
                </w:tcPr>
                <w:p w14:paraId="56FED960">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180</w:t>
                  </w:r>
                </w:p>
              </w:tc>
              <w:tc>
                <w:tcPr>
                  <w:tcW w:w="578" w:type="pct"/>
                  <w:tcBorders>
                    <w:tl2br w:val="nil"/>
                    <w:tr2bl w:val="nil"/>
                  </w:tcBorders>
                  <w:noWrap w:val="0"/>
                  <w:vAlign w:val="center"/>
                </w:tcPr>
                <w:p w14:paraId="54B5C4F2">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28.0</w:t>
                  </w:r>
                </w:p>
              </w:tc>
              <w:tc>
                <w:tcPr>
                  <w:tcW w:w="586" w:type="pct"/>
                  <w:tcBorders>
                    <w:tl2br w:val="nil"/>
                    <w:tr2bl w:val="nil"/>
                  </w:tcBorders>
                  <w:noWrap w:val="0"/>
                  <w:vAlign w:val="center"/>
                </w:tcPr>
                <w:p w14:paraId="59184EF3">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18.2</w:t>
                  </w:r>
                </w:p>
              </w:tc>
              <w:tc>
                <w:tcPr>
                  <w:tcW w:w="875" w:type="pct"/>
                  <w:tcBorders>
                    <w:tl2br w:val="nil"/>
                    <w:tr2bl w:val="nil"/>
                  </w:tcBorders>
                  <w:noWrap w:val="0"/>
                  <w:vAlign w:val="center"/>
                </w:tcPr>
                <w:p w14:paraId="4417E5F3">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11.7</w:t>
                  </w:r>
                </w:p>
              </w:tc>
              <w:tc>
                <w:tcPr>
                  <w:tcW w:w="743" w:type="pct"/>
                  <w:vMerge w:val="continue"/>
                  <w:tcBorders>
                    <w:tl2br w:val="nil"/>
                    <w:tr2bl w:val="nil"/>
                  </w:tcBorders>
                  <w:noWrap w:val="0"/>
                  <w:vAlign w:val="center"/>
                </w:tcPr>
                <w:p w14:paraId="4A84A8A2">
                  <w:pPr>
                    <w:spacing w:line="240" w:lineRule="auto"/>
                    <w:ind w:firstLine="0" w:firstLineChars="0"/>
                    <w:jc w:val="center"/>
                    <w:rPr>
                      <w:rFonts w:hint="eastAsia"/>
                      <w:color w:val="auto"/>
                      <w:sz w:val="21"/>
                      <w:szCs w:val="21"/>
                      <w:highlight w:val="none"/>
                      <w:u w:val="single"/>
                      <w:lang w:val="en-US" w:eastAsia="zh-CN"/>
                    </w:rPr>
                  </w:pPr>
                </w:p>
              </w:tc>
            </w:tr>
            <w:tr w14:paraId="56059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continue"/>
                  <w:tcBorders>
                    <w:tl2br w:val="nil"/>
                    <w:tr2bl w:val="nil"/>
                  </w:tcBorders>
                  <w:noWrap w:val="0"/>
                  <w:vAlign w:val="center"/>
                </w:tcPr>
                <w:p w14:paraId="353EFDB9">
                  <w:pPr>
                    <w:spacing w:line="240" w:lineRule="auto"/>
                    <w:ind w:firstLine="0" w:firstLineChars="0"/>
                    <w:jc w:val="center"/>
                    <w:rPr>
                      <w:rFonts w:hint="eastAsia"/>
                      <w:color w:val="auto"/>
                      <w:sz w:val="21"/>
                      <w:szCs w:val="21"/>
                      <w:highlight w:val="none"/>
                      <w:u w:val="single"/>
                      <w:lang w:val="en-US" w:eastAsia="zh-CN"/>
                    </w:rPr>
                  </w:pPr>
                </w:p>
              </w:tc>
              <w:tc>
                <w:tcPr>
                  <w:tcW w:w="822" w:type="pct"/>
                  <w:tcBorders>
                    <w:tl2br w:val="nil"/>
                    <w:tr2bl w:val="nil"/>
                  </w:tcBorders>
                  <w:noWrap w:val="0"/>
                  <w:vAlign w:val="center"/>
                </w:tcPr>
                <w:p w14:paraId="76A2F7F4">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20000</w:t>
                  </w:r>
                </w:p>
              </w:tc>
              <w:tc>
                <w:tcPr>
                  <w:tcW w:w="569" w:type="pct"/>
                  <w:tcBorders>
                    <w:tl2br w:val="nil"/>
                    <w:tr2bl w:val="nil"/>
                  </w:tcBorders>
                  <w:noWrap w:val="0"/>
                  <w:vAlign w:val="center"/>
                </w:tcPr>
                <w:p w14:paraId="631DE502">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188</w:t>
                  </w:r>
                </w:p>
              </w:tc>
              <w:tc>
                <w:tcPr>
                  <w:tcW w:w="578" w:type="pct"/>
                  <w:tcBorders>
                    <w:tl2br w:val="nil"/>
                    <w:tr2bl w:val="nil"/>
                  </w:tcBorders>
                  <w:noWrap w:val="0"/>
                  <w:vAlign w:val="center"/>
                </w:tcPr>
                <w:p w14:paraId="50F41BC9">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29</w:t>
                  </w:r>
                </w:p>
              </w:tc>
              <w:tc>
                <w:tcPr>
                  <w:tcW w:w="586" w:type="pct"/>
                  <w:tcBorders>
                    <w:tl2br w:val="nil"/>
                    <w:tr2bl w:val="nil"/>
                  </w:tcBorders>
                  <w:noWrap w:val="0"/>
                  <w:vAlign w:val="center"/>
                </w:tcPr>
                <w:p w14:paraId="656F99FD">
                  <w:pPr>
                    <w:spacing w:line="240" w:lineRule="auto"/>
                    <w:ind w:firstLine="0" w:firstLineChars="0"/>
                    <w:jc w:val="center"/>
                    <w:rPr>
                      <w:rFonts w:hint="eastAsia"/>
                      <w:color w:val="auto"/>
                      <w:sz w:val="21"/>
                      <w:szCs w:val="21"/>
                      <w:highlight w:val="none"/>
                      <w:u w:val="single"/>
                      <w:lang w:val="en-US" w:eastAsia="zh-CN"/>
                    </w:rPr>
                  </w:pPr>
                </w:p>
              </w:tc>
              <w:tc>
                <w:tcPr>
                  <w:tcW w:w="875" w:type="pct"/>
                  <w:tcBorders>
                    <w:tl2br w:val="nil"/>
                    <w:tr2bl w:val="nil"/>
                  </w:tcBorders>
                  <w:noWrap w:val="0"/>
                  <w:vAlign w:val="center"/>
                </w:tcPr>
                <w:p w14:paraId="06CE4176">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10</w:t>
                  </w:r>
                </w:p>
              </w:tc>
              <w:tc>
                <w:tcPr>
                  <w:tcW w:w="743" w:type="pct"/>
                  <w:vMerge w:val="continue"/>
                  <w:tcBorders>
                    <w:tl2br w:val="nil"/>
                    <w:tr2bl w:val="nil"/>
                  </w:tcBorders>
                  <w:noWrap w:val="0"/>
                  <w:vAlign w:val="center"/>
                </w:tcPr>
                <w:p w14:paraId="154EB913">
                  <w:pPr>
                    <w:spacing w:line="240" w:lineRule="auto"/>
                    <w:ind w:firstLine="0" w:firstLineChars="0"/>
                    <w:jc w:val="center"/>
                    <w:rPr>
                      <w:rFonts w:hint="eastAsia"/>
                      <w:color w:val="auto"/>
                      <w:sz w:val="21"/>
                      <w:szCs w:val="21"/>
                      <w:highlight w:val="none"/>
                      <w:u w:val="single"/>
                      <w:lang w:val="en-US" w:eastAsia="zh-CN"/>
                    </w:rPr>
                  </w:pPr>
                </w:p>
              </w:tc>
            </w:tr>
            <w:tr w14:paraId="7CCDA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continue"/>
                  <w:tcBorders>
                    <w:tl2br w:val="nil"/>
                    <w:tr2bl w:val="nil"/>
                  </w:tcBorders>
                  <w:noWrap w:val="0"/>
                  <w:vAlign w:val="center"/>
                </w:tcPr>
                <w:p w14:paraId="42790685">
                  <w:pPr>
                    <w:spacing w:line="240" w:lineRule="auto"/>
                    <w:ind w:firstLine="0" w:firstLineChars="0"/>
                    <w:jc w:val="center"/>
                    <w:rPr>
                      <w:rFonts w:hint="eastAsia"/>
                      <w:color w:val="auto"/>
                      <w:sz w:val="21"/>
                      <w:szCs w:val="21"/>
                      <w:highlight w:val="none"/>
                      <w:u w:val="single"/>
                      <w:lang w:val="en-US" w:eastAsia="zh-CN"/>
                    </w:rPr>
                  </w:pPr>
                </w:p>
              </w:tc>
              <w:tc>
                <w:tcPr>
                  <w:tcW w:w="822" w:type="pct"/>
                  <w:tcBorders>
                    <w:tl2br w:val="nil"/>
                    <w:tr2bl w:val="nil"/>
                  </w:tcBorders>
                  <w:noWrap w:val="0"/>
                  <w:vAlign w:val="center"/>
                </w:tcPr>
                <w:p w14:paraId="07286BCC">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10000</w:t>
                  </w:r>
                </w:p>
              </w:tc>
              <w:tc>
                <w:tcPr>
                  <w:tcW w:w="569" w:type="pct"/>
                  <w:tcBorders>
                    <w:tl2br w:val="nil"/>
                    <w:tr2bl w:val="nil"/>
                  </w:tcBorders>
                  <w:noWrap w:val="0"/>
                  <w:vAlign w:val="center"/>
                </w:tcPr>
                <w:p w14:paraId="38594048">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158</w:t>
                  </w:r>
                </w:p>
              </w:tc>
              <w:tc>
                <w:tcPr>
                  <w:tcW w:w="578" w:type="pct"/>
                  <w:tcBorders>
                    <w:tl2br w:val="nil"/>
                    <w:tr2bl w:val="nil"/>
                  </w:tcBorders>
                  <w:noWrap w:val="0"/>
                  <w:vAlign w:val="center"/>
                </w:tcPr>
                <w:p w14:paraId="4C28E298">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22</w:t>
                  </w:r>
                </w:p>
              </w:tc>
              <w:tc>
                <w:tcPr>
                  <w:tcW w:w="586" w:type="pct"/>
                  <w:tcBorders>
                    <w:tl2br w:val="nil"/>
                    <w:tr2bl w:val="nil"/>
                  </w:tcBorders>
                  <w:noWrap w:val="0"/>
                  <w:vAlign w:val="center"/>
                </w:tcPr>
                <w:p w14:paraId="10D2B5DB">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13.9</w:t>
                  </w:r>
                </w:p>
              </w:tc>
              <w:tc>
                <w:tcPr>
                  <w:tcW w:w="875" w:type="pct"/>
                  <w:tcBorders>
                    <w:tl2br w:val="nil"/>
                    <w:tr2bl w:val="nil"/>
                  </w:tcBorders>
                  <w:noWrap w:val="0"/>
                  <w:vAlign w:val="center"/>
                </w:tcPr>
                <w:p w14:paraId="46B9C804">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9.8</w:t>
                  </w:r>
                </w:p>
              </w:tc>
              <w:tc>
                <w:tcPr>
                  <w:tcW w:w="743" w:type="pct"/>
                  <w:vMerge w:val="continue"/>
                  <w:tcBorders>
                    <w:tl2br w:val="nil"/>
                    <w:tr2bl w:val="nil"/>
                  </w:tcBorders>
                  <w:noWrap w:val="0"/>
                  <w:vAlign w:val="center"/>
                </w:tcPr>
                <w:p w14:paraId="588B91F2">
                  <w:pPr>
                    <w:spacing w:line="240" w:lineRule="auto"/>
                    <w:ind w:firstLine="0" w:firstLineChars="0"/>
                    <w:jc w:val="center"/>
                    <w:rPr>
                      <w:rFonts w:hint="eastAsia"/>
                      <w:color w:val="auto"/>
                      <w:sz w:val="21"/>
                      <w:szCs w:val="21"/>
                      <w:highlight w:val="none"/>
                      <w:u w:val="single"/>
                      <w:lang w:val="en-US" w:eastAsia="zh-CN"/>
                    </w:rPr>
                  </w:pPr>
                </w:p>
              </w:tc>
            </w:tr>
            <w:tr w14:paraId="458AC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continue"/>
                  <w:tcBorders>
                    <w:tl2br w:val="nil"/>
                    <w:tr2bl w:val="nil"/>
                  </w:tcBorders>
                  <w:noWrap w:val="0"/>
                  <w:vAlign w:val="center"/>
                </w:tcPr>
                <w:p w14:paraId="7C89036A">
                  <w:pPr>
                    <w:spacing w:line="240" w:lineRule="auto"/>
                    <w:ind w:firstLine="0" w:firstLineChars="0"/>
                    <w:jc w:val="center"/>
                    <w:rPr>
                      <w:rFonts w:hint="eastAsia"/>
                      <w:color w:val="auto"/>
                      <w:sz w:val="21"/>
                      <w:szCs w:val="21"/>
                      <w:highlight w:val="none"/>
                      <w:u w:val="single"/>
                      <w:lang w:val="en-US" w:eastAsia="zh-CN"/>
                    </w:rPr>
                  </w:pPr>
                </w:p>
              </w:tc>
              <w:tc>
                <w:tcPr>
                  <w:tcW w:w="822" w:type="pct"/>
                  <w:tcBorders>
                    <w:tl2br w:val="nil"/>
                    <w:tr2bl w:val="nil"/>
                  </w:tcBorders>
                  <w:noWrap w:val="0"/>
                  <w:vAlign w:val="center"/>
                </w:tcPr>
                <w:p w14:paraId="1793C570">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5000</w:t>
                  </w:r>
                </w:p>
              </w:tc>
              <w:tc>
                <w:tcPr>
                  <w:tcW w:w="569" w:type="pct"/>
                  <w:tcBorders>
                    <w:tl2br w:val="nil"/>
                    <w:tr2bl w:val="nil"/>
                  </w:tcBorders>
                  <w:noWrap w:val="0"/>
                  <w:vAlign w:val="center"/>
                </w:tcPr>
                <w:p w14:paraId="034AED90">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123</w:t>
                  </w:r>
                </w:p>
              </w:tc>
              <w:tc>
                <w:tcPr>
                  <w:tcW w:w="578" w:type="pct"/>
                  <w:tcBorders>
                    <w:tl2br w:val="nil"/>
                    <w:tr2bl w:val="nil"/>
                  </w:tcBorders>
                  <w:noWrap w:val="0"/>
                  <w:vAlign w:val="center"/>
                </w:tcPr>
                <w:p w14:paraId="2300CA2B">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19.5</w:t>
                  </w:r>
                </w:p>
              </w:tc>
              <w:tc>
                <w:tcPr>
                  <w:tcW w:w="586" w:type="pct"/>
                  <w:tcBorders>
                    <w:tl2br w:val="nil"/>
                    <w:tr2bl w:val="nil"/>
                  </w:tcBorders>
                  <w:noWrap w:val="0"/>
                  <w:vAlign w:val="center"/>
                </w:tcPr>
                <w:p w14:paraId="50DB2FBB">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11.8</w:t>
                  </w:r>
                </w:p>
              </w:tc>
              <w:tc>
                <w:tcPr>
                  <w:tcW w:w="875" w:type="pct"/>
                  <w:tcBorders>
                    <w:tl2br w:val="nil"/>
                    <w:tr2bl w:val="nil"/>
                  </w:tcBorders>
                  <w:noWrap w:val="0"/>
                  <w:vAlign w:val="center"/>
                </w:tcPr>
                <w:p w14:paraId="7A90E2C0">
                  <w:pPr>
                    <w:spacing w:line="240" w:lineRule="auto"/>
                    <w:ind w:firstLine="0" w:firstLineChars="0"/>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8.5</w:t>
                  </w:r>
                </w:p>
              </w:tc>
              <w:tc>
                <w:tcPr>
                  <w:tcW w:w="743" w:type="pct"/>
                  <w:vMerge w:val="restart"/>
                  <w:tcBorders>
                    <w:tl2br w:val="nil"/>
                    <w:tr2bl w:val="nil"/>
                  </w:tcBorders>
                  <w:noWrap w:val="0"/>
                  <w:vAlign w:val="center"/>
                </w:tcPr>
                <w:p w14:paraId="6B1DBF80">
                  <w:pPr>
                    <w:spacing w:line="240" w:lineRule="auto"/>
                    <w:ind w:firstLine="0" w:firstLineChars="0"/>
                    <w:jc w:val="center"/>
                    <w:rPr>
                      <w:color w:val="auto"/>
                      <w:sz w:val="21"/>
                      <w:szCs w:val="21"/>
                      <w:highlight w:val="none"/>
                      <w:u w:val="single"/>
                    </w:rPr>
                  </w:pPr>
                  <w:r>
                    <w:rPr>
                      <w:color w:val="auto"/>
                      <w:spacing w:val="-1"/>
                      <w:sz w:val="21"/>
                      <w:szCs w:val="21"/>
                      <w:highlight w:val="none"/>
                      <w:u w:val="single"/>
                    </w:rPr>
                    <w:t>设计</w:t>
                  </w:r>
                  <w:r>
                    <w:rPr>
                      <w:color w:val="auto"/>
                      <w:sz w:val="21"/>
                      <w:szCs w:val="21"/>
                      <w:highlight w:val="none"/>
                      <w:u w:val="single"/>
                    </w:rPr>
                    <w:t>船型</w:t>
                  </w:r>
                </w:p>
              </w:tc>
            </w:tr>
            <w:tr w14:paraId="7AA5F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restart"/>
                  <w:tcBorders>
                    <w:tl2br w:val="nil"/>
                    <w:tr2bl w:val="nil"/>
                  </w:tcBorders>
                  <w:noWrap w:val="0"/>
                  <w:vAlign w:val="center"/>
                </w:tcPr>
                <w:p w14:paraId="3C4ABBEB">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丙烯船</w:t>
                  </w:r>
                </w:p>
              </w:tc>
              <w:tc>
                <w:tcPr>
                  <w:tcW w:w="822" w:type="pct"/>
                  <w:tcBorders>
                    <w:tl2br w:val="nil"/>
                    <w:tr2bl w:val="nil"/>
                  </w:tcBorders>
                  <w:noWrap w:val="0"/>
                  <w:vAlign w:val="center"/>
                </w:tcPr>
                <w:p w14:paraId="51FD9575">
                  <w:pPr>
                    <w:spacing w:line="240" w:lineRule="auto"/>
                    <w:ind w:firstLine="0" w:firstLineChars="0"/>
                    <w:jc w:val="center"/>
                    <w:rPr>
                      <w:rFonts w:hint="default" w:eastAsia="宋体"/>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3000</w:t>
                  </w:r>
                </w:p>
              </w:tc>
              <w:tc>
                <w:tcPr>
                  <w:tcW w:w="569" w:type="pct"/>
                  <w:tcBorders>
                    <w:tl2br w:val="nil"/>
                    <w:tr2bl w:val="nil"/>
                  </w:tcBorders>
                  <w:noWrap w:val="0"/>
                  <w:vAlign w:val="center"/>
                </w:tcPr>
                <w:p w14:paraId="1194B54B">
                  <w:pPr>
                    <w:spacing w:line="240" w:lineRule="auto"/>
                    <w:ind w:firstLine="0" w:firstLineChars="0"/>
                    <w:jc w:val="center"/>
                    <w:rPr>
                      <w:rFonts w:hint="default" w:eastAsia="宋体"/>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101</w:t>
                  </w:r>
                </w:p>
              </w:tc>
              <w:tc>
                <w:tcPr>
                  <w:tcW w:w="578" w:type="pct"/>
                  <w:tcBorders>
                    <w:tl2br w:val="nil"/>
                    <w:tr2bl w:val="nil"/>
                  </w:tcBorders>
                  <w:noWrap w:val="0"/>
                  <w:vAlign w:val="center"/>
                </w:tcPr>
                <w:p w14:paraId="2476E1ED">
                  <w:pPr>
                    <w:spacing w:line="240" w:lineRule="auto"/>
                    <w:ind w:firstLine="0" w:firstLineChars="0"/>
                    <w:jc w:val="center"/>
                    <w:rPr>
                      <w:rFonts w:hint="default" w:eastAsia="宋体"/>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16.6</w:t>
                  </w:r>
                </w:p>
              </w:tc>
              <w:tc>
                <w:tcPr>
                  <w:tcW w:w="586" w:type="pct"/>
                  <w:tcBorders>
                    <w:tl2br w:val="nil"/>
                    <w:tr2bl w:val="nil"/>
                  </w:tcBorders>
                  <w:noWrap w:val="0"/>
                  <w:vAlign w:val="center"/>
                </w:tcPr>
                <w:p w14:paraId="70B805E9">
                  <w:pPr>
                    <w:spacing w:line="240" w:lineRule="auto"/>
                    <w:ind w:firstLine="0" w:firstLineChars="0"/>
                    <w:jc w:val="center"/>
                    <w:rPr>
                      <w:rFonts w:hint="default" w:eastAsia="宋体"/>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8.0</w:t>
                  </w:r>
                </w:p>
              </w:tc>
              <w:tc>
                <w:tcPr>
                  <w:tcW w:w="875" w:type="pct"/>
                  <w:tcBorders>
                    <w:tl2br w:val="nil"/>
                    <w:tr2bl w:val="nil"/>
                  </w:tcBorders>
                  <w:noWrap w:val="0"/>
                  <w:vAlign w:val="center"/>
                </w:tcPr>
                <w:p w14:paraId="2AC5B87D">
                  <w:pPr>
                    <w:spacing w:line="240" w:lineRule="auto"/>
                    <w:ind w:firstLine="0" w:firstLineChars="0"/>
                    <w:jc w:val="center"/>
                    <w:rPr>
                      <w:rFonts w:hint="default" w:eastAsia="宋体"/>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6.6</w:t>
                  </w:r>
                </w:p>
              </w:tc>
              <w:tc>
                <w:tcPr>
                  <w:tcW w:w="743" w:type="pct"/>
                  <w:vMerge w:val="continue"/>
                  <w:tcBorders>
                    <w:tl2br w:val="nil"/>
                    <w:tr2bl w:val="nil"/>
                  </w:tcBorders>
                  <w:noWrap w:val="0"/>
                  <w:vAlign w:val="center"/>
                </w:tcPr>
                <w:p w14:paraId="25E308F4">
                  <w:pPr>
                    <w:widowControl/>
                    <w:autoSpaceDE w:val="0"/>
                    <w:autoSpaceDN w:val="0"/>
                    <w:spacing w:line="240" w:lineRule="auto"/>
                    <w:ind w:firstLine="0" w:firstLineChars="0"/>
                    <w:jc w:val="center"/>
                    <w:textAlignment w:val="bottom"/>
                    <w:rPr>
                      <w:color w:val="auto"/>
                      <w:sz w:val="21"/>
                      <w:szCs w:val="21"/>
                      <w:highlight w:val="none"/>
                      <w:u w:val="single"/>
                    </w:rPr>
                  </w:pPr>
                </w:p>
              </w:tc>
            </w:tr>
            <w:tr w14:paraId="18489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continue"/>
                  <w:tcBorders>
                    <w:tl2br w:val="nil"/>
                    <w:tr2bl w:val="nil"/>
                  </w:tcBorders>
                  <w:noWrap w:val="0"/>
                  <w:vAlign w:val="center"/>
                </w:tcPr>
                <w:p w14:paraId="60E80BEC">
                  <w:pPr>
                    <w:spacing w:line="240" w:lineRule="auto"/>
                    <w:ind w:firstLine="0" w:firstLineChars="0"/>
                    <w:jc w:val="center"/>
                    <w:rPr>
                      <w:rFonts w:hint="eastAsia"/>
                      <w:color w:val="auto"/>
                      <w:spacing w:val="-1"/>
                      <w:sz w:val="21"/>
                      <w:szCs w:val="21"/>
                      <w:highlight w:val="none"/>
                      <w:u w:val="single"/>
                      <w:lang w:val="en-US" w:eastAsia="zh-CN"/>
                    </w:rPr>
                  </w:pPr>
                </w:p>
              </w:tc>
              <w:tc>
                <w:tcPr>
                  <w:tcW w:w="822" w:type="pct"/>
                  <w:tcBorders>
                    <w:tl2br w:val="nil"/>
                    <w:tr2bl w:val="nil"/>
                  </w:tcBorders>
                  <w:noWrap w:val="0"/>
                  <w:vAlign w:val="center"/>
                </w:tcPr>
                <w:p w14:paraId="15290442">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2500</w:t>
                  </w:r>
                </w:p>
              </w:tc>
              <w:tc>
                <w:tcPr>
                  <w:tcW w:w="569" w:type="pct"/>
                  <w:tcBorders>
                    <w:tl2br w:val="nil"/>
                    <w:tr2bl w:val="nil"/>
                  </w:tcBorders>
                  <w:noWrap w:val="0"/>
                  <w:vAlign w:val="center"/>
                </w:tcPr>
                <w:p w14:paraId="7DCE5F92">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110</w:t>
                  </w:r>
                </w:p>
              </w:tc>
              <w:tc>
                <w:tcPr>
                  <w:tcW w:w="578" w:type="pct"/>
                  <w:tcBorders>
                    <w:tl2br w:val="nil"/>
                    <w:tr2bl w:val="nil"/>
                  </w:tcBorders>
                  <w:noWrap w:val="0"/>
                  <w:vAlign w:val="center"/>
                </w:tcPr>
                <w:p w14:paraId="753CF2DC">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17.8</w:t>
                  </w:r>
                </w:p>
              </w:tc>
              <w:tc>
                <w:tcPr>
                  <w:tcW w:w="586" w:type="pct"/>
                  <w:tcBorders>
                    <w:tl2br w:val="nil"/>
                    <w:tr2bl w:val="nil"/>
                  </w:tcBorders>
                  <w:noWrap w:val="0"/>
                  <w:vAlign w:val="center"/>
                </w:tcPr>
                <w:p w14:paraId="0C849748">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7.8</w:t>
                  </w:r>
                </w:p>
              </w:tc>
              <w:tc>
                <w:tcPr>
                  <w:tcW w:w="875" w:type="pct"/>
                  <w:tcBorders>
                    <w:tl2br w:val="nil"/>
                    <w:tr2bl w:val="nil"/>
                  </w:tcBorders>
                  <w:noWrap w:val="0"/>
                  <w:vAlign w:val="center"/>
                </w:tcPr>
                <w:p w14:paraId="67AF8C46">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w:t>
                  </w:r>
                </w:p>
              </w:tc>
              <w:tc>
                <w:tcPr>
                  <w:tcW w:w="743" w:type="pct"/>
                  <w:vMerge w:val="restart"/>
                  <w:tcBorders>
                    <w:tl2br w:val="nil"/>
                    <w:tr2bl w:val="nil"/>
                  </w:tcBorders>
                  <w:noWrap w:val="0"/>
                  <w:vAlign w:val="center"/>
                </w:tcPr>
                <w:p w14:paraId="693AFA2C">
                  <w:pPr>
                    <w:widowControl/>
                    <w:autoSpaceDE w:val="0"/>
                    <w:autoSpaceDN w:val="0"/>
                    <w:spacing w:line="240" w:lineRule="auto"/>
                    <w:ind w:firstLine="0" w:firstLineChars="0"/>
                    <w:jc w:val="center"/>
                    <w:textAlignment w:val="bottom"/>
                    <w:rPr>
                      <w:color w:val="auto"/>
                      <w:sz w:val="21"/>
                      <w:szCs w:val="21"/>
                      <w:highlight w:val="none"/>
                      <w:u w:val="single"/>
                    </w:rPr>
                  </w:pPr>
                  <w:r>
                    <w:rPr>
                      <w:rFonts w:hint="eastAsia"/>
                      <w:color w:val="auto"/>
                      <w:sz w:val="21"/>
                      <w:szCs w:val="21"/>
                      <w:highlight w:val="none"/>
                      <w:u w:val="single"/>
                      <w:lang w:val="en-US" w:eastAsia="zh-CN"/>
                    </w:rPr>
                    <w:t>兼顾船型</w:t>
                  </w:r>
                </w:p>
              </w:tc>
            </w:tr>
            <w:tr w14:paraId="06AF4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continue"/>
                  <w:tcBorders>
                    <w:tl2br w:val="nil"/>
                    <w:tr2bl w:val="nil"/>
                  </w:tcBorders>
                  <w:noWrap w:val="0"/>
                  <w:vAlign w:val="center"/>
                </w:tcPr>
                <w:p w14:paraId="4FFD3D2E">
                  <w:pPr>
                    <w:spacing w:line="240" w:lineRule="auto"/>
                    <w:ind w:firstLine="0" w:firstLineChars="0"/>
                    <w:jc w:val="center"/>
                    <w:rPr>
                      <w:rFonts w:hint="eastAsia"/>
                      <w:color w:val="auto"/>
                      <w:spacing w:val="-1"/>
                      <w:sz w:val="21"/>
                      <w:szCs w:val="21"/>
                      <w:highlight w:val="none"/>
                      <w:u w:val="single"/>
                      <w:lang w:val="en-US" w:eastAsia="zh-CN"/>
                    </w:rPr>
                  </w:pPr>
                </w:p>
              </w:tc>
              <w:tc>
                <w:tcPr>
                  <w:tcW w:w="822" w:type="pct"/>
                  <w:tcBorders>
                    <w:tl2br w:val="nil"/>
                    <w:tr2bl w:val="nil"/>
                  </w:tcBorders>
                  <w:noWrap w:val="0"/>
                  <w:vAlign w:val="center"/>
                </w:tcPr>
                <w:p w14:paraId="48D4B37B">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2500</w:t>
                  </w:r>
                </w:p>
              </w:tc>
              <w:tc>
                <w:tcPr>
                  <w:tcW w:w="569" w:type="pct"/>
                  <w:tcBorders>
                    <w:tl2br w:val="nil"/>
                    <w:tr2bl w:val="nil"/>
                  </w:tcBorders>
                  <w:noWrap w:val="0"/>
                  <w:vAlign w:val="center"/>
                </w:tcPr>
                <w:p w14:paraId="2816AC83">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97.24</w:t>
                  </w:r>
                </w:p>
              </w:tc>
              <w:tc>
                <w:tcPr>
                  <w:tcW w:w="578" w:type="pct"/>
                  <w:tcBorders>
                    <w:tl2br w:val="nil"/>
                    <w:tr2bl w:val="nil"/>
                  </w:tcBorders>
                  <w:noWrap w:val="0"/>
                  <w:vAlign w:val="center"/>
                </w:tcPr>
                <w:p w14:paraId="22D05130">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16.5</w:t>
                  </w:r>
                </w:p>
              </w:tc>
              <w:tc>
                <w:tcPr>
                  <w:tcW w:w="586" w:type="pct"/>
                  <w:tcBorders>
                    <w:tl2br w:val="nil"/>
                    <w:tr2bl w:val="nil"/>
                  </w:tcBorders>
                  <w:noWrap w:val="0"/>
                  <w:vAlign w:val="center"/>
                </w:tcPr>
                <w:p w14:paraId="14C9769B">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7.2</w:t>
                  </w:r>
                </w:p>
              </w:tc>
              <w:tc>
                <w:tcPr>
                  <w:tcW w:w="875" w:type="pct"/>
                  <w:tcBorders>
                    <w:tl2br w:val="nil"/>
                    <w:tr2bl w:val="nil"/>
                  </w:tcBorders>
                  <w:noWrap w:val="0"/>
                  <w:vAlign w:val="center"/>
                </w:tcPr>
                <w:p w14:paraId="529CBE69">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w:t>
                  </w:r>
                </w:p>
              </w:tc>
              <w:tc>
                <w:tcPr>
                  <w:tcW w:w="743" w:type="pct"/>
                  <w:vMerge w:val="continue"/>
                  <w:tcBorders>
                    <w:tl2br w:val="nil"/>
                    <w:tr2bl w:val="nil"/>
                  </w:tcBorders>
                  <w:noWrap w:val="0"/>
                  <w:vAlign w:val="center"/>
                </w:tcPr>
                <w:p w14:paraId="02501A9B">
                  <w:pPr>
                    <w:widowControl/>
                    <w:autoSpaceDE w:val="0"/>
                    <w:autoSpaceDN w:val="0"/>
                    <w:spacing w:line="240" w:lineRule="auto"/>
                    <w:ind w:firstLine="0" w:firstLineChars="0"/>
                    <w:jc w:val="center"/>
                    <w:textAlignment w:val="bottom"/>
                    <w:rPr>
                      <w:color w:val="auto"/>
                      <w:sz w:val="21"/>
                      <w:szCs w:val="21"/>
                      <w:highlight w:val="none"/>
                      <w:u w:val="single"/>
                    </w:rPr>
                  </w:pPr>
                </w:p>
              </w:tc>
            </w:tr>
            <w:tr w14:paraId="57F44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vMerge w:val="continue"/>
                  <w:tcBorders>
                    <w:tl2br w:val="nil"/>
                    <w:tr2bl w:val="nil"/>
                  </w:tcBorders>
                  <w:noWrap w:val="0"/>
                  <w:vAlign w:val="center"/>
                </w:tcPr>
                <w:p w14:paraId="29B8047A">
                  <w:pPr>
                    <w:spacing w:line="240" w:lineRule="auto"/>
                    <w:ind w:firstLine="0" w:firstLineChars="0"/>
                    <w:jc w:val="center"/>
                    <w:rPr>
                      <w:rFonts w:hint="eastAsia"/>
                      <w:color w:val="auto"/>
                      <w:spacing w:val="-1"/>
                      <w:sz w:val="21"/>
                      <w:szCs w:val="21"/>
                      <w:highlight w:val="none"/>
                      <w:u w:val="single"/>
                      <w:lang w:val="en-US" w:eastAsia="zh-CN"/>
                    </w:rPr>
                  </w:pPr>
                </w:p>
              </w:tc>
              <w:tc>
                <w:tcPr>
                  <w:tcW w:w="822" w:type="pct"/>
                  <w:tcBorders>
                    <w:tl2br w:val="nil"/>
                    <w:tr2bl w:val="nil"/>
                  </w:tcBorders>
                  <w:noWrap w:val="0"/>
                  <w:vAlign w:val="center"/>
                </w:tcPr>
                <w:p w14:paraId="4D7A0202">
                  <w:pPr>
                    <w:spacing w:line="240" w:lineRule="auto"/>
                    <w:ind w:firstLine="0" w:firstLineChars="0"/>
                    <w:jc w:val="center"/>
                    <w:rPr>
                      <w:rFonts w:hint="default" w:eastAsia="宋体"/>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2000</w:t>
                  </w:r>
                </w:p>
              </w:tc>
              <w:tc>
                <w:tcPr>
                  <w:tcW w:w="569" w:type="pct"/>
                  <w:tcBorders>
                    <w:tl2br w:val="nil"/>
                    <w:tr2bl w:val="nil"/>
                  </w:tcBorders>
                  <w:noWrap w:val="0"/>
                  <w:vAlign w:val="center"/>
                </w:tcPr>
                <w:p w14:paraId="70A3484E">
                  <w:pPr>
                    <w:spacing w:line="240" w:lineRule="auto"/>
                    <w:ind w:firstLine="0" w:firstLineChars="0"/>
                    <w:jc w:val="center"/>
                    <w:rPr>
                      <w:rFonts w:hint="default" w:eastAsia="宋体"/>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91</w:t>
                  </w:r>
                </w:p>
              </w:tc>
              <w:tc>
                <w:tcPr>
                  <w:tcW w:w="578" w:type="pct"/>
                  <w:tcBorders>
                    <w:tl2br w:val="nil"/>
                    <w:tr2bl w:val="nil"/>
                  </w:tcBorders>
                  <w:noWrap w:val="0"/>
                  <w:vAlign w:val="center"/>
                </w:tcPr>
                <w:p w14:paraId="19096F2E">
                  <w:pPr>
                    <w:spacing w:line="240" w:lineRule="auto"/>
                    <w:ind w:firstLine="0" w:firstLineChars="0"/>
                    <w:jc w:val="center"/>
                    <w:rPr>
                      <w:rFonts w:hint="default" w:eastAsia="宋体"/>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14.1</w:t>
                  </w:r>
                </w:p>
              </w:tc>
              <w:tc>
                <w:tcPr>
                  <w:tcW w:w="586" w:type="pct"/>
                  <w:tcBorders>
                    <w:tl2br w:val="nil"/>
                    <w:tr2bl w:val="nil"/>
                  </w:tcBorders>
                  <w:noWrap w:val="0"/>
                  <w:vAlign w:val="center"/>
                </w:tcPr>
                <w:p w14:paraId="7CC7C933">
                  <w:pPr>
                    <w:spacing w:line="240" w:lineRule="auto"/>
                    <w:ind w:firstLine="0" w:firstLineChars="0"/>
                    <w:jc w:val="center"/>
                    <w:rPr>
                      <w:rFonts w:hint="default" w:eastAsia="宋体"/>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7.0</w:t>
                  </w:r>
                </w:p>
              </w:tc>
              <w:tc>
                <w:tcPr>
                  <w:tcW w:w="875" w:type="pct"/>
                  <w:tcBorders>
                    <w:tl2br w:val="nil"/>
                    <w:tr2bl w:val="nil"/>
                  </w:tcBorders>
                  <w:noWrap w:val="0"/>
                  <w:vAlign w:val="center"/>
                </w:tcPr>
                <w:p w14:paraId="1C65E6B3">
                  <w:pPr>
                    <w:spacing w:line="240" w:lineRule="auto"/>
                    <w:ind w:firstLine="0" w:firstLineChars="0"/>
                    <w:jc w:val="center"/>
                    <w:rPr>
                      <w:rFonts w:hint="default" w:eastAsia="宋体"/>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5.4</w:t>
                  </w:r>
                </w:p>
              </w:tc>
              <w:tc>
                <w:tcPr>
                  <w:tcW w:w="743" w:type="pct"/>
                  <w:vMerge w:val="continue"/>
                  <w:tcBorders>
                    <w:tl2br w:val="nil"/>
                    <w:tr2bl w:val="nil"/>
                  </w:tcBorders>
                  <w:noWrap w:val="0"/>
                  <w:vAlign w:val="center"/>
                </w:tcPr>
                <w:p w14:paraId="2B166963">
                  <w:pPr>
                    <w:widowControl/>
                    <w:autoSpaceDE w:val="0"/>
                    <w:autoSpaceDN w:val="0"/>
                    <w:spacing w:line="240" w:lineRule="auto"/>
                    <w:ind w:firstLine="0" w:firstLineChars="0"/>
                    <w:jc w:val="center"/>
                    <w:textAlignment w:val="bottom"/>
                    <w:rPr>
                      <w:color w:val="auto"/>
                      <w:sz w:val="21"/>
                      <w:szCs w:val="21"/>
                      <w:highlight w:val="none"/>
                      <w:u w:val="single"/>
                    </w:rPr>
                  </w:pPr>
                </w:p>
              </w:tc>
            </w:tr>
            <w:tr w14:paraId="73B2E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2" w:type="pct"/>
                  <w:tcBorders>
                    <w:tl2br w:val="nil"/>
                    <w:tr2bl w:val="nil"/>
                  </w:tcBorders>
                  <w:noWrap w:val="0"/>
                  <w:vAlign w:val="center"/>
                </w:tcPr>
                <w:p w14:paraId="7237DC62">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氯乙烯船</w:t>
                  </w:r>
                </w:p>
              </w:tc>
              <w:tc>
                <w:tcPr>
                  <w:tcW w:w="822" w:type="pct"/>
                  <w:tcBorders>
                    <w:tl2br w:val="nil"/>
                    <w:tr2bl w:val="nil"/>
                  </w:tcBorders>
                  <w:noWrap w:val="0"/>
                  <w:vAlign w:val="center"/>
                </w:tcPr>
                <w:p w14:paraId="3B35E258">
                  <w:pPr>
                    <w:spacing w:line="240" w:lineRule="auto"/>
                    <w:ind w:firstLine="0" w:firstLineChars="0"/>
                    <w:jc w:val="center"/>
                    <w:rPr>
                      <w:rFonts w:hint="default"/>
                      <w:color w:val="auto"/>
                      <w:spacing w:val="-1"/>
                      <w:sz w:val="21"/>
                      <w:szCs w:val="21"/>
                      <w:highlight w:val="none"/>
                      <w:u w:val="single"/>
                      <w:lang w:val="en-US" w:eastAsia="zh-CN"/>
                    </w:rPr>
                  </w:pPr>
                  <w:r>
                    <w:rPr>
                      <w:rFonts w:hint="eastAsia"/>
                      <w:color w:val="auto"/>
                      <w:spacing w:val="-1"/>
                      <w:sz w:val="21"/>
                      <w:szCs w:val="21"/>
                      <w:highlight w:val="none"/>
                      <w:u w:val="single"/>
                      <w:lang w:val="en-US" w:eastAsia="zh-CN"/>
                    </w:rPr>
                    <w:t>5000</w:t>
                  </w:r>
                </w:p>
              </w:tc>
              <w:tc>
                <w:tcPr>
                  <w:tcW w:w="569" w:type="pct"/>
                  <w:tcBorders>
                    <w:tl2br w:val="nil"/>
                    <w:tr2bl w:val="nil"/>
                  </w:tcBorders>
                  <w:noWrap w:val="0"/>
                  <w:vAlign w:val="center"/>
                </w:tcPr>
                <w:p w14:paraId="69166284">
                  <w:pPr>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123</w:t>
                  </w:r>
                </w:p>
              </w:tc>
              <w:tc>
                <w:tcPr>
                  <w:tcW w:w="578" w:type="pct"/>
                  <w:tcBorders>
                    <w:tl2br w:val="nil"/>
                    <w:tr2bl w:val="nil"/>
                  </w:tcBorders>
                  <w:noWrap w:val="0"/>
                  <w:vAlign w:val="center"/>
                </w:tcPr>
                <w:p w14:paraId="68D07753">
                  <w:pPr>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19.5</w:t>
                  </w:r>
                </w:p>
              </w:tc>
              <w:tc>
                <w:tcPr>
                  <w:tcW w:w="586" w:type="pct"/>
                  <w:tcBorders>
                    <w:tl2br w:val="nil"/>
                    <w:tr2bl w:val="nil"/>
                  </w:tcBorders>
                  <w:noWrap w:val="0"/>
                  <w:vAlign w:val="center"/>
                </w:tcPr>
                <w:p w14:paraId="67F1B63A">
                  <w:pPr>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11.8</w:t>
                  </w:r>
                </w:p>
              </w:tc>
              <w:tc>
                <w:tcPr>
                  <w:tcW w:w="875" w:type="pct"/>
                  <w:tcBorders>
                    <w:tl2br w:val="nil"/>
                    <w:tr2bl w:val="nil"/>
                  </w:tcBorders>
                  <w:noWrap w:val="0"/>
                  <w:vAlign w:val="center"/>
                </w:tcPr>
                <w:p w14:paraId="32175A71">
                  <w:pPr>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8.5</w:t>
                  </w:r>
                </w:p>
              </w:tc>
              <w:tc>
                <w:tcPr>
                  <w:tcW w:w="743" w:type="pct"/>
                  <w:tcBorders>
                    <w:tl2br w:val="nil"/>
                    <w:tr2bl w:val="nil"/>
                  </w:tcBorders>
                  <w:noWrap w:val="0"/>
                  <w:vAlign w:val="center"/>
                </w:tcPr>
                <w:p w14:paraId="6A2B0C7E">
                  <w:pPr>
                    <w:widowControl/>
                    <w:autoSpaceDE w:val="0"/>
                    <w:autoSpaceDN w:val="0"/>
                    <w:spacing w:line="240" w:lineRule="auto"/>
                    <w:ind w:firstLine="0" w:firstLineChars="0"/>
                    <w:jc w:val="center"/>
                    <w:textAlignment w:val="bottom"/>
                    <w:rPr>
                      <w:color w:val="auto"/>
                      <w:sz w:val="21"/>
                      <w:szCs w:val="21"/>
                      <w:highlight w:val="none"/>
                      <w:u w:val="single"/>
                    </w:rPr>
                  </w:pPr>
                  <w:r>
                    <w:rPr>
                      <w:color w:val="auto"/>
                      <w:spacing w:val="-1"/>
                      <w:sz w:val="21"/>
                      <w:szCs w:val="21"/>
                      <w:highlight w:val="none"/>
                      <w:u w:val="single"/>
                    </w:rPr>
                    <w:t>设计</w:t>
                  </w:r>
                  <w:r>
                    <w:rPr>
                      <w:color w:val="auto"/>
                      <w:sz w:val="21"/>
                      <w:szCs w:val="21"/>
                      <w:highlight w:val="none"/>
                      <w:u w:val="single"/>
                    </w:rPr>
                    <w:t>船型</w:t>
                  </w:r>
                </w:p>
              </w:tc>
            </w:tr>
          </w:tbl>
          <w:p w14:paraId="13AD03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ascii="Times New Roman" w:hAnsi="Times New Roman" w:eastAsia="宋体" w:cs="Times New Roman"/>
                <w:b/>
                <w:bCs/>
                <w:color w:val="auto"/>
                <w:sz w:val="24"/>
                <w:highlight w:val="yellow"/>
                <w:u w:val="single"/>
                <w:shd w:val="clear" w:color="auto" w:fill="FFFFFF"/>
                <w:lang w:val="en-US" w:eastAsia="zh-CN"/>
              </w:rPr>
            </w:pPr>
          </w:p>
          <w:p w14:paraId="7BE24831">
            <w:pPr>
              <w:keepNext w:val="0"/>
              <w:keepLines w:val="0"/>
              <w:pageBreakBefore w:val="0"/>
              <w:widowControl w:val="0"/>
              <w:numPr>
                <w:ilvl w:val="0"/>
                <w:numId w:val="7"/>
              </w:numPr>
              <w:tabs>
                <w:tab w:val="clear" w:pos="0"/>
              </w:tabs>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b w:val="0"/>
                <w:bCs w:val="0"/>
                <w:color w:val="auto"/>
                <w:sz w:val="24"/>
                <w:highlight w:val="none"/>
                <w:u w:val="single"/>
                <w:shd w:val="clear" w:color="auto" w:fill="FFFFFF"/>
                <w:lang w:val="en-US" w:eastAsia="zh-CN"/>
              </w:rPr>
            </w:pPr>
            <w:r>
              <w:rPr>
                <w:rFonts w:hint="eastAsia" w:ascii="Times New Roman" w:hAnsi="Times New Roman" w:eastAsia="宋体" w:cs="Times New Roman"/>
                <w:b w:val="0"/>
                <w:bCs w:val="0"/>
                <w:color w:val="auto"/>
                <w:sz w:val="24"/>
                <w:highlight w:val="none"/>
                <w:u w:val="single"/>
                <w:shd w:val="clear" w:color="auto" w:fill="FFFFFF"/>
                <w:lang w:val="en-US" w:eastAsia="zh-CN"/>
              </w:rPr>
              <w:t>设计高程</w:t>
            </w:r>
          </w:p>
          <w:p w14:paraId="66996698">
            <w:pPr>
              <w:spacing w:line="360" w:lineRule="auto"/>
              <w:ind w:firstLine="480" w:firstLineChars="200"/>
              <w:rPr>
                <w:rFonts w:hint="eastAsia" w:ascii="Times New Roman" w:hAnsi="Times New Roman" w:eastAsia="宋体" w:cs="Times New Roman"/>
                <w:b w:val="0"/>
                <w:bCs w:val="0"/>
                <w:color w:val="auto"/>
                <w:sz w:val="24"/>
                <w:highlight w:val="none"/>
                <w:u w:val="single"/>
                <w:shd w:val="clear" w:color="auto" w:fill="FFFFFF"/>
                <w:lang w:val="en-US" w:eastAsia="zh-CN"/>
              </w:rPr>
            </w:pPr>
            <w:r>
              <w:rPr>
                <w:rFonts w:hint="eastAsia" w:ascii="Times New Roman" w:hAnsi="Times New Roman" w:eastAsia="宋体" w:cs="Times New Roman"/>
                <w:b w:val="0"/>
                <w:bCs w:val="0"/>
                <w:color w:val="auto"/>
                <w:sz w:val="24"/>
                <w:highlight w:val="none"/>
                <w:u w:val="single"/>
                <w:shd w:val="clear" w:color="auto" w:fill="FFFFFF"/>
                <w:lang w:val="en-US" w:eastAsia="zh-CN"/>
              </w:rPr>
              <w:t>码头面高程：7.20m</w:t>
            </w:r>
          </w:p>
          <w:p w14:paraId="47C78E84">
            <w:pPr>
              <w:spacing w:line="360" w:lineRule="auto"/>
              <w:ind w:firstLine="480" w:firstLineChars="200"/>
              <w:rPr>
                <w:rFonts w:hint="eastAsia" w:ascii="Times New Roman" w:hAnsi="Times New Roman" w:eastAsia="宋体" w:cs="Times New Roman"/>
                <w:b w:val="0"/>
                <w:bCs w:val="0"/>
                <w:color w:val="auto"/>
                <w:sz w:val="24"/>
                <w:highlight w:val="none"/>
                <w:u w:val="single"/>
                <w:shd w:val="clear" w:color="auto" w:fill="FFFFFF"/>
                <w:lang w:val="en-US" w:eastAsia="zh-CN"/>
              </w:rPr>
            </w:pPr>
            <w:r>
              <w:rPr>
                <w:rFonts w:hint="eastAsia" w:ascii="Times New Roman" w:hAnsi="Times New Roman" w:eastAsia="宋体" w:cs="Times New Roman"/>
                <w:b w:val="0"/>
                <w:bCs w:val="0"/>
                <w:color w:val="auto"/>
                <w:sz w:val="24"/>
                <w:highlight w:val="none"/>
                <w:u w:val="single"/>
                <w:shd w:val="clear" w:color="auto" w:fill="FFFFFF"/>
                <w:lang w:val="en-US" w:eastAsia="zh-CN"/>
              </w:rPr>
              <w:t>码头前沿设计底高程：-14.4m（设计代表船型 50000 吨级的 LPG 船满载靠泊）</w:t>
            </w:r>
          </w:p>
          <w:p w14:paraId="1488C75D">
            <w:pPr>
              <w:spacing w:line="360" w:lineRule="auto"/>
              <w:ind w:firstLine="482" w:firstLineChars="200"/>
              <w:rPr>
                <w:rFonts w:hint="eastAsia" w:ascii="Times New Roman" w:hAnsi="Times New Roman" w:eastAsia="宋体" w:cs="Times New Roman"/>
                <w:b/>
                <w:bCs/>
                <w:color w:val="auto"/>
                <w:sz w:val="24"/>
                <w:highlight w:val="none"/>
                <w:shd w:val="clear" w:color="auto" w:fill="FFFFFF"/>
                <w:lang w:eastAsia="zh-CN"/>
              </w:rPr>
            </w:pPr>
            <w:r>
              <w:rPr>
                <w:rFonts w:hint="eastAsia" w:ascii="Times New Roman" w:hAnsi="Times New Roman" w:eastAsia="宋体" w:cs="Times New Roman"/>
                <w:b/>
                <w:bCs/>
                <w:color w:val="auto"/>
                <w:sz w:val="24"/>
                <w:highlight w:val="none"/>
                <w:shd w:val="clear" w:color="auto" w:fill="FFFFFF"/>
                <w:lang w:val="en-US" w:eastAsia="zh-CN"/>
              </w:rPr>
              <w:t>2.2.4码头</w:t>
            </w:r>
            <w:r>
              <w:rPr>
                <w:rFonts w:hint="eastAsia" w:ascii="Times New Roman" w:hAnsi="Times New Roman" w:eastAsia="宋体" w:cs="Times New Roman"/>
                <w:b/>
                <w:bCs/>
                <w:color w:val="auto"/>
                <w:sz w:val="24"/>
                <w:highlight w:val="none"/>
                <w:shd w:val="clear" w:color="auto" w:fill="FFFFFF"/>
                <w:lang w:eastAsia="zh-CN"/>
              </w:rPr>
              <w:t>回旋水域疏浚方案</w:t>
            </w:r>
          </w:p>
          <w:p w14:paraId="19EED8DF">
            <w:pPr>
              <w:numPr>
                <w:ilvl w:val="0"/>
                <w:numId w:val="8"/>
              </w:numPr>
              <w:tabs>
                <w:tab w:val="clear" w:pos="0"/>
              </w:tabs>
              <w:spacing w:line="360" w:lineRule="auto"/>
              <w:ind w:left="0" w:leftChars="0" w:firstLine="420" w:firstLineChars="0"/>
              <w:rPr>
                <w:rFonts w:hint="default" w:ascii="Times New Roman" w:hAnsi="Times New Roman" w:eastAsia="宋体" w:cs="Times New Roman"/>
                <w:b/>
                <w:bCs/>
                <w:color w:val="auto"/>
                <w:sz w:val="24"/>
                <w:highlight w:val="none"/>
                <w:u w:val="none"/>
                <w:shd w:val="clear" w:color="auto" w:fill="auto"/>
                <w:lang w:val="en-US" w:eastAsia="zh-CN"/>
              </w:rPr>
            </w:pPr>
            <w:r>
              <w:rPr>
                <w:rFonts w:hint="eastAsia" w:ascii="Times New Roman" w:hAnsi="Times New Roman" w:eastAsia="宋体" w:cs="Times New Roman"/>
                <w:b/>
                <w:bCs/>
                <w:color w:val="auto"/>
                <w:sz w:val="24"/>
                <w:highlight w:val="none"/>
                <w:u w:val="none"/>
                <w:shd w:val="clear" w:color="auto" w:fill="auto"/>
                <w:lang w:val="en-US" w:eastAsia="zh-CN"/>
              </w:rPr>
              <w:t>疏浚范围</w:t>
            </w:r>
          </w:p>
          <w:p w14:paraId="25DB92E7">
            <w:pPr>
              <w:autoSpaceDE w:val="0"/>
              <w:autoSpaceDN w:val="0"/>
              <w:adjustRightInd w:val="0"/>
              <w:snapToGrid w:val="0"/>
              <w:spacing w:line="360" w:lineRule="auto"/>
              <w:ind w:firstLine="480" w:firstLineChars="200"/>
              <w:rPr>
                <w:rFonts w:hint="eastAsia"/>
                <w:b w:val="0"/>
                <w:bCs w:val="0"/>
                <w:color w:val="auto"/>
                <w:sz w:val="24"/>
                <w:highlight w:val="none"/>
                <w:u w:val="none"/>
                <w:shd w:val="clear" w:color="auto" w:fill="auto"/>
                <w:lang w:val="en-US" w:eastAsia="zh-CN"/>
              </w:rPr>
            </w:pPr>
            <w:r>
              <w:rPr>
                <w:rFonts w:hint="eastAsia"/>
                <w:b w:val="0"/>
                <w:bCs w:val="0"/>
                <w:color w:val="auto"/>
                <w:sz w:val="24"/>
                <w:highlight w:val="none"/>
                <w:u w:val="none"/>
                <w:shd w:val="clear" w:color="auto" w:fill="auto"/>
                <w:lang w:eastAsia="zh-CN"/>
              </w:rPr>
              <w:t>本次港池疏浚工程位于钦州港金谷港区金鼓江作业区</w:t>
            </w:r>
            <w:r>
              <w:rPr>
                <w:rFonts w:hint="eastAsia"/>
                <w:b w:val="0"/>
                <w:bCs w:val="0"/>
                <w:color w:val="auto"/>
                <w:sz w:val="24"/>
                <w:highlight w:val="none"/>
                <w:u w:val="none"/>
                <w:shd w:val="clear" w:color="auto" w:fill="auto"/>
                <w:lang w:val="en-US" w:eastAsia="zh-CN"/>
              </w:rPr>
              <w:t>19</w:t>
            </w:r>
            <w:r>
              <w:rPr>
                <w:rFonts w:hint="eastAsia"/>
                <w:b w:val="0"/>
                <w:bCs w:val="0"/>
                <w:color w:val="auto"/>
                <w:sz w:val="24"/>
                <w:highlight w:val="none"/>
                <w:u w:val="none"/>
                <w:shd w:val="clear" w:color="auto" w:fill="auto"/>
                <w:lang w:eastAsia="zh-CN"/>
              </w:rPr>
              <w:t>#泊位回旋水域内，疏浚区</w:t>
            </w:r>
            <w:r>
              <w:rPr>
                <w:rFonts w:hint="eastAsia"/>
                <w:b w:val="0"/>
                <w:bCs w:val="0"/>
                <w:color w:val="auto"/>
                <w:sz w:val="24"/>
                <w:highlight w:val="none"/>
                <w:u w:val="none"/>
                <w:shd w:val="clear" w:color="auto" w:fill="auto"/>
                <w:lang w:val="en-US" w:eastAsia="zh-CN"/>
              </w:rPr>
              <w:t>面积约0.14km</w:t>
            </w:r>
            <w:r>
              <w:rPr>
                <w:rFonts w:hint="eastAsia"/>
                <w:b w:val="0"/>
                <w:bCs w:val="0"/>
                <w:color w:val="auto"/>
                <w:sz w:val="24"/>
                <w:highlight w:val="none"/>
                <w:u w:val="none"/>
                <w:shd w:val="clear" w:color="auto" w:fill="auto"/>
                <w:vertAlign w:val="superscript"/>
                <w:lang w:val="en-US" w:eastAsia="zh-CN"/>
              </w:rPr>
              <w:t>2</w:t>
            </w:r>
            <w:r>
              <w:rPr>
                <w:rFonts w:hint="eastAsia"/>
                <w:b w:val="0"/>
                <w:bCs w:val="0"/>
                <w:color w:val="auto"/>
                <w:sz w:val="24"/>
                <w:highlight w:val="none"/>
                <w:u w:val="none"/>
                <w:shd w:val="clear" w:color="auto" w:fill="auto"/>
                <w:lang w:val="en-US" w:eastAsia="zh-CN"/>
              </w:rPr>
              <w:t>，施工范围内停泊水域清淤深度≥-14.4米，19#码头港池回旋水域（不含航道）清淤深度≥-11.3米，疏浚方量约1.9万方。</w:t>
            </w:r>
          </w:p>
          <w:p w14:paraId="22ED5E9E">
            <w:pPr>
              <w:autoSpaceDE w:val="0"/>
              <w:autoSpaceDN w:val="0"/>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港池疏浚控制坐标点见下表。</w:t>
            </w:r>
          </w:p>
          <w:p w14:paraId="085E0351">
            <w:pPr>
              <w:snapToGrid w:val="0"/>
              <w:ind w:firstLine="422" w:firstLineChars="200"/>
              <w:jc w:val="center"/>
              <w:rPr>
                <w:rFonts w:hint="eastAsia" w:eastAsia="宋体"/>
                <w:b/>
                <w:bCs/>
                <w:color w:val="auto"/>
                <w:szCs w:val="21"/>
                <w:highlight w:val="none"/>
                <w:lang w:eastAsia="zh-CN"/>
              </w:rPr>
            </w:pPr>
            <w:r>
              <w:rPr>
                <w:rFonts w:hint="eastAsia"/>
                <w:b/>
                <w:bCs/>
                <w:color w:val="auto"/>
                <w:szCs w:val="21"/>
                <w:highlight w:val="none"/>
              </w:rPr>
              <w:t>表</w:t>
            </w:r>
            <w:r>
              <w:rPr>
                <w:rFonts w:hint="eastAsia"/>
                <w:b/>
                <w:bCs/>
                <w:color w:val="auto"/>
                <w:szCs w:val="21"/>
                <w:highlight w:val="none"/>
                <w:lang w:val="en-US" w:eastAsia="zh-CN"/>
              </w:rPr>
              <w:t>2.2-2</w:t>
            </w:r>
            <w:r>
              <w:rPr>
                <w:rFonts w:hint="eastAsia"/>
                <w:b/>
                <w:bCs/>
                <w:color w:val="auto"/>
                <w:szCs w:val="21"/>
                <w:highlight w:val="none"/>
                <w:lang w:eastAsia="zh-CN"/>
              </w:rPr>
              <w:t>项目疏浚范围界址表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652"/>
              <w:gridCol w:w="2210"/>
              <w:gridCol w:w="2127"/>
              <w:gridCol w:w="1104"/>
              <w:gridCol w:w="1089"/>
            </w:tblGrid>
            <w:tr w14:paraId="7B7D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10" w:type="dxa"/>
                  <w:vMerge w:val="restart"/>
                  <w:noWrap w:val="0"/>
                  <w:vAlign w:val="center"/>
                </w:tcPr>
                <w:p w14:paraId="4060A12E">
                  <w:pPr>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范围</w:t>
                  </w:r>
                </w:p>
              </w:tc>
              <w:tc>
                <w:tcPr>
                  <w:tcW w:w="652" w:type="dxa"/>
                  <w:vMerge w:val="restart"/>
                  <w:noWrap w:val="0"/>
                  <w:vAlign w:val="center"/>
                </w:tcPr>
                <w:p w14:paraId="3E35AE3F">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界址点</w:t>
                  </w:r>
                </w:p>
              </w:tc>
              <w:tc>
                <w:tcPr>
                  <w:tcW w:w="4337" w:type="dxa"/>
                  <w:gridSpan w:val="2"/>
                  <w:noWrap w:val="0"/>
                  <w:vAlign w:val="center"/>
                </w:tcPr>
                <w:p w14:paraId="325BE191">
                  <w:pPr>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1954年北京坐标系，中央子午线108°E</w:t>
                  </w:r>
                </w:p>
              </w:tc>
              <w:tc>
                <w:tcPr>
                  <w:tcW w:w="1104" w:type="dxa"/>
                  <w:vMerge w:val="restart"/>
                  <w:noWrap w:val="0"/>
                  <w:vAlign w:val="center"/>
                </w:tcPr>
                <w:p w14:paraId="51919DA4">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清淤深度</w:t>
                  </w:r>
                  <w:r>
                    <w:rPr>
                      <w:rFonts w:hint="default" w:ascii="Times New Roman" w:hAnsi="Times New Roman" w:cs="Times New Roman"/>
                      <w:color w:val="auto"/>
                      <w:sz w:val="21"/>
                      <w:szCs w:val="21"/>
                      <w:highlight w:val="none"/>
                      <w:lang w:val="en-US" w:eastAsia="zh-CN"/>
                    </w:rPr>
                    <w:t>(m)</w:t>
                  </w:r>
                </w:p>
              </w:tc>
              <w:tc>
                <w:tcPr>
                  <w:tcW w:w="1089" w:type="dxa"/>
                  <w:vMerge w:val="restart"/>
                  <w:noWrap w:val="0"/>
                  <w:vAlign w:val="center"/>
                </w:tcPr>
                <w:p w14:paraId="324A9720">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土方量</w:t>
                  </w:r>
                </w:p>
                <w:p w14:paraId="1F53D5DF">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r>
            <w:tr w14:paraId="4FAE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10" w:type="dxa"/>
                  <w:vMerge w:val="continue"/>
                  <w:noWrap w:val="0"/>
                  <w:vAlign w:val="center"/>
                </w:tcPr>
                <w:p w14:paraId="6CF38993">
                  <w:pPr>
                    <w:snapToGrid w:val="0"/>
                    <w:jc w:val="center"/>
                    <w:rPr>
                      <w:rFonts w:hint="default" w:ascii="Times New Roman" w:hAnsi="Times New Roman" w:cs="Times New Roman"/>
                      <w:color w:val="auto"/>
                      <w:kern w:val="2"/>
                      <w:sz w:val="21"/>
                      <w:szCs w:val="21"/>
                      <w:highlight w:val="none"/>
                      <w:lang w:val="en-US" w:eastAsia="zh-CN" w:bidi="ar-SA"/>
                    </w:rPr>
                  </w:pPr>
                </w:p>
              </w:tc>
              <w:tc>
                <w:tcPr>
                  <w:tcW w:w="652" w:type="dxa"/>
                  <w:vMerge w:val="continue"/>
                  <w:noWrap w:val="0"/>
                  <w:vAlign w:val="center"/>
                </w:tcPr>
                <w:p w14:paraId="7CEBBCC9">
                  <w:pPr>
                    <w:snapToGrid w:val="0"/>
                    <w:jc w:val="center"/>
                    <w:rPr>
                      <w:rFonts w:hint="default" w:ascii="Times New Roman" w:hAnsi="Times New Roman" w:cs="Times New Roman"/>
                      <w:color w:val="auto"/>
                      <w:sz w:val="21"/>
                      <w:szCs w:val="21"/>
                      <w:highlight w:val="none"/>
                    </w:rPr>
                  </w:pPr>
                </w:p>
              </w:tc>
              <w:tc>
                <w:tcPr>
                  <w:tcW w:w="2210" w:type="dxa"/>
                  <w:noWrap w:val="0"/>
                  <w:vAlign w:val="center"/>
                </w:tcPr>
                <w:p w14:paraId="5FE47FDE">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经度</w:t>
                  </w:r>
                </w:p>
              </w:tc>
              <w:tc>
                <w:tcPr>
                  <w:tcW w:w="2127" w:type="dxa"/>
                  <w:noWrap w:val="0"/>
                  <w:vAlign w:val="center"/>
                </w:tcPr>
                <w:p w14:paraId="042258D5">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纬度</w:t>
                  </w:r>
                </w:p>
              </w:tc>
              <w:tc>
                <w:tcPr>
                  <w:tcW w:w="1104" w:type="dxa"/>
                  <w:vMerge w:val="continue"/>
                  <w:noWrap w:val="0"/>
                  <w:vAlign w:val="center"/>
                </w:tcPr>
                <w:p w14:paraId="0D3BE350">
                  <w:pPr>
                    <w:snapToGrid w:val="0"/>
                    <w:jc w:val="center"/>
                    <w:rPr>
                      <w:rFonts w:hint="default" w:ascii="Times New Roman" w:hAnsi="Times New Roman" w:cs="Times New Roman"/>
                      <w:color w:val="auto"/>
                      <w:sz w:val="21"/>
                      <w:szCs w:val="21"/>
                      <w:highlight w:val="none"/>
                    </w:rPr>
                  </w:pPr>
                </w:p>
              </w:tc>
              <w:tc>
                <w:tcPr>
                  <w:tcW w:w="1089" w:type="dxa"/>
                  <w:vMerge w:val="continue"/>
                  <w:noWrap w:val="0"/>
                  <w:vAlign w:val="center"/>
                </w:tcPr>
                <w:p w14:paraId="4A9E84A8">
                  <w:pPr>
                    <w:snapToGrid w:val="0"/>
                    <w:jc w:val="center"/>
                    <w:rPr>
                      <w:rFonts w:hint="default" w:ascii="Times New Roman" w:hAnsi="Times New Roman" w:eastAsia="宋体" w:cs="Times New Roman"/>
                      <w:color w:val="auto"/>
                      <w:sz w:val="21"/>
                      <w:szCs w:val="21"/>
                      <w:highlight w:val="none"/>
                      <w:lang w:val="en-US" w:eastAsia="zh-CN"/>
                    </w:rPr>
                  </w:pPr>
                </w:p>
              </w:tc>
            </w:tr>
            <w:tr w14:paraId="1CC5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10" w:type="dxa"/>
                  <w:vMerge w:val="restart"/>
                  <w:noWrap w:val="0"/>
                  <w:vAlign w:val="center"/>
                </w:tcPr>
                <w:p w14:paraId="26FCF414">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区域</w:t>
                  </w:r>
                  <w:r>
                    <w:rPr>
                      <w:rFonts w:hint="default" w:ascii="Times New Roman" w:hAnsi="Times New Roman" w:cs="Times New Roman"/>
                      <w:color w:val="auto"/>
                      <w:sz w:val="21"/>
                      <w:szCs w:val="21"/>
                      <w:highlight w:val="none"/>
                      <w:lang w:val="en-US" w:eastAsia="zh-CN"/>
                    </w:rPr>
                    <w:t>1</w:t>
                  </w:r>
                </w:p>
              </w:tc>
              <w:tc>
                <w:tcPr>
                  <w:tcW w:w="652" w:type="dxa"/>
                  <w:noWrap w:val="0"/>
                  <w:vAlign w:val="center"/>
                </w:tcPr>
                <w:p w14:paraId="2000A335">
                  <w:pPr>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w:t>
                  </w:r>
                </w:p>
              </w:tc>
              <w:tc>
                <w:tcPr>
                  <w:tcW w:w="2210" w:type="dxa"/>
                  <w:noWrap w:val="0"/>
                  <w:vAlign w:val="center"/>
                </w:tcPr>
                <w:p w14:paraId="5578E326">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108°37′50.5229″</w:t>
                  </w:r>
                </w:p>
              </w:tc>
              <w:tc>
                <w:tcPr>
                  <w:tcW w:w="2127" w:type="dxa"/>
                  <w:noWrap w:val="0"/>
                  <w:vAlign w:val="center"/>
                </w:tcPr>
                <w:p w14:paraId="7029844E">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21°42′17.4489″</w:t>
                  </w:r>
                </w:p>
              </w:tc>
              <w:tc>
                <w:tcPr>
                  <w:tcW w:w="1104" w:type="dxa"/>
                  <w:vMerge w:val="restart"/>
                  <w:noWrap w:val="0"/>
                  <w:vAlign w:val="center"/>
                </w:tcPr>
                <w:p w14:paraId="3D5CEFDF">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u w:val="none"/>
                      <w:shd w:val="clear" w:color="auto" w:fill="auto"/>
                      <w:lang w:val="en-US" w:eastAsia="zh-CN"/>
                    </w:rPr>
                    <w:t>≥-</w:t>
                  </w:r>
                  <w:r>
                    <w:rPr>
                      <w:rFonts w:hint="eastAsia" w:ascii="Times New Roman" w:hAnsi="Times New Roman" w:cs="Times New Roman"/>
                      <w:b w:val="0"/>
                      <w:bCs w:val="0"/>
                      <w:color w:val="auto"/>
                      <w:sz w:val="21"/>
                      <w:szCs w:val="21"/>
                      <w:highlight w:val="none"/>
                      <w:u w:val="none"/>
                      <w:shd w:val="clear" w:color="auto" w:fill="auto"/>
                      <w:lang w:val="en-US" w:eastAsia="zh-CN"/>
                    </w:rPr>
                    <w:t>14.4</w:t>
                  </w:r>
                  <w:r>
                    <w:rPr>
                      <w:rFonts w:hint="default" w:ascii="Times New Roman" w:hAnsi="Times New Roman" w:cs="Times New Roman"/>
                      <w:b w:val="0"/>
                      <w:bCs w:val="0"/>
                      <w:color w:val="auto"/>
                      <w:sz w:val="21"/>
                      <w:szCs w:val="21"/>
                      <w:highlight w:val="none"/>
                      <w:u w:val="none"/>
                      <w:shd w:val="clear" w:color="auto" w:fill="auto"/>
                      <w:lang w:val="en-US" w:eastAsia="zh-CN"/>
                    </w:rPr>
                    <w:t>m</w:t>
                  </w:r>
                </w:p>
              </w:tc>
              <w:tc>
                <w:tcPr>
                  <w:tcW w:w="1089" w:type="dxa"/>
                  <w:vMerge w:val="restart"/>
                  <w:noWrap w:val="0"/>
                  <w:vAlign w:val="center"/>
                </w:tcPr>
                <w:p w14:paraId="3A99CE15">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1670.27</w:t>
                  </w:r>
                </w:p>
              </w:tc>
            </w:tr>
            <w:tr w14:paraId="26C3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10" w:type="dxa"/>
                  <w:vMerge w:val="continue"/>
                  <w:noWrap w:val="0"/>
                  <w:vAlign w:val="center"/>
                </w:tcPr>
                <w:p w14:paraId="0DB0BB85">
                  <w:pPr>
                    <w:snapToGrid w:val="0"/>
                    <w:jc w:val="center"/>
                    <w:rPr>
                      <w:rFonts w:hint="default" w:ascii="Times New Roman" w:hAnsi="Times New Roman" w:cs="Times New Roman"/>
                      <w:color w:val="auto"/>
                      <w:kern w:val="2"/>
                      <w:sz w:val="21"/>
                      <w:szCs w:val="21"/>
                      <w:highlight w:val="none"/>
                      <w:lang w:val="en-US" w:eastAsia="zh-CN" w:bidi="ar-SA"/>
                    </w:rPr>
                  </w:pPr>
                </w:p>
              </w:tc>
              <w:tc>
                <w:tcPr>
                  <w:tcW w:w="652" w:type="dxa"/>
                  <w:noWrap w:val="0"/>
                  <w:vAlign w:val="center"/>
                </w:tcPr>
                <w:p w14:paraId="63A22E57">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w:t>
                  </w:r>
                </w:p>
              </w:tc>
              <w:tc>
                <w:tcPr>
                  <w:tcW w:w="2210" w:type="dxa"/>
                  <w:noWrap w:val="0"/>
                  <w:vAlign w:val="center"/>
                </w:tcPr>
                <w:p w14:paraId="14B78E2C">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108°37′56.7939″</w:t>
                  </w:r>
                </w:p>
              </w:tc>
              <w:tc>
                <w:tcPr>
                  <w:tcW w:w="2127" w:type="dxa"/>
                  <w:noWrap w:val="0"/>
                  <w:vAlign w:val="center"/>
                </w:tcPr>
                <w:p w14:paraId="42A381E4">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21°42′16.8108″</w:t>
                  </w:r>
                </w:p>
              </w:tc>
              <w:tc>
                <w:tcPr>
                  <w:tcW w:w="1104" w:type="dxa"/>
                  <w:vMerge w:val="continue"/>
                  <w:noWrap w:val="0"/>
                  <w:vAlign w:val="center"/>
                </w:tcPr>
                <w:p w14:paraId="0803C934">
                  <w:pPr>
                    <w:snapToGrid w:val="0"/>
                    <w:jc w:val="center"/>
                    <w:rPr>
                      <w:rFonts w:hint="default" w:ascii="Times New Roman" w:hAnsi="Times New Roman" w:cs="Times New Roman"/>
                      <w:color w:val="auto"/>
                      <w:sz w:val="21"/>
                      <w:szCs w:val="21"/>
                      <w:highlight w:val="none"/>
                    </w:rPr>
                  </w:pPr>
                </w:p>
              </w:tc>
              <w:tc>
                <w:tcPr>
                  <w:tcW w:w="1089" w:type="dxa"/>
                  <w:vMerge w:val="continue"/>
                  <w:noWrap w:val="0"/>
                  <w:vAlign w:val="center"/>
                </w:tcPr>
                <w:p w14:paraId="370CCFF8">
                  <w:pPr>
                    <w:snapToGrid w:val="0"/>
                    <w:jc w:val="center"/>
                    <w:rPr>
                      <w:rFonts w:hint="default" w:ascii="Times New Roman" w:hAnsi="Times New Roman" w:cs="Times New Roman"/>
                      <w:color w:val="auto"/>
                      <w:sz w:val="21"/>
                      <w:szCs w:val="21"/>
                      <w:highlight w:val="none"/>
                    </w:rPr>
                  </w:pPr>
                </w:p>
              </w:tc>
            </w:tr>
            <w:tr w14:paraId="7A9B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0" w:type="dxa"/>
                  <w:vMerge w:val="continue"/>
                  <w:noWrap w:val="0"/>
                  <w:vAlign w:val="center"/>
                </w:tcPr>
                <w:p w14:paraId="4EE1AAF8">
                  <w:pPr>
                    <w:snapToGrid w:val="0"/>
                    <w:jc w:val="center"/>
                    <w:rPr>
                      <w:rFonts w:hint="default" w:ascii="Times New Roman" w:hAnsi="Times New Roman" w:cs="Times New Roman"/>
                      <w:color w:val="auto"/>
                      <w:kern w:val="2"/>
                      <w:sz w:val="21"/>
                      <w:szCs w:val="21"/>
                      <w:highlight w:val="none"/>
                      <w:lang w:val="en-US" w:eastAsia="zh-CN" w:bidi="ar-SA"/>
                    </w:rPr>
                  </w:pPr>
                </w:p>
              </w:tc>
              <w:tc>
                <w:tcPr>
                  <w:tcW w:w="652" w:type="dxa"/>
                  <w:noWrap w:val="0"/>
                  <w:vAlign w:val="center"/>
                </w:tcPr>
                <w:p w14:paraId="718F90B5">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w:t>
                  </w:r>
                </w:p>
              </w:tc>
              <w:tc>
                <w:tcPr>
                  <w:tcW w:w="2210" w:type="dxa"/>
                  <w:noWrap w:val="0"/>
                  <w:vAlign w:val="center"/>
                </w:tcPr>
                <w:p w14:paraId="12E4E57E">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108°37′53.8784″</w:t>
                  </w:r>
                </w:p>
              </w:tc>
              <w:tc>
                <w:tcPr>
                  <w:tcW w:w="2127" w:type="dxa"/>
                  <w:noWrap w:val="0"/>
                  <w:vAlign w:val="center"/>
                </w:tcPr>
                <w:p w14:paraId="64EB188D">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21°41′51.7882″</w:t>
                  </w:r>
                </w:p>
              </w:tc>
              <w:tc>
                <w:tcPr>
                  <w:tcW w:w="1104" w:type="dxa"/>
                  <w:vMerge w:val="continue"/>
                  <w:noWrap w:val="0"/>
                  <w:vAlign w:val="center"/>
                </w:tcPr>
                <w:p w14:paraId="4D339249">
                  <w:pPr>
                    <w:snapToGrid w:val="0"/>
                    <w:jc w:val="center"/>
                    <w:rPr>
                      <w:rFonts w:hint="default" w:ascii="Times New Roman" w:hAnsi="Times New Roman" w:cs="Times New Roman"/>
                      <w:color w:val="auto"/>
                      <w:sz w:val="21"/>
                      <w:szCs w:val="21"/>
                      <w:highlight w:val="none"/>
                    </w:rPr>
                  </w:pPr>
                </w:p>
              </w:tc>
              <w:tc>
                <w:tcPr>
                  <w:tcW w:w="1089" w:type="dxa"/>
                  <w:vMerge w:val="continue"/>
                  <w:noWrap w:val="0"/>
                  <w:vAlign w:val="center"/>
                </w:tcPr>
                <w:p w14:paraId="5C161AEF">
                  <w:pPr>
                    <w:snapToGrid w:val="0"/>
                    <w:jc w:val="center"/>
                    <w:rPr>
                      <w:rFonts w:hint="default" w:ascii="Times New Roman" w:hAnsi="Times New Roman" w:cs="Times New Roman"/>
                      <w:color w:val="auto"/>
                      <w:sz w:val="21"/>
                      <w:szCs w:val="21"/>
                      <w:highlight w:val="none"/>
                    </w:rPr>
                  </w:pPr>
                </w:p>
              </w:tc>
            </w:tr>
            <w:tr w14:paraId="438A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0" w:type="dxa"/>
                  <w:vMerge w:val="continue"/>
                  <w:noWrap w:val="0"/>
                  <w:vAlign w:val="center"/>
                </w:tcPr>
                <w:p w14:paraId="12FDDF1E">
                  <w:pPr>
                    <w:snapToGrid w:val="0"/>
                    <w:jc w:val="center"/>
                    <w:rPr>
                      <w:rFonts w:hint="default" w:ascii="Times New Roman" w:hAnsi="Times New Roman" w:cs="Times New Roman"/>
                      <w:color w:val="auto"/>
                      <w:kern w:val="2"/>
                      <w:sz w:val="21"/>
                      <w:szCs w:val="21"/>
                      <w:highlight w:val="none"/>
                      <w:lang w:val="en-US" w:eastAsia="zh-CN" w:bidi="ar-SA"/>
                    </w:rPr>
                  </w:pPr>
                </w:p>
              </w:tc>
              <w:tc>
                <w:tcPr>
                  <w:tcW w:w="652" w:type="dxa"/>
                  <w:noWrap w:val="0"/>
                  <w:vAlign w:val="center"/>
                </w:tcPr>
                <w:p w14:paraId="1A8F9D47">
                  <w:pPr>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w:t>
                  </w:r>
                </w:p>
              </w:tc>
              <w:tc>
                <w:tcPr>
                  <w:tcW w:w="2210" w:type="dxa"/>
                  <w:noWrap w:val="0"/>
                  <w:vAlign w:val="center"/>
                </w:tcPr>
                <w:p w14:paraId="1CDF9ACD">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108°37′48.7900″</w:t>
                  </w:r>
                </w:p>
              </w:tc>
              <w:tc>
                <w:tcPr>
                  <w:tcW w:w="2127" w:type="dxa"/>
                  <w:noWrap w:val="0"/>
                  <w:vAlign w:val="center"/>
                </w:tcPr>
                <w:p w14:paraId="5A541283">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21°42′02.5774″</w:t>
                  </w:r>
                </w:p>
              </w:tc>
              <w:tc>
                <w:tcPr>
                  <w:tcW w:w="1104" w:type="dxa"/>
                  <w:vMerge w:val="continue"/>
                  <w:noWrap w:val="0"/>
                  <w:vAlign w:val="center"/>
                </w:tcPr>
                <w:p w14:paraId="29AED377">
                  <w:pPr>
                    <w:snapToGrid w:val="0"/>
                    <w:jc w:val="center"/>
                    <w:rPr>
                      <w:rFonts w:hint="default" w:ascii="Times New Roman" w:hAnsi="Times New Roman" w:cs="Times New Roman"/>
                      <w:color w:val="auto"/>
                      <w:sz w:val="21"/>
                      <w:szCs w:val="21"/>
                      <w:highlight w:val="none"/>
                    </w:rPr>
                  </w:pPr>
                </w:p>
              </w:tc>
              <w:tc>
                <w:tcPr>
                  <w:tcW w:w="1089" w:type="dxa"/>
                  <w:vMerge w:val="continue"/>
                  <w:noWrap w:val="0"/>
                  <w:vAlign w:val="center"/>
                </w:tcPr>
                <w:p w14:paraId="3D5022B0">
                  <w:pPr>
                    <w:snapToGrid w:val="0"/>
                    <w:jc w:val="center"/>
                    <w:rPr>
                      <w:rFonts w:hint="default" w:ascii="Times New Roman" w:hAnsi="Times New Roman" w:cs="Times New Roman"/>
                      <w:color w:val="auto"/>
                      <w:sz w:val="21"/>
                      <w:szCs w:val="21"/>
                      <w:highlight w:val="none"/>
                    </w:rPr>
                  </w:pPr>
                </w:p>
              </w:tc>
            </w:tr>
            <w:tr w14:paraId="02D6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0" w:type="dxa"/>
                  <w:vMerge w:val="restart"/>
                  <w:noWrap w:val="0"/>
                  <w:vAlign w:val="center"/>
                </w:tcPr>
                <w:p w14:paraId="7651B877">
                  <w:pPr>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区域2</w:t>
                  </w:r>
                </w:p>
              </w:tc>
              <w:tc>
                <w:tcPr>
                  <w:tcW w:w="652" w:type="dxa"/>
                  <w:noWrap w:val="0"/>
                  <w:vAlign w:val="center"/>
                </w:tcPr>
                <w:p w14:paraId="7DB63579">
                  <w:pPr>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w:t>
                  </w:r>
                </w:p>
              </w:tc>
              <w:tc>
                <w:tcPr>
                  <w:tcW w:w="2210" w:type="dxa"/>
                  <w:noWrap w:val="0"/>
                  <w:vAlign w:val="center"/>
                </w:tcPr>
                <w:p w14:paraId="50D5192B">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108°37′50.5229″</w:t>
                  </w:r>
                </w:p>
              </w:tc>
              <w:tc>
                <w:tcPr>
                  <w:tcW w:w="2127" w:type="dxa"/>
                  <w:noWrap w:val="0"/>
                  <w:vAlign w:val="center"/>
                </w:tcPr>
                <w:p w14:paraId="4CEA2E44">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21°42′17.4489″</w:t>
                  </w:r>
                </w:p>
              </w:tc>
              <w:tc>
                <w:tcPr>
                  <w:tcW w:w="1104" w:type="dxa"/>
                  <w:vMerge w:val="restart"/>
                  <w:noWrap w:val="0"/>
                  <w:vAlign w:val="center"/>
                </w:tcPr>
                <w:p w14:paraId="4E99EB9B">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u w:val="none"/>
                      <w:shd w:val="clear" w:color="auto" w:fill="auto"/>
                      <w:lang w:val="en-US" w:eastAsia="zh-CN"/>
                    </w:rPr>
                    <w:t>≥-11.3</w:t>
                  </w:r>
                </w:p>
              </w:tc>
              <w:tc>
                <w:tcPr>
                  <w:tcW w:w="1089" w:type="dxa"/>
                  <w:vMerge w:val="restart"/>
                  <w:noWrap w:val="0"/>
                  <w:vAlign w:val="center"/>
                </w:tcPr>
                <w:p w14:paraId="28082025">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16964.58</w:t>
                  </w:r>
                </w:p>
              </w:tc>
            </w:tr>
            <w:tr w14:paraId="7576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0" w:type="dxa"/>
                  <w:vMerge w:val="continue"/>
                  <w:noWrap w:val="0"/>
                  <w:vAlign w:val="center"/>
                </w:tcPr>
                <w:p w14:paraId="0112E8C8">
                  <w:pPr>
                    <w:snapToGrid w:val="0"/>
                    <w:jc w:val="center"/>
                    <w:rPr>
                      <w:rFonts w:hint="default" w:ascii="Times New Roman" w:hAnsi="Times New Roman" w:cs="Times New Roman"/>
                      <w:color w:val="auto"/>
                      <w:kern w:val="2"/>
                      <w:sz w:val="21"/>
                      <w:szCs w:val="21"/>
                      <w:highlight w:val="none"/>
                      <w:lang w:val="en-US" w:eastAsia="zh-CN" w:bidi="ar-SA"/>
                    </w:rPr>
                  </w:pPr>
                </w:p>
              </w:tc>
              <w:tc>
                <w:tcPr>
                  <w:tcW w:w="652" w:type="dxa"/>
                  <w:noWrap w:val="0"/>
                  <w:vAlign w:val="center"/>
                </w:tcPr>
                <w:p w14:paraId="36C0C11A">
                  <w:pPr>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w:t>
                  </w:r>
                </w:p>
              </w:tc>
              <w:tc>
                <w:tcPr>
                  <w:tcW w:w="2210" w:type="dxa"/>
                  <w:noWrap w:val="0"/>
                  <w:vAlign w:val="center"/>
                </w:tcPr>
                <w:p w14:paraId="39E2996E">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108°37′48.7900″</w:t>
                  </w:r>
                </w:p>
              </w:tc>
              <w:tc>
                <w:tcPr>
                  <w:tcW w:w="2127" w:type="dxa"/>
                  <w:noWrap w:val="0"/>
                  <w:vAlign w:val="center"/>
                </w:tcPr>
                <w:p w14:paraId="279C8548">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21°42′02.5774″</w:t>
                  </w:r>
                </w:p>
              </w:tc>
              <w:tc>
                <w:tcPr>
                  <w:tcW w:w="1104" w:type="dxa"/>
                  <w:vMerge w:val="continue"/>
                  <w:noWrap w:val="0"/>
                  <w:vAlign w:val="center"/>
                </w:tcPr>
                <w:p w14:paraId="11154D49">
                  <w:pPr>
                    <w:snapToGrid w:val="0"/>
                    <w:jc w:val="center"/>
                    <w:rPr>
                      <w:rFonts w:hint="default" w:ascii="Times New Roman" w:hAnsi="Times New Roman" w:cs="Times New Roman"/>
                      <w:color w:val="auto"/>
                      <w:sz w:val="21"/>
                      <w:szCs w:val="21"/>
                      <w:highlight w:val="none"/>
                    </w:rPr>
                  </w:pPr>
                </w:p>
              </w:tc>
              <w:tc>
                <w:tcPr>
                  <w:tcW w:w="1089" w:type="dxa"/>
                  <w:vMerge w:val="continue"/>
                  <w:noWrap w:val="0"/>
                  <w:vAlign w:val="center"/>
                </w:tcPr>
                <w:p w14:paraId="586AA328">
                  <w:pPr>
                    <w:snapToGrid w:val="0"/>
                    <w:jc w:val="center"/>
                    <w:rPr>
                      <w:rFonts w:hint="default" w:ascii="Times New Roman" w:hAnsi="Times New Roman" w:cs="Times New Roman"/>
                      <w:color w:val="auto"/>
                      <w:sz w:val="21"/>
                      <w:szCs w:val="21"/>
                      <w:highlight w:val="none"/>
                    </w:rPr>
                  </w:pPr>
                </w:p>
              </w:tc>
            </w:tr>
            <w:tr w14:paraId="4754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0" w:type="dxa"/>
                  <w:vMerge w:val="continue"/>
                  <w:noWrap w:val="0"/>
                  <w:vAlign w:val="center"/>
                </w:tcPr>
                <w:p w14:paraId="2B75A875">
                  <w:pPr>
                    <w:snapToGrid w:val="0"/>
                    <w:jc w:val="center"/>
                    <w:rPr>
                      <w:rFonts w:hint="default" w:ascii="Times New Roman" w:hAnsi="Times New Roman" w:cs="Times New Roman"/>
                      <w:color w:val="auto"/>
                      <w:kern w:val="2"/>
                      <w:sz w:val="21"/>
                      <w:szCs w:val="21"/>
                      <w:highlight w:val="none"/>
                      <w:lang w:val="en-US" w:eastAsia="zh-CN" w:bidi="ar-SA"/>
                    </w:rPr>
                  </w:pPr>
                </w:p>
              </w:tc>
              <w:tc>
                <w:tcPr>
                  <w:tcW w:w="652" w:type="dxa"/>
                  <w:noWrap w:val="0"/>
                  <w:vAlign w:val="center"/>
                </w:tcPr>
                <w:p w14:paraId="17945A2C">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p>
              </w:tc>
              <w:tc>
                <w:tcPr>
                  <w:tcW w:w="2210" w:type="dxa"/>
                  <w:noWrap w:val="0"/>
                  <w:vAlign w:val="center"/>
                </w:tcPr>
                <w:p w14:paraId="21E658ED">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108°37′47.3783″</w:t>
                  </w:r>
                </w:p>
              </w:tc>
              <w:tc>
                <w:tcPr>
                  <w:tcW w:w="2127" w:type="dxa"/>
                  <w:noWrap w:val="0"/>
                  <w:vAlign w:val="center"/>
                </w:tcPr>
                <w:p w14:paraId="581C3824">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21°42′05.5705″</w:t>
                  </w:r>
                </w:p>
              </w:tc>
              <w:tc>
                <w:tcPr>
                  <w:tcW w:w="1104" w:type="dxa"/>
                  <w:vMerge w:val="continue"/>
                  <w:noWrap w:val="0"/>
                  <w:vAlign w:val="center"/>
                </w:tcPr>
                <w:p w14:paraId="0EFBEC80">
                  <w:pPr>
                    <w:snapToGrid w:val="0"/>
                    <w:jc w:val="center"/>
                    <w:rPr>
                      <w:rFonts w:hint="default" w:ascii="Times New Roman" w:hAnsi="Times New Roman" w:cs="Times New Roman"/>
                      <w:color w:val="auto"/>
                      <w:sz w:val="21"/>
                      <w:szCs w:val="21"/>
                      <w:highlight w:val="none"/>
                    </w:rPr>
                  </w:pPr>
                </w:p>
              </w:tc>
              <w:tc>
                <w:tcPr>
                  <w:tcW w:w="1089" w:type="dxa"/>
                  <w:vMerge w:val="continue"/>
                  <w:noWrap w:val="0"/>
                  <w:vAlign w:val="center"/>
                </w:tcPr>
                <w:p w14:paraId="14157832">
                  <w:pPr>
                    <w:snapToGrid w:val="0"/>
                    <w:jc w:val="center"/>
                    <w:rPr>
                      <w:rFonts w:hint="default" w:ascii="Times New Roman" w:hAnsi="Times New Roman" w:cs="Times New Roman"/>
                      <w:color w:val="auto"/>
                      <w:sz w:val="21"/>
                      <w:szCs w:val="21"/>
                      <w:highlight w:val="none"/>
                    </w:rPr>
                  </w:pPr>
                </w:p>
              </w:tc>
            </w:tr>
            <w:tr w14:paraId="490A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0" w:type="dxa"/>
                  <w:vMerge w:val="continue"/>
                  <w:noWrap w:val="0"/>
                  <w:vAlign w:val="center"/>
                </w:tcPr>
                <w:p w14:paraId="6DFAD996">
                  <w:pPr>
                    <w:snapToGrid w:val="0"/>
                    <w:jc w:val="center"/>
                    <w:rPr>
                      <w:rFonts w:hint="default" w:ascii="Times New Roman" w:hAnsi="Times New Roman" w:cs="Times New Roman"/>
                      <w:color w:val="auto"/>
                      <w:kern w:val="2"/>
                      <w:sz w:val="21"/>
                      <w:szCs w:val="21"/>
                      <w:highlight w:val="none"/>
                      <w:lang w:val="en-US" w:eastAsia="zh-CN" w:bidi="ar-SA"/>
                    </w:rPr>
                  </w:pPr>
                </w:p>
              </w:tc>
              <w:tc>
                <w:tcPr>
                  <w:tcW w:w="652" w:type="dxa"/>
                  <w:noWrap w:val="0"/>
                  <w:vAlign w:val="center"/>
                </w:tcPr>
                <w:p w14:paraId="69C33A6F">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F</w:t>
                  </w:r>
                </w:p>
              </w:tc>
              <w:tc>
                <w:tcPr>
                  <w:tcW w:w="2210" w:type="dxa"/>
                  <w:noWrap w:val="0"/>
                  <w:vAlign w:val="center"/>
                </w:tcPr>
                <w:p w14:paraId="341D2D26">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108°37′46.5797″</w:t>
                  </w:r>
                </w:p>
              </w:tc>
              <w:tc>
                <w:tcPr>
                  <w:tcW w:w="2127" w:type="dxa"/>
                  <w:noWrap w:val="0"/>
                  <w:vAlign w:val="center"/>
                </w:tcPr>
                <w:p w14:paraId="662BC058">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21°42′05.6518″</w:t>
                  </w:r>
                </w:p>
              </w:tc>
              <w:tc>
                <w:tcPr>
                  <w:tcW w:w="1104" w:type="dxa"/>
                  <w:vMerge w:val="continue"/>
                  <w:noWrap w:val="0"/>
                  <w:vAlign w:val="center"/>
                </w:tcPr>
                <w:p w14:paraId="4525337A">
                  <w:pPr>
                    <w:snapToGrid w:val="0"/>
                    <w:jc w:val="center"/>
                    <w:rPr>
                      <w:rFonts w:hint="default" w:ascii="Times New Roman" w:hAnsi="Times New Roman" w:cs="Times New Roman"/>
                      <w:color w:val="auto"/>
                      <w:sz w:val="21"/>
                      <w:szCs w:val="21"/>
                      <w:highlight w:val="none"/>
                    </w:rPr>
                  </w:pPr>
                </w:p>
              </w:tc>
              <w:tc>
                <w:tcPr>
                  <w:tcW w:w="1089" w:type="dxa"/>
                  <w:vMerge w:val="continue"/>
                  <w:noWrap w:val="0"/>
                  <w:vAlign w:val="center"/>
                </w:tcPr>
                <w:p w14:paraId="5100A3E1">
                  <w:pPr>
                    <w:snapToGrid w:val="0"/>
                    <w:jc w:val="center"/>
                    <w:rPr>
                      <w:rFonts w:hint="default" w:ascii="Times New Roman" w:hAnsi="Times New Roman" w:cs="Times New Roman"/>
                      <w:color w:val="auto"/>
                      <w:sz w:val="21"/>
                      <w:szCs w:val="21"/>
                      <w:highlight w:val="none"/>
                    </w:rPr>
                  </w:pPr>
                </w:p>
              </w:tc>
            </w:tr>
            <w:tr w14:paraId="305C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0" w:type="dxa"/>
                  <w:vMerge w:val="continue"/>
                  <w:noWrap w:val="0"/>
                  <w:vAlign w:val="center"/>
                </w:tcPr>
                <w:p w14:paraId="065EBF6B">
                  <w:pPr>
                    <w:snapToGrid w:val="0"/>
                    <w:jc w:val="center"/>
                    <w:rPr>
                      <w:rFonts w:hint="default" w:ascii="Times New Roman" w:hAnsi="Times New Roman" w:cs="Times New Roman"/>
                      <w:color w:val="auto"/>
                      <w:kern w:val="2"/>
                      <w:sz w:val="21"/>
                      <w:szCs w:val="21"/>
                      <w:highlight w:val="none"/>
                      <w:lang w:val="en-US" w:eastAsia="zh-CN" w:bidi="ar-SA"/>
                    </w:rPr>
                  </w:pPr>
                </w:p>
              </w:tc>
              <w:tc>
                <w:tcPr>
                  <w:tcW w:w="652" w:type="dxa"/>
                  <w:noWrap w:val="0"/>
                  <w:vAlign w:val="center"/>
                </w:tcPr>
                <w:p w14:paraId="020C998D">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w:t>
                  </w:r>
                </w:p>
              </w:tc>
              <w:tc>
                <w:tcPr>
                  <w:tcW w:w="2210" w:type="dxa"/>
                  <w:noWrap w:val="0"/>
                  <w:vAlign w:val="center"/>
                </w:tcPr>
                <w:p w14:paraId="5EE35D92">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108°37′47.9843″</w:t>
                  </w:r>
                </w:p>
              </w:tc>
              <w:tc>
                <w:tcPr>
                  <w:tcW w:w="2127" w:type="dxa"/>
                  <w:noWrap w:val="0"/>
                  <w:vAlign w:val="center"/>
                </w:tcPr>
                <w:p w14:paraId="1AC77B5E">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21°42′17.7072″</w:t>
                  </w:r>
                </w:p>
              </w:tc>
              <w:tc>
                <w:tcPr>
                  <w:tcW w:w="1104" w:type="dxa"/>
                  <w:vMerge w:val="continue"/>
                  <w:noWrap w:val="0"/>
                  <w:vAlign w:val="center"/>
                </w:tcPr>
                <w:p w14:paraId="596E260A">
                  <w:pPr>
                    <w:snapToGrid w:val="0"/>
                    <w:jc w:val="center"/>
                    <w:rPr>
                      <w:rFonts w:hint="default" w:ascii="Times New Roman" w:hAnsi="Times New Roman" w:cs="Times New Roman"/>
                      <w:color w:val="auto"/>
                      <w:sz w:val="21"/>
                      <w:szCs w:val="21"/>
                      <w:highlight w:val="none"/>
                    </w:rPr>
                  </w:pPr>
                </w:p>
              </w:tc>
              <w:tc>
                <w:tcPr>
                  <w:tcW w:w="1089" w:type="dxa"/>
                  <w:vMerge w:val="continue"/>
                  <w:noWrap w:val="0"/>
                  <w:vAlign w:val="center"/>
                </w:tcPr>
                <w:p w14:paraId="0655A5F8">
                  <w:pPr>
                    <w:snapToGrid w:val="0"/>
                    <w:jc w:val="center"/>
                    <w:rPr>
                      <w:rFonts w:hint="default" w:ascii="Times New Roman" w:hAnsi="Times New Roman" w:cs="Times New Roman"/>
                      <w:color w:val="auto"/>
                      <w:sz w:val="21"/>
                      <w:szCs w:val="21"/>
                      <w:highlight w:val="none"/>
                    </w:rPr>
                  </w:pPr>
                </w:p>
              </w:tc>
            </w:tr>
            <w:tr w14:paraId="29A8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603" w:type="dxa"/>
                  <w:gridSpan w:val="5"/>
                  <w:noWrap w:val="0"/>
                  <w:vAlign w:val="center"/>
                </w:tcPr>
                <w:p w14:paraId="10CAB8B1">
                  <w:pPr>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合计</w:t>
                  </w:r>
                </w:p>
              </w:tc>
              <w:tc>
                <w:tcPr>
                  <w:tcW w:w="1089" w:type="dxa"/>
                  <w:noWrap w:val="0"/>
                  <w:vAlign w:val="center"/>
                </w:tcPr>
                <w:p w14:paraId="63DA0C85">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18634.85</w:t>
                  </w:r>
                </w:p>
              </w:tc>
            </w:tr>
          </w:tbl>
          <w:p w14:paraId="0208BF63">
            <w:pPr>
              <w:numPr>
                <w:ilvl w:val="0"/>
                <w:numId w:val="8"/>
              </w:numPr>
              <w:tabs>
                <w:tab w:val="clear" w:pos="0"/>
              </w:tabs>
              <w:spacing w:line="360" w:lineRule="auto"/>
              <w:ind w:left="0" w:leftChars="0" w:firstLine="420" w:firstLineChars="0"/>
              <w:rPr>
                <w:b/>
                <w:bCs/>
                <w:color w:val="auto"/>
                <w:highlight w:val="none"/>
              </w:rPr>
            </w:pPr>
            <w:r>
              <w:rPr>
                <w:rFonts w:hint="eastAsia"/>
                <w:b/>
                <w:bCs/>
                <w:color w:val="auto"/>
                <w:sz w:val="24"/>
                <w:highlight w:val="none"/>
                <w:shd w:val="clear" w:color="auto" w:fill="FFFFFF"/>
                <w:lang w:eastAsia="zh-CN"/>
              </w:rPr>
              <w:t>扫床工程量</w:t>
            </w:r>
          </w:p>
          <w:p w14:paraId="240BD434">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港池疏浚后需进行全覆盖扫床测深验收，港池水域范围内不得存在浅点，确保码头前沿水深条件满足现阶段设计水深要求，本项目扫床范围为</w:t>
            </w:r>
            <w:r>
              <w:rPr>
                <w:rFonts w:hint="eastAsia" w:ascii="Times New Roman" w:hAnsi="Times New Roman" w:eastAsia="宋体" w:cs="Times New Roman"/>
                <w:color w:val="auto"/>
                <w:sz w:val="24"/>
                <w:highlight w:val="none"/>
                <w:lang w:val="en-US" w:eastAsia="zh-CN"/>
              </w:rPr>
              <w:t>钦州港金谷港区金鼓江作业区19#泊位码头停泊及回旋水域</w:t>
            </w:r>
            <w:r>
              <w:rPr>
                <w:rFonts w:hint="eastAsia" w:ascii="Times New Roman" w:hAnsi="Times New Roman" w:eastAsia="宋体" w:cs="Times New Roman"/>
                <w:color w:val="auto"/>
                <w:sz w:val="24"/>
                <w:highlight w:val="none"/>
                <w:lang w:eastAsia="zh-CN"/>
              </w:rPr>
              <w:t>，扫床范围面积约</w:t>
            </w:r>
            <w:r>
              <w:rPr>
                <w:rFonts w:hint="eastAsia" w:ascii="Times New Roman" w:hAnsi="Times New Roman" w:eastAsia="宋体" w:cs="Times New Roman"/>
                <w:color w:val="auto"/>
                <w:sz w:val="24"/>
                <w:highlight w:val="none"/>
                <w:lang w:val="en-US" w:eastAsia="zh-CN"/>
              </w:rPr>
              <w:t>14.15hm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w:t>
            </w:r>
          </w:p>
          <w:p w14:paraId="59DBA3D9">
            <w:pPr>
              <w:numPr>
                <w:ilvl w:val="0"/>
                <w:numId w:val="8"/>
              </w:numPr>
              <w:tabs>
                <w:tab w:val="clear" w:pos="0"/>
              </w:tabs>
              <w:spacing w:line="360" w:lineRule="auto"/>
              <w:ind w:left="0" w:leftChars="0" w:firstLine="420" w:firstLineChars="0"/>
              <w:rPr>
                <w:rFonts w:hint="eastAsia"/>
                <w:b/>
                <w:bCs/>
                <w:color w:val="auto"/>
                <w:sz w:val="24"/>
                <w:highlight w:val="none"/>
                <w:u w:val="none"/>
                <w:shd w:val="clear" w:color="auto" w:fill="auto"/>
                <w:lang w:eastAsia="zh-CN"/>
              </w:rPr>
            </w:pPr>
            <w:r>
              <w:rPr>
                <w:rFonts w:hint="eastAsia"/>
                <w:b/>
                <w:bCs/>
                <w:color w:val="auto"/>
                <w:sz w:val="24"/>
                <w:highlight w:val="none"/>
                <w:u w:val="none"/>
                <w:shd w:val="clear" w:color="auto" w:fill="auto"/>
                <w:lang w:eastAsia="zh-CN"/>
              </w:rPr>
              <w:t>开挖工程量</w:t>
            </w:r>
          </w:p>
          <w:p w14:paraId="0BA3FBF9">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根据项目扫海测量水深图，本次维护性疏浚产生的疏浚废弃物为18634.85</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u w:val="none"/>
                <w:shd w:val="clear" w:color="auto" w:fill="auto"/>
                <w:lang w:val="en-US" w:eastAsia="zh-CN"/>
              </w:rPr>
              <w:t>，</w:t>
            </w:r>
            <w:r>
              <w:rPr>
                <w:rFonts w:hint="eastAsia" w:ascii="Times New Roman" w:hAnsi="Times New Roman" w:eastAsia="宋体" w:cs="Times New Roman"/>
                <w:color w:val="auto"/>
                <w:sz w:val="24"/>
                <w:highlight w:val="none"/>
                <w:lang w:val="en-US" w:eastAsia="zh-CN"/>
              </w:rPr>
              <w:t>项目码头前沿施工区域1采用抓斗挖泥工艺进行清淤作业，开挖量为</w:t>
            </w:r>
            <w:r>
              <w:rPr>
                <w:rFonts w:hint="eastAsia" w:ascii="Times New Roman" w:hAnsi="Times New Roman" w:cs="Times New Roman"/>
                <w:color w:val="auto"/>
                <w:sz w:val="21"/>
                <w:szCs w:val="21"/>
                <w:highlight w:val="none"/>
                <w:lang w:val="en-US" w:eastAsia="zh-CN"/>
              </w:rPr>
              <w:t>1670.27</w:t>
            </w:r>
            <w:r>
              <w:rPr>
                <w:rFonts w:hint="eastAsia" w:ascii="Times New Roman" w:hAnsi="Times New Roman" w:eastAsia="宋体" w:cs="Times New Roman"/>
                <w:b w:val="0"/>
                <w:bCs w:val="0"/>
                <w:color w:val="auto"/>
                <w:sz w:val="24"/>
                <w:highlight w:val="none"/>
                <w:u w:val="none"/>
                <w:shd w:val="clear" w:color="auto" w:fill="auto"/>
                <w:lang w:val="en-US" w:eastAsia="zh-CN"/>
              </w:rPr>
              <w:t>m</w:t>
            </w:r>
            <w:r>
              <w:rPr>
                <w:rFonts w:hint="eastAsia" w:ascii="Times New Roman" w:hAnsi="Times New Roman" w:eastAsia="宋体" w:cs="Times New Roman"/>
                <w:b w:val="0"/>
                <w:bCs w:val="0"/>
                <w:color w:val="auto"/>
                <w:sz w:val="24"/>
                <w:highlight w:val="none"/>
                <w:u w:val="none"/>
                <w:shd w:val="clear" w:color="auto" w:fill="auto"/>
                <w:vertAlign w:val="superscript"/>
                <w:lang w:val="en-US" w:eastAsia="zh-CN"/>
              </w:rPr>
              <w:t>3</w:t>
            </w:r>
            <w:r>
              <w:rPr>
                <w:rFonts w:hint="eastAsia" w:ascii="Times New Roman" w:hAnsi="Times New Roman" w:eastAsia="宋体" w:cs="Times New Roman"/>
                <w:b w:val="0"/>
                <w:bCs w:val="0"/>
                <w:color w:val="auto"/>
                <w:sz w:val="24"/>
                <w:highlight w:val="none"/>
                <w:u w:val="none"/>
                <w:shd w:val="clear" w:color="auto" w:fill="auto"/>
                <w:lang w:val="en-US" w:eastAsia="zh-CN"/>
              </w:rPr>
              <w:t>，</w:t>
            </w:r>
            <w:r>
              <w:rPr>
                <w:rFonts w:hint="eastAsia" w:ascii="Times New Roman" w:hAnsi="Times New Roman" w:eastAsia="宋体" w:cs="Times New Roman"/>
                <w:color w:val="auto"/>
                <w:sz w:val="24"/>
                <w:highlight w:val="none"/>
                <w:lang w:val="en-US" w:eastAsia="zh-CN"/>
              </w:rPr>
              <w:t>回旋水域施工区域2采用耙吸船施工工艺进行疏浚作业，开挖量为16964.58</w:t>
            </w:r>
            <w:r>
              <w:rPr>
                <w:rFonts w:hint="eastAsia" w:ascii="Times New Roman" w:hAnsi="Times New Roman" w:eastAsia="宋体" w:cs="Times New Roman"/>
                <w:b w:val="0"/>
                <w:bCs w:val="0"/>
                <w:color w:val="auto"/>
                <w:sz w:val="24"/>
                <w:highlight w:val="none"/>
                <w:u w:val="none"/>
                <w:shd w:val="clear" w:color="auto" w:fill="auto"/>
                <w:lang w:val="en-US" w:eastAsia="zh-CN"/>
              </w:rPr>
              <w:t>m</w:t>
            </w:r>
            <w:r>
              <w:rPr>
                <w:rFonts w:hint="eastAsia" w:ascii="Times New Roman" w:hAnsi="Times New Roman" w:eastAsia="宋体" w:cs="Times New Roman"/>
                <w:b w:val="0"/>
                <w:bCs w:val="0"/>
                <w:color w:val="auto"/>
                <w:sz w:val="24"/>
                <w:highlight w:val="none"/>
                <w:u w:val="none"/>
                <w:shd w:val="clear" w:color="auto" w:fill="auto"/>
                <w:vertAlign w:val="superscript"/>
                <w:lang w:val="en-US" w:eastAsia="zh-CN"/>
              </w:rPr>
              <w:t>3</w:t>
            </w:r>
            <w:r>
              <w:rPr>
                <w:rFonts w:hint="eastAsia" w:ascii="Times New Roman" w:hAnsi="Times New Roman" w:eastAsia="宋体" w:cs="Times New Roman"/>
                <w:color w:val="auto"/>
                <w:sz w:val="24"/>
                <w:highlight w:val="none"/>
                <w:lang w:val="en-US" w:eastAsia="zh-CN"/>
              </w:rPr>
              <w:t>。根据项目设计资料，项目疏浚物中90.0%为淤泥类土，10.0%为砂类土。</w:t>
            </w:r>
          </w:p>
          <w:p w14:paraId="69A2D85E">
            <w:pPr>
              <w:snapToGrid w:val="0"/>
              <w:ind w:firstLine="422" w:firstLineChars="200"/>
              <w:jc w:val="center"/>
              <w:rPr>
                <w:rFonts w:hint="default" w:eastAsia="宋体"/>
                <w:b/>
                <w:bCs/>
                <w:color w:val="auto"/>
                <w:sz w:val="24"/>
                <w:highlight w:val="none"/>
                <w:lang w:val="en-US" w:eastAsia="zh-CN"/>
              </w:rPr>
            </w:pPr>
            <w:r>
              <w:rPr>
                <w:rFonts w:hint="eastAsia"/>
                <w:b/>
                <w:bCs/>
                <w:color w:val="auto"/>
                <w:szCs w:val="21"/>
                <w:highlight w:val="none"/>
              </w:rPr>
              <w:t>表</w:t>
            </w:r>
            <w:r>
              <w:rPr>
                <w:rFonts w:hint="eastAsia"/>
                <w:b/>
                <w:bCs/>
                <w:color w:val="auto"/>
                <w:szCs w:val="21"/>
                <w:highlight w:val="none"/>
                <w:lang w:val="en-US" w:eastAsia="zh-CN"/>
              </w:rPr>
              <w:t>2.2-4</w:t>
            </w:r>
            <w:r>
              <w:rPr>
                <w:rFonts w:hint="eastAsia"/>
                <w:b/>
                <w:bCs/>
                <w:color w:val="auto"/>
                <w:szCs w:val="21"/>
                <w:highlight w:val="none"/>
              </w:rPr>
              <w:t xml:space="preserve"> </w:t>
            </w:r>
            <w:r>
              <w:rPr>
                <w:rFonts w:hint="eastAsia"/>
                <w:b/>
                <w:bCs/>
                <w:color w:val="auto"/>
                <w:szCs w:val="21"/>
                <w:highlight w:val="none"/>
                <w:lang w:val="en-US" w:eastAsia="zh-CN"/>
              </w:rPr>
              <w:t>疏浚工程量表</w:t>
            </w:r>
            <w:r>
              <w:rPr>
                <w:rFonts w:hint="eastAsia"/>
                <w:color w:val="auto"/>
                <w:highlight w:val="none"/>
                <w:lang w:val="en-US" w:eastAsia="zh-CN"/>
              </w:rPr>
              <w:t xml:space="preserve">  </w:t>
            </w:r>
            <w:r>
              <w:rPr>
                <w:rFonts w:hint="eastAsia"/>
                <w:b/>
                <w:bCs/>
                <w:color w:val="auto"/>
                <w:highlight w:val="none"/>
                <w:lang w:val="en-US" w:eastAsia="zh-CN"/>
              </w:rPr>
              <w:t>（单位：m</w:t>
            </w:r>
            <w:r>
              <w:rPr>
                <w:rFonts w:hint="eastAsia"/>
                <w:b/>
                <w:bCs/>
                <w:color w:val="auto"/>
                <w:highlight w:val="none"/>
                <w:vertAlign w:val="superscript"/>
                <w:lang w:val="en-US" w:eastAsia="zh-CN"/>
              </w:rPr>
              <w:t>3</w:t>
            </w:r>
            <w:r>
              <w:rPr>
                <w:rFonts w:hint="eastAsia"/>
                <w:b/>
                <w:bCs/>
                <w:color w:val="auto"/>
                <w:highlight w:val="none"/>
                <w:lang w:val="en-US" w:eastAsia="zh-CN"/>
              </w:rPr>
              <w:t>）</w:t>
            </w:r>
          </w:p>
          <w:tbl>
            <w:tblPr>
              <w:tblStyle w:val="46"/>
              <w:tblW w:w="8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2050"/>
              <w:gridCol w:w="2051"/>
              <w:gridCol w:w="2051"/>
            </w:tblGrid>
            <w:tr w14:paraId="069F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noWrap w:val="0"/>
                  <w:vAlign w:val="top"/>
                </w:tcPr>
                <w:p w14:paraId="016D45C1">
                  <w:pPr>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区域</w:t>
                  </w:r>
                </w:p>
              </w:tc>
              <w:tc>
                <w:tcPr>
                  <w:tcW w:w="2050" w:type="dxa"/>
                  <w:noWrap w:val="0"/>
                  <w:vAlign w:val="top"/>
                </w:tcPr>
                <w:p w14:paraId="1C676755">
                  <w:pPr>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开挖</w:t>
                  </w:r>
                </w:p>
              </w:tc>
              <w:tc>
                <w:tcPr>
                  <w:tcW w:w="2051" w:type="dxa"/>
                  <w:noWrap w:val="0"/>
                  <w:vAlign w:val="top"/>
                </w:tcPr>
                <w:p w14:paraId="34578761">
                  <w:pPr>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超挖</w:t>
                  </w:r>
                </w:p>
              </w:tc>
              <w:tc>
                <w:tcPr>
                  <w:tcW w:w="2051" w:type="dxa"/>
                  <w:noWrap w:val="0"/>
                  <w:vAlign w:val="top"/>
                </w:tcPr>
                <w:p w14:paraId="5B3DA5A7">
                  <w:pPr>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合计</w:t>
                  </w:r>
                </w:p>
              </w:tc>
            </w:tr>
            <w:tr w14:paraId="4703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noWrap w:val="0"/>
                  <w:vAlign w:val="top"/>
                </w:tcPr>
                <w:p w14:paraId="62495AC1">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区域1</w:t>
                  </w:r>
                </w:p>
              </w:tc>
              <w:tc>
                <w:tcPr>
                  <w:tcW w:w="2050" w:type="dxa"/>
                  <w:noWrap w:val="0"/>
                  <w:vAlign w:val="top"/>
                </w:tcPr>
                <w:p w14:paraId="6CFA02B2">
                  <w:pPr>
                    <w:snapToGrid w:val="0"/>
                    <w:jc w:val="center"/>
                    <w:rPr>
                      <w:rFonts w:hint="default"/>
                      <w:color w:val="auto"/>
                      <w:lang w:val="en-US" w:eastAsia="zh-CN"/>
                    </w:rPr>
                  </w:pPr>
                  <w:r>
                    <w:rPr>
                      <w:rFonts w:hint="eastAsia" w:ascii="Times New Roman" w:hAnsi="Times New Roman" w:eastAsia="宋体" w:cs="Times New Roman"/>
                      <w:b w:val="0"/>
                      <w:bCs w:val="0"/>
                      <w:color w:val="auto"/>
                      <w:sz w:val="21"/>
                      <w:szCs w:val="21"/>
                      <w:highlight w:val="none"/>
                      <w:lang w:val="en-US" w:eastAsia="zh-CN"/>
                    </w:rPr>
                    <w:t>1043.95</w:t>
                  </w:r>
                </w:p>
              </w:tc>
              <w:tc>
                <w:tcPr>
                  <w:tcW w:w="2051" w:type="dxa"/>
                  <w:noWrap w:val="0"/>
                  <w:vAlign w:val="top"/>
                </w:tcPr>
                <w:p w14:paraId="31F88BC4">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626.32</w:t>
                  </w:r>
                </w:p>
              </w:tc>
              <w:tc>
                <w:tcPr>
                  <w:tcW w:w="2051" w:type="dxa"/>
                  <w:noWrap w:val="0"/>
                  <w:vAlign w:val="top"/>
                </w:tcPr>
                <w:p w14:paraId="792E18BB">
                  <w:pPr>
                    <w:snapToGrid w:val="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1670.27</w:t>
                  </w:r>
                </w:p>
              </w:tc>
            </w:tr>
            <w:tr w14:paraId="5B60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noWrap w:val="0"/>
                  <w:vAlign w:val="top"/>
                </w:tcPr>
                <w:p w14:paraId="42C7019D">
                  <w:pPr>
                    <w:snapToGrid w:val="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区域2</w:t>
                  </w:r>
                </w:p>
              </w:tc>
              <w:tc>
                <w:tcPr>
                  <w:tcW w:w="2050" w:type="dxa"/>
                  <w:noWrap w:val="0"/>
                  <w:vAlign w:val="top"/>
                </w:tcPr>
                <w:p w14:paraId="00A81621">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14310.35</w:t>
                  </w:r>
                </w:p>
              </w:tc>
              <w:tc>
                <w:tcPr>
                  <w:tcW w:w="2051" w:type="dxa"/>
                  <w:noWrap w:val="0"/>
                  <w:vAlign w:val="top"/>
                </w:tcPr>
                <w:p w14:paraId="2ED8CF99">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2654.23</w:t>
                  </w:r>
                </w:p>
              </w:tc>
              <w:tc>
                <w:tcPr>
                  <w:tcW w:w="2051" w:type="dxa"/>
                  <w:noWrap w:val="0"/>
                  <w:vAlign w:val="top"/>
                </w:tcPr>
                <w:p w14:paraId="4C68DB61">
                  <w:pPr>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16964.58</w:t>
                  </w:r>
                </w:p>
              </w:tc>
            </w:tr>
            <w:tr w14:paraId="4A50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1" w:type="dxa"/>
                  <w:gridSpan w:val="3"/>
                  <w:noWrap w:val="0"/>
                  <w:vAlign w:val="top"/>
                </w:tcPr>
                <w:p w14:paraId="76A51DCD">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合计</w:t>
                  </w:r>
                </w:p>
              </w:tc>
              <w:tc>
                <w:tcPr>
                  <w:tcW w:w="2051" w:type="dxa"/>
                  <w:noWrap w:val="0"/>
                  <w:vAlign w:val="top"/>
                </w:tcPr>
                <w:p w14:paraId="51134E58">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18634.85</w:t>
                  </w:r>
                </w:p>
              </w:tc>
            </w:tr>
          </w:tbl>
          <w:p w14:paraId="412B0781">
            <w:pPr>
              <w:numPr>
                <w:ilvl w:val="0"/>
                <w:numId w:val="8"/>
              </w:numPr>
              <w:tabs>
                <w:tab w:val="clear" w:pos="0"/>
              </w:tabs>
              <w:spacing w:line="360" w:lineRule="auto"/>
              <w:ind w:left="0" w:leftChars="0" w:firstLine="420" w:firstLineChars="0"/>
              <w:rPr>
                <w:rFonts w:hint="eastAsia" w:ascii="Times New Roman" w:hAnsi="Times New Roman" w:eastAsia="宋体" w:cs="Times New Roman"/>
                <w:b/>
                <w:bCs/>
                <w:color w:val="auto"/>
                <w:sz w:val="24"/>
                <w:highlight w:val="none"/>
                <w:u w:val="none"/>
                <w:shd w:val="clear" w:color="auto" w:fill="auto"/>
                <w:lang w:eastAsia="zh-CN"/>
              </w:rPr>
            </w:pPr>
            <w:r>
              <w:rPr>
                <w:rFonts w:hint="eastAsia" w:ascii="Times New Roman" w:hAnsi="Times New Roman" w:eastAsia="宋体" w:cs="Times New Roman"/>
                <w:b/>
                <w:bCs/>
                <w:color w:val="auto"/>
                <w:sz w:val="24"/>
                <w:highlight w:val="none"/>
                <w:u w:val="none"/>
                <w:shd w:val="clear" w:color="auto" w:fill="auto"/>
                <w:lang w:eastAsia="zh-CN"/>
              </w:rPr>
              <w:t>设计高程</w:t>
            </w:r>
          </w:p>
          <w:p w14:paraId="01E68FFD">
            <w:pPr>
              <w:autoSpaceDE w:val="0"/>
              <w:autoSpaceDN w:val="0"/>
              <w:adjustRightInd w:val="0"/>
              <w:snapToGrid w:val="0"/>
              <w:spacing w:line="360" w:lineRule="auto"/>
              <w:ind w:firstLine="480" w:firstLineChars="200"/>
              <w:rPr>
                <w:rFonts w:hint="eastAsia"/>
                <w:b w:val="0"/>
                <w:bCs w:val="0"/>
                <w:color w:val="auto"/>
                <w:sz w:val="24"/>
                <w:highlight w:val="none"/>
                <w:u w:val="none"/>
                <w:shd w:val="clear" w:color="auto" w:fill="auto"/>
                <w:lang w:val="en-US" w:eastAsia="zh-CN"/>
              </w:rPr>
            </w:pPr>
            <w:r>
              <w:rPr>
                <w:rFonts w:hint="default" w:ascii="Times New Roman" w:hAnsi="Times New Roman" w:eastAsia="宋体" w:cs="Times New Roman"/>
                <w:b w:val="0"/>
                <w:bCs w:val="0"/>
                <w:color w:val="auto"/>
                <w:sz w:val="24"/>
                <w:highlight w:val="none"/>
                <w:u w:val="none"/>
                <w:shd w:val="clear" w:color="auto" w:fill="auto"/>
                <w:lang w:eastAsia="zh-CN"/>
              </w:rPr>
              <w:t>为满足运营需要，本次对钦州港金谷</w:t>
            </w:r>
            <w:r>
              <w:rPr>
                <w:rFonts w:hint="eastAsia" w:ascii="Times New Roman" w:hAnsi="Times New Roman" w:eastAsia="宋体" w:cs="Times New Roman"/>
                <w:b w:val="0"/>
                <w:bCs w:val="0"/>
                <w:color w:val="auto"/>
                <w:sz w:val="24"/>
                <w:highlight w:val="none"/>
                <w:u w:val="none"/>
                <w:shd w:val="clear" w:color="auto" w:fill="auto"/>
                <w:lang w:eastAsia="zh-CN"/>
              </w:rPr>
              <w:t>港区金鼓江作业区</w:t>
            </w:r>
            <w:r>
              <w:rPr>
                <w:rFonts w:hint="eastAsia" w:ascii="Times New Roman" w:hAnsi="Times New Roman" w:eastAsia="宋体" w:cs="Times New Roman"/>
                <w:b w:val="0"/>
                <w:bCs w:val="0"/>
                <w:color w:val="auto"/>
                <w:sz w:val="24"/>
                <w:highlight w:val="none"/>
                <w:u w:val="none"/>
                <w:shd w:val="clear" w:color="auto" w:fill="auto"/>
                <w:lang w:val="en-US" w:eastAsia="zh-CN"/>
              </w:rPr>
              <w:t>19</w:t>
            </w:r>
            <w:r>
              <w:rPr>
                <w:rFonts w:hint="eastAsia" w:ascii="Times New Roman" w:hAnsi="Times New Roman" w:eastAsia="宋体" w:cs="Times New Roman"/>
                <w:b w:val="0"/>
                <w:bCs w:val="0"/>
                <w:color w:val="auto"/>
                <w:sz w:val="24"/>
                <w:highlight w:val="none"/>
                <w:u w:val="none"/>
                <w:shd w:val="clear" w:color="auto" w:fill="auto"/>
                <w:lang w:eastAsia="zh-CN"/>
              </w:rPr>
              <w:t>#泊位停泊水域和回旋水域进行疏浚，</w:t>
            </w:r>
            <w:r>
              <w:rPr>
                <w:rFonts w:hint="eastAsia"/>
                <w:b w:val="0"/>
                <w:bCs w:val="0"/>
                <w:color w:val="auto"/>
                <w:sz w:val="24"/>
                <w:highlight w:val="none"/>
                <w:u w:val="none"/>
                <w:shd w:val="clear" w:color="auto" w:fill="auto"/>
                <w:lang w:val="en-US" w:eastAsia="zh-CN"/>
              </w:rPr>
              <w:t>施工范围内停泊水域清淤深度≥-14.4米，19#码头港池回旋水域（不含航道）清淤深度≥</w:t>
            </w:r>
            <w:r>
              <w:rPr>
                <w:rFonts w:hint="eastAsia" w:ascii="Times New Roman" w:hAnsi="Times New Roman" w:eastAsia="宋体" w:cs="Times New Roman"/>
                <w:b w:val="0"/>
                <w:bCs w:val="0"/>
                <w:color w:val="auto"/>
                <w:sz w:val="24"/>
                <w:highlight w:val="none"/>
                <w:u w:val="none"/>
                <w:shd w:val="clear" w:color="auto" w:fill="auto"/>
                <w:lang w:val="en-US" w:eastAsia="zh-CN"/>
              </w:rPr>
              <w:t>-11.3米</w:t>
            </w:r>
            <w:r>
              <w:rPr>
                <w:rFonts w:hint="eastAsia"/>
                <w:b w:val="0"/>
                <w:bCs w:val="0"/>
                <w:color w:val="auto"/>
                <w:sz w:val="24"/>
                <w:highlight w:val="none"/>
                <w:u w:val="none"/>
                <w:shd w:val="clear" w:color="auto" w:fill="auto"/>
                <w:lang w:val="en-US" w:eastAsia="zh-CN"/>
              </w:rPr>
              <w:t>，除此之外码头其他原设计参数不变。</w:t>
            </w:r>
          </w:p>
          <w:p w14:paraId="43B29DBB">
            <w:pPr>
              <w:numPr>
                <w:ilvl w:val="0"/>
                <w:numId w:val="8"/>
              </w:numPr>
              <w:tabs>
                <w:tab w:val="clear" w:pos="0"/>
              </w:tabs>
              <w:spacing w:line="360" w:lineRule="auto"/>
              <w:ind w:left="0" w:leftChars="0" w:firstLine="420" w:firstLineChars="0"/>
              <w:rPr>
                <w:rFonts w:hint="default" w:ascii="Times New Roman" w:hAnsi="Times New Roman" w:eastAsia="宋体" w:cs="Times New Roman"/>
                <w:b/>
                <w:bCs/>
                <w:color w:val="auto"/>
                <w:sz w:val="24"/>
                <w:highlight w:val="none"/>
                <w:u w:val="none"/>
                <w:shd w:val="clear" w:color="auto" w:fill="auto"/>
                <w:lang w:val="en-US" w:eastAsia="zh-CN"/>
              </w:rPr>
            </w:pPr>
            <w:r>
              <w:rPr>
                <w:rFonts w:hint="eastAsia" w:ascii="Times New Roman" w:hAnsi="Times New Roman" w:eastAsia="宋体" w:cs="Times New Roman"/>
                <w:b/>
                <w:bCs/>
                <w:color w:val="auto"/>
                <w:sz w:val="24"/>
                <w:highlight w:val="none"/>
                <w:u w:val="none"/>
                <w:shd w:val="clear" w:color="auto" w:fill="auto"/>
                <w:lang w:val="en-US" w:eastAsia="zh-CN"/>
              </w:rPr>
              <w:t>疏浚物处置方案</w:t>
            </w:r>
          </w:p>
          <w:p w14:paraId="1CAF8123">
            <w:pPr>
              <w:widowControl/>
              <w:spacing w:line="360" w:lineRule="auto"/>
              <w:ind w:firstLine="480" w:firstLineChars="200"/>
              <w:rPr>
                <w:rFonts w:hint="default" w:ascii="Times New Roman" w:hAnsi="Times New Roman" w:eastAsia="宋体" w:cs="Times New Roman"/>
                <w:b/>
                <w:bCs/>
                <w:color w:val="auto"/>
                <w:sz w:val="24"/>
                <w:highlight w:val="none"/>
                <w:u w:val="none"/>
                <w:shd w:val="clear" w:color="auto" w:fill="auto"/>
                <w:lang w:val="en-US" w:eastAsia="zh-CN"/>
              </w:rPr>
            </w:pPr>
            <w:r>
              <w:rPr>
                <w:rFonts w:hint="eastAsia" w:ascii="Times New Roman" w:hAnsi="Times New Roman" w:eastAsia="宋体" w:cs="Times New Roman"/>
                <w:color w:val="auto"/>
                <w:sz w:val="24"/>
                <w:highlight w:val="none"/>
                <w:u w:val="single"/>
                <w:lang w:val="en-US" w:eastAsia="zh-CN"/>
              </w:rPr>
              <w:t>根据《钦州港金谷港区金鼓江作业区19#泊位码头停泊及回旋水域清淤疏浚项目疏浚物海洋倾倒检测评价报告》（详见附件5），本项目疏浚物的所有化学组份均不超过《海洋倾倒物质评价规范疏浚物》（GB30980-2014）表1中的化学组分评价限值的下限，符合 6.1 a)的条件要求，项目中监测的所有疏浚物均为清洁疏浚物（I 类），符合向海倾倒废弃物，符合法律法规和标准的相关要求。</w:t>
            </w:r>
          </w:p>
          <w:p w14:paraId="50BFF117">
            <w:pPr>
              <w:autoSpaceDE w:val="0"/>
              <w:autoSpaceDN w:val="0"/>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根据项目设计方案，项目产生疏浚物量为1.9万</w:t>
            </w:r>
            <w:r>
              <w:rPr>
                <w:rFonts w:hint="default" w:ascii="Times New Roman" w:hAnsi="Times New Roman" w:eastAsia="宋体" w:cs="Times New Roman"/>
                <w:b w:val="0"/>
                <w:bCs w:val="0"/>
                <w:color w:val="auto"/>
                <w:sz w:val="24"/>
                <w:highlight w:val="none"/>
                <w:u w:val="none"/>
                <w:shd w:val="clear" w:color="auto" w:fill="auto"/>
                <w:lang w:val="en-US" w:eastAsia="zh-CN"/>
              </w:rPr>
              <w:t>m</w:t>
            </w:r>
            <w:r>
              <w:rPr>
                <w:rFonts w:hint="default" w:ascii="Times New Roman" w:hAnsi="Times New Roman" w:eastAsia="宋体" w:cs="Times New Roman"/>
                <w:b w:val="0"/>
                <w:bCs w:val="0"/>
                <w:color w:val="auto"/>
                <w:sz w:val="24"/>
                <w:highlight w:val="none"/>
                <w:u w:val="none"/>
                <w:shd w:val="clear" w:color="auto" w:fill="auto"/>
                <w:vertAlign w:val="superscript"/>
                <w:lang w:val="en-US" w:eastAsia="zh-CN"/>
              </w:rPr>
              <w:t>3</w:t>
            </w:r>
            <w:r>
              <w:rPr>
                <w:rFonts w:hint="eastAsia" w:ascii="Times New Roman" w:hAnsi="Times New Roman" w:eastAsia="宋体" w:cs="Times New Roman"/>
                <w:b w:val="0"/>
                <w:bCs w:val="0"/>
                <w:color w:val="auto"/>
                <w:sz w:val="24"/>
                <w:highlight w:val="none"/>
                <w:u w:val="none"/>
                <w:shd w:val="clear" w:color="auto" w:fill="auto"/>
                <w:vertAlign w:val="baseline"/>
                <w:lang w:val="en-US" w:eastAsia="zh-CN"/>
              </w:rPr>
              <w:t>，产生的疏浚物由2500</w:t>
            </w:r>
            <w:r>
              <w:rPr>
                <w:rFonts w:hint="default" w:ascii="Times New Roman" w:hAnsi="Times New Roman" w:eastAsia="宋体" w:cs="Times New Roman"/>
                <w:b w:val="0"/>
                <w:bCs w:val="0"/>
                <w:color w:val="auto"/>
                <w:sz w:val="24"/>
                <w:highlight w:val="none"/>
                <w:u w:val="none"/>
                <w:shd w:val="clear" w:color="auto" w:fill="auto"/>
                <w:lang w:val="en-US" w:eastAsia="zh-CN"/>
              </w:rPr>
              <w:t>m</w:t>
            </w:r>
            <w:r>
              <w:rPr>
                <w:rFonts w:hint="default" w:ascii="Times New Roman" w:hAnsi="Times New Roman" w:eastAsia="宋体" w:cs="Times New Roman"/>
                <w:b w:val="0"/>
                <w:bCs w:val="0"/>
                <w:color w:val="auto"/>
                <w:sz w:val="24"/>
                <w:highlight w:val="none"/>
                <w:u w:val="none"/>
                <w:shd w:val="clear" w:color="auto" w:fill="auto"/>
                <w:vertAlign w:val="superscript"/>
                <w:lang w:val="en-US" w:eastAsia="zh-CN"/>
              </w:rPr>
              <w:t>3</w:t>
            </w:r>
            <w:r>
              <w:rPr>
                <w:rFonts w:hint="eastAsia" w:ascii="Times New Roman" w:hAnsi="Times New Roman" w:eastAsia="宋体" w:cs="Times New Roman"/>
                <w:b w:val="0"/>
                <w:bCs w:val="0"/>
                <w:color w:val="auto"/>
                <w:sz w:val="24"/>
                <w:highlight w:val="none"/>
                <w:u w:val="none"/>
                <w:shd w:val="clear" w:color="auto" w:fill="auto"/>
                <w:vertAlign w:val="baseline"/>
                <w:lang w:val="en-US" w:eastAsia="zh-CN"/>
              </w:rPr>
              <w:t>泥驳船和3500</w:t>
            </w:r>
            <w:r>
              <w:rPr>
                <w:rFonts w:hint="default" w:ascii="Times New Roman" w:hAnsi="Times New Roman" w:eastAsia="宋体" w:cs="Times New Roman"/>
                <w:b w:val="0"/>
                <w:bCs w:val="0"/>
                <w:color w:val="auto"/>
                <w:sz w:val="24"/>
                <w:highlight w:val="none"/>
                <w:u w:val="none"/>
                <w:shd w:val="clear" w:color="auto" w:fill="auto"/>
                <w:lang w:val="en-US" w:eastAsia="zh-CN"/>
              </w:rPr>
              <w:t>m</w:t>
            </w:r>
            <w:r>
              <w:rPr>
                <w:rFonts w:hint="default" w:ascii="Times New Roman" w:hAnsi="Times New Roman" w:eastAsia="宋体" w:cs="Times New Roman"/>
                <w:b w:val="0"/>
                <w:bCs w:val="0"/>
                <w:color w:val="auto"/>
                <w:sz w:val="24"/>
                <w:highlight w:val="none"/>
                <w:u w:val="none"/>
                <w:shd w:val="clear" w:color="auto" w:fill="auto"/>
                <w:vertAlign w:val="superscript"/>
                <w:lang w:val="en-US" w:eastAsia="zh-CN"/>
              </w:rPr>
              <w:t>3</w:t>
            </w:r>
            <w:r>
              <w:rPr>
                <w:rFonts w:hint="eastAsia" w:ascii="Times New Roman" w:hAnsi="Times New Roman" w:eastAsia="宋体" w:cs="Times New Roman"/>
                <w:b w:val="0"/>
                <w:bCs w:val="0"/>
                <w:color w:val="auto"/>
                <w:sz w:val="24"/>
                <w:highlight w:val="none"/>
                <w:u w:val="none"/>
                <w:shd w:val="clear" w:color="auto" w:fill="auto"/>
                <w:vertAlign w:val="baseline"/>
                <w:lang w:val="en-US" w:eastAsia="zh-CN"/>
              </w:rPr>
              <w:t>耙吸船运输至</w:t>
            </w:r>
            <w:r>
              <w:rPr>
                <w:rFonts w:hint="eastAsia" w:ascii="Times New Roman" w:hAnsi="Times New Roman" w:eastAsia="宋体" w:cs="Times New Roman"/>
                <w:b w:val="0"/>
                <w:bCs w:val="0"/>
                <w:color w:val="auto"/>
                <w:sz w:val="24"/>
                <w:highlight w:val="none"/>
                <w:u w:val="none"/>
                <w:shd w:val="clear" w:color="auto" w:fill="auto"/>
                <w:lang w:val="en-US" w:eastAsia="zh-CN"/>
              </w:rPr>
              <w:t>防城港2#倾倒区</w:t>
            </w:r>
            <w:r>
              <w:rPr>
                <w:rFonts w:hint="eastAsia" w:ascii="Times New Roman" w:hAnsi="Times New Roman" w:eastAsia="宋体" w:cs="Times New Roman"/>
                <w:b w:val="0"/>
                <w:bCs w:val="0"/>
                <w:color w:val="auto"/>
                <w:sz w:val="24"/>
                <w:highlight w:val="none"/>
                <w:u w:val="none"/>
                <w:shd w:val="clear" w:color="auto" w:fill="auto"/>
                <w:vertAlign w:val="baseline"/>
                <w:lang w:val="en-US" w:eastAsia="zh-CN"/>
              </w:rPr>
              <w:t>进行抛泥，</w:t>
            </w:r>
            <w:r>
              <w:rPr>
                <w:rFonts w:hint="eastAsia" w:ascii="Times New Roman" w:hAnsi="Times New Roman" w:eastAsia="宋体" w:cs="Times New Roman"/>
                <w:b w:val="0"/>
                <w:bCs w:val="0"/>
                <w:color w:val="auto"/>
                <w:sz w:val="24"/>
                <w:highlight w:val="none"/>
                <w:u w:val="none"/>
                <w:shd w:val="clear" w:color="auto" w:fill="auto"/>
                <w:lang w:val="en-US" w:eastAsia="zh-CN"/>
              </w:rPr>
              <w:t>抛泥完成后返回项目循环作业，</w:t>
            </w:r>
            <w:r>
              <w:rPr>
                <w:rFonts w:hint="eastAsia" w:ascii="Times New Roman" w:hAnsi="Times New Roman" w:eastAsia="宋体" w:cs="Times New Roman"/>
                <w:b w:val="0"/>
                <w:bCs w:val="0"/>
                <w:color w:val="auto"/>
                <w:sz w:val="24"/>
                <w:highlight w:val="none"/>
                <w:u w:val="single"/>
                <w:shd w:val="clear" w:color="auto" w:fill="auto"/>
                <w:lang w:val="en-US" w:eastAsia="zh-CN"/>
              </w:rPr>
              <w:t>疏浚物运输航线距离约45km。</w:t>
            </w:r>
          </w:p>
          <w:p w14:paraId="0D2013AA">
            <w:pPr>
              <w:autoSpaceDE w:val="0"/>
              <w:autoSpaceDN w:val="0"/>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项目施工前，建设单位应向生态环境部申请海洋废弃物倾倒许可文件。</w:t>
            </w:r>
          </w:p>
          <w:p w14:paraId="385E67A1">
            <w:pPr>
              <w:numPr>
                <w:ilvl w:val="0"/>
                <w:numId w:val="8"/>
              </w:numPr>
              <w:tabs>
                <w:tab w:val="clear" w:pos="0"/>
              </w:tabs>
              <w:spacing w:line="360" w:lineRule="auto"/>
              <w:ind w:left="0" w:leftChars="0" w:firstLine="420" w:firstLineChars="0"/>
              <w:rPr>
                <w:rFonts w:hint="default" w:ascii="Times New Roman" w:hAnsi="Times New Roman" w:eastAsia="宋体" w:cs="Times New Roman"/>
                <w:b/>
                <w:bCs/>
                <w:color w:val="auto"/>
                <w:sz w:val="24"/>
                <w:highlight w:val="none"/>
                <w:u w:val="none"/>
                <w:shd w:val="clear" w:color="auto" w:fill="auto"/>
                <w:lang w:val="en-US" w:eastAsia="zh-CN"/>
              </w:rPr>
            </w:pPr>
            <w:r>
              <w:rPr>
                <w:rFonts w:hint="eastAsia" w:ascii="Times New Roman" w:hAnsi="Times New Roman" w:eastAsia="宋体" w:cs="Times New Roman"/>
                <w:b/>
                <w:bCs/>
                <w:color w:val="auto"/>
                <w:sz w:val="24"/>
                <w:highlight w:val="none"/>
                <w:u w:val="none"/>
                <w:shd w:val="clear" w:color="auto" w:fill="auto"/>
                <w:lang w:val="en-US" w:eastAsia="zh-CN"/>
              </w:rPr>
              <w:t>抛泥区范围及运输航线</w:t>
            </w:r>
          </w:p>
          <w:p w14:paraId="5085073B">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eastAsia="zh-CN"/>
              </w:rPr>
              <w:t>根据生态环境部</w:t>
            </w:r>
            <w:r>
              <w:rPr>
                <w:rFonts w:hint="eastAsia" w:ascii="Times New Roman" w:hAnsi="Times New Roman" w:eastAsia="宋体" w:cs="Times New Roman"/>
                <w:b w:val="0"/>
                <w:bCs w:val="0"/>
                <w:color w:val="auto"/>
                <w:sz w:val="24"/>
                <w:highlight w:val="none"/>
                <w:u w:val="none"/>
                <w:shd w:val="clear" w:color="auto" w:fill="auto"/>
                <w:lang w:val="en-US" w:eastAsia="zh-CN"/>
              </w:rPr>
              <w:t>2024年第9号《关于设立防城港2#倾倒区等5个倾倒区的公告》，防城港2#倾倒区具体划分海域信息如下表。</w:t>
            </w:r>
          </w:p>
          <w:p w14:paraId="65096F48">
            <w:pPr>
              <w:snapToGrid w:val="0"/>
              <w:ind w:firstLine="422" w:firstLineChars="20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表2.2--3  防城港2＃倾倒区海域范围坐标表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971"/>
              <w:gridCol w:w="2152"/>
              <w:gridCol w:w="1435"/>
              <w:gridCol w:w="1633"/>
            </w:tblGrid>
            <w:tr w14:paraId="560D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07" w:type="pct"/>
                  <w:noWrap w:val="0"/>
                  <w:vAlign w:val="center"/>
                </w:tcPr>
                <w:p w14:paraId="78E645B0">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界址点</w:t>
                  </w:r>
                </w:p>
              </w:tc>
              <w:tc>
                <w:tcPr>
                  <w:tcW w:w="1176" w:type="pct"/>
                  <w:noWrap w:val="0"/>
                  <w:vAlign w:val="center"/>
                </w:tcPr>
                <w:p w14:paraId="3B389221">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经度</w:t>
                  </w:r>
                </w:p>
              </w:tc>
              <w:tc>
                <w:tcPr>
                  <w:tcW w:w="1284" w:type="pct"/>
                  <w:noWrap w:val="0"/>
                  <w:vAlign w:val="center"/>
                </w:tcPr>
                <w:p w14:paraId="075AD5EC">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纬度</w:t>
                  </w:r>
                </w:p>
              </w:tc>
              <w:tc>
                <w:tcPr>
                  <w:tcW w:w="856" w:type="pct"/>
                  <w:noWrap w:val="0"/>
                  <w:vAlign w:val="center"/>
                </w:tcPr>
                <w:p w14:paraId="4249111A">
                  <w:pPr>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面积（km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w:t>
                  </w:r>
                </w:p>
              </w:tc>
              <w:tc>
                <w:tcPr>
                  <w:tcW w:w="974" w:type="pct"/>
                  <w:noWrap w:val="0"/>
                  <w:vAlign w:val="center"/>
                </w:tcPr>
                <w:p w14:paraId="0B39D68A">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用途</w:t>
                  </w:r>
                </w:p>
              </w:tc>
            </w:tr>
            <w:tr w14:paraId="28CC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59" w:type="dxa"/>
                  <w:noWrap w:val="0"/>
                  <w:vAlign w:val="center"/>
                </w:tcPr>
                <w:p w14:paraId="21AC8A0B">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927" w:type="dxa"/>
                  <w:noWrap w:val="0"/>
                  <w:vAlign w:val="center"/>
                </w:tcPr>
                <w:p w14:paraId="3E97E92F">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108°30′29.47″</w:t>
                  </w:r>
                </w:p>
              </w:tc>
              <w:tc>
                <w:tcPr>
                  <w:tcW w:w="2104" w:type="dxa"/>
                  <w:noWrap w:val="0"/>
                  <w:vAlign w:val="center"/>
                </w:tcPr>
                <w:p w14:paraId="43A383E4">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21°24′54.76″</w:t>
                  </w:r>
                </w:p>
              </w:tc>
              <w:tc>
                <w:tcPr>
                  <w:tcW w:w="856" w:type="pct"/>
                  <w:vMerge w:val="restart"/>
                  <w:noWrap w:val="0"/>
                  <w:vAlign w:val="center"/>
                </w:tcPr>
                <w:p w14:paraId="3AB69F17">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color w:val="auto"/>
                      <w:sz w:val="21"/>
                      <w:szCs w:val="21"/>
                      <w:highlight w:val="none"/>
                      <w:u w:val="none"/>
                      <w:shd w:val="clear" w:color="auto" w:fill="auto"/>
                      <w:lang w:val="en-US" w:eastAsia="zh-CN"/>
                    </w:rPr>
                    <w:t>9.3</w:t>
                  </w:r>
                </w:p>
              </w:tc>
              <w:tc>
                <w:tcPr>
                  <w:tcW w:w="974" w:type="pct"/>
                  <w:vMerge w:val="restart"/>
                  <w:noWrap w:val="0"/>
                  <w:vAlign w:val="center"/>
                </w:tcPr>
                <w:p w14:paraId="15C10A8B">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用于处置符合相关标准和要求的疏浚物</w:t>
                  </w:r>
                </w:p>
              </w:tc>
            </w:tr>
            <w:tr w14:paraId="1FE6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59" w:type="dxa"/>
                  <w:noWrap w:val="0"/>
                  <w:vAlign w:val="center"/>
                </w:tcPr>
                <w:p w14:paraId="61D205A9">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927" w:type="dxa"/>
                  <w:noWrap w:val="0"/>
                  <w:vAlign w:val="center"/>
                </w:tcPr>
                <w:p w14:paraId="3436A81D">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108°30′29.47″</w:t>
                  </w:r>
                </w:p>
              </w:tc>
              <w:tc>
                <w:tcPr>
                  <w:tcW w:w="2104" w:type="dxa"/>
                  <w:noWrap w:val="0"/>
                  <w:vAlign w:val="center"/>
                </w:tcPr>
                <w:p w14:paraId="1BEB0A27">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21°22′44.54″</w:t>
                  </w:r>
                </w:p>
              </w:tc>
              <w:tc>
                <w:tcPr>
                  <w:tcW w:w="856" w:type="pct"/>
                  <w:vMerge w:val="continue"/>
                  <w:noWrap w:val="0"/>
                  <w:vAlign w:val="center"/>
                </w:tcPr>
                <w:p w14:paraId="4EF1AE92">
                  <w:pPr>
                    <w:snapToGrid w:val="0"/>
                    <w:jc w:val="center"/>
                    <w:rPr>
                      <w:rFonts w:hint="default" w:ascii="Times New Roman" w:hAnsi="Times New Roman" w:cs="Times New Roman"/>
                      <w:color w:val="auto"/>
                      <w:sz w:val="21"/>
                      <w:szCs w:val="21"/>
                      <w:highlight w:val="none"/>
                    </w:rPr>
                  </w:pPr>
                </w:p>
              </w:tc>
              <w:tc>
                <w:tcPr>
                  <w:tcW w:w="974" w:type="pct"/>
                  <w:vMerge w:val="continue"/>
                  <w:noWrap w:val="0"/>
                  <w:vAlign w:val="center"/>
                </w:tcPr>
                <w:p w14:paraId="0FB3DEA6">
                  <w:pPr>
                    <w:snapToGrid w:val="0"/>
                    <w:jc w:val="center"/>
                    <w:rPr>
                      <w:rFonts w:hint="default" w:ascii="Times New Roman" w:hAnsi="Times New Roman" w:cs="Times New Roman"/>
                      <w:color w:val="auto"/>
                      <w:sz w:val="21"/>
                      <w:szCs w:val="21"/>
                      <w:highlight w:val="none"/>
                    </w:rPr>
                  </w:pPr>
                </w:p>
              </w:tc>
            </w:tr>
            <w:tr w14:paraId="349C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59" w:type="dxa"/>
                  <w:noWrap w:val="0"/>
                  <w:vAlign w:val="center"/>
                </w:tcPr>
                <w:p w14:paraId="4B3D2544">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927" w:type="dxa"/>
                  <w:noWrap w:val="0"/>
                  <w:vAlign w:val="center"/>
                </w:tcPr>
                <w:p w14:paraId="13732144">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108°31′49.80″</w:t>
                  </w:r>
                </w:p>
              </w:tc>
              <w:tc>
                <w:tcPr>
                  <w:tcW w:w="2104" w:type="dxa"/>
                  <w:noWrap w:val="0"/>
                  <w:vAlign w:val="center"/>
                </w:tcPr>
                <w:p w14:paraId="76F3FE25">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21°22′43.96″</w:t>
                  </w:r>
                </w:p>
              </w:tc>
              <w:tc>
                <w:tcPr>
                  <w:tcW w:w="856" w:type="pct"/>
                  <w:vMerge w:val="continue"/>
                  <w:noWrap w:val="0"/>
                  <w:vAlign w:val="center"/>
                </w:tcPr>
                <w:p w14:paraId="770E3E7D">
                  <w:pPr>
                    <w:snapToGrid w:val="0"/>
                    <w:jc w:val="center"/>
                    <w:rPr>
                      <w:rFonts w:hint="default" w:ascii="Times New Roman" w:hAnsi="Times New Roman" w:cs="Times New Roman"/>
                      <w:color w:val="auto"/>
                      <w:sz w:val="21"/>
                      <w:szCs w:val="21"/>
                      <w:highlight w:val="none"/>
                    </w:rPr>
                  </w:pPr>
                </w:p>
              </w:tc>
              <w:tc>
                <w:tcPr>
                  <w:tcW w:w="974" w:type="pct"/>
                  <w:vMerge w:val="continue"/>
                  <w:noWrap w:val="0"/>
                  <w:vAlign w:val="center"/>
                </w:tcPr>
                <w:p w14:paraId="12B7D336">
                  <w:pPr>
                    <w:snapToGrid w:val="0"/>
                    <w:jc w:val="center"/>
                    <w:rPr>
                      <w:rFonts w:hint="default" w:ascii="Times New Roman" w:hAnsi="Times New Roman" w:cs="Times New Roman"/>
                      <w:color w:val="auto"/>
                      <w:sz w:val="21"/>
                      <w:szCs w:val="21"/>
                      <w:highlight w:val="none"/>
                    </w:rPr>
                  </w:pPr>
                </w:p>
              </w:tc>
            </w:tr>
            <w:tr w14:paraId="5D1F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59" w:type="dxa"/>
                  <w:noWrap w:val="0"/>
                  <w:vAlign w:val="center"/>
                </w:tcPr>
                <w:p w14:paraId="59778160">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1927" w:type="dxa"/>
                  <w:noWrap w:val="0"/>
                  <w:vAlign w:val="center"/>
                </w:tcPr>
                <w:p w14:paraId="0BEA43FB">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108°31′48.57″</w:t>
                  </w:r>
                </w:p>
              </w:tc>
              <w:tc>
                <w:tcPr>
                  <w:tcW w:w="2104" w:type="dxa"/>
                  <w:noWrap w:val="0"/>
                  <w:vAlign w:val="center"/>
                </w:tcPr>
                <w:p w14:paraId="42629097">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21°24′56.49″</w:t>
                  </w:r>
                </w:p>
              </w:tc>
              <w:tc>
                <w:tcPr>
                  <w:tcW w:w="856" w:type="pct"/>
                  <w:vMerge w:val="continue"/>
                  <w:noWrap w:val="0"/>
                  <w:vAlign w:val="center"/>
                </w:tcPr>
                <w:p w14:paraId="65586D21">
                  <w:pPr>
                    <w:snapToGrid w:val="0"/>
                    <w:jc w:val="center"/>
                    <w:rPr>
                      <w:rFonts w:hint="default" w:ascii="Times New Roman" w:hAnsi="Times New Roman" w:cs="Times New Roman"/>
                      <w:color w:val="auto"/>
                      <w:sz w:val="21"/>
                      <w:szCs w:val="21"/>
                      <w:highlight w:val="none"/>
                    </w:rPr>
                  </w:pPr>
                </w:p>
              </w:tc>
              <w:tc>
                <w:tcPr>
                  <w:tcW w:w="974" w:type="pct"/>
                  <w:vMerge w:val="continue"/>
                  <w:noWrap w:val="0"/>
                  <w:vAlign w:val="center"/>
                </w:tcPr>
                <w:p w14:paraId="50518F3C">
                  <w:pPr>
                    <w:snapToGrid w:val="0"/>
                    <w:jc w:val="center"/>
                    <w:rPr>
                      <w:rFonts w:hint="default" w:ascii="Times New Roman" w:hAnsi="Times New Roman" w:cs="Times New Roman"/>
                      <w:color w:val="auto"/>
                      <w:sz w:val="21"/>
                      <w:szCs w:val="21"/>
                      <w:highlight w:val="none"/>
                    </w:rPr>
                  </w:pPr>
                </w:p>
              </w:tc>
            </w:tr>
          </w:tbl>
          <w:p w14:paraId="0900F9AC">
            <w:pPr>
              <w:autoSpaceDE w:val="0"/>
              <w:autoSpaceDN w:val="0"/>
              <w:adjustRightInd w:val="0"/>
              <w:snapToGrid w:val="0"/>
              <w:spacing w:line="360" w:lineRule="auto"/>
              <w:rPr>
                <w:color w:val="auto"/>
              </w:rPr>
            </w:pPr>
          </w:p>
          <w:p w14:paraId="31E97312">
            <w:pPr>
              <w:autoSpaceDE w:val="0"/>
              <w:autoSpaceDN w:val="0"/>
              <w:adjustRightInd w:val="0"/>
              <w:snapToGrid w:val="0"/>
              <w:spacing w:line="360" w:lineRule="auto"/>
              <w:rPr>
                <w:color w:val="auto"/>
              </w:rPr>
            </w:pPr>
            <w:r>
              <w:rPr>
                <w:color w:val="auto"/>
              </w:rPr>
              <w:drawing>
                <wp:inline distT="0" distB="0" distL="114300" distR="114300">
                  <wp:extent cx="5200650" cy="4267200"/>
                  <wp:effectExtent l="0" t="0" r="0" b="0"/>
                  <wp:docPr id="2"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7"/>
                          <pic:cNvPicPr>
                            <a:picLocks noChangeAspect="1"/>
                          </pic:cNvPicPr>
                        </pic:nvPicPr>
                        <pic:blipFill>
                          <a:blip r:embed="rId12"/>
                          <a:stretch>
                            <a:fillRect/>
                          </a:stretch>
                        </pic:blipFill>
                        <pic:spPr>
                          <a:xfrm>
                            <a:off x="0" y="0"/>
                            <a:ext cx="5200650" cy="4267200"/>
                          </a:xfrm>
                          <a:prstGeom prst="rect">
                            <a:avLst/>
                          </a:prstGeom>
                          <a:noFill/>
                          <a:ln>
                            <a:noFill/>
                          </a:ln>
                        </pic:spPr>
                      </pic:pic>
                    </a:graphicData>
                  </a:graphic>
                </wp:inline>
              </w:drawing>
            </w:r>
          </w:p>
          <w:p w14:paraId="346C50C9">
            <w:pPr>
              <w:autoSpaceDE w:val="0"/>
              <w:autoSpaceDN w:val="0"/>
              <w:adjustRightInd w:val="0"/>
              <w:snapToGrid w:val="0"/>
              <w:spacing w:line="360" w:lineRule="auto"/>
              <w:jc w:val="center"/>
              <w:rPr>
                <w:rFonts w:hint="eastAsia"/>
                <w:color w:val="auto"/>
                <w:lang w:val="en-US" w:eastAsia="zh-CN"/>
              </w:rPr>
            </w:pPr>
            <w:r>
              <w:rPr>
                <w:rFonts w:hint="eastAsia"/>
                <w:b/>
                <w:bCs/>
                <w:color w:val="auto"/>
                <w:sz w:val="24"/>
                <w:szCs w:val="24"/>
                <w:highlight w:val="none"/>
                <w:u w:val="single"/>
                <w:lang w:eastAsia="zh-CN"/>
              </w:rPr>
              <w:t>图</w:t>
            </w:r>
            <w:r>
              <w:rPr>
                <w:rFonts w:hint="eastAsia"/>
                <w:b/>
                <w:bCs/>
                <w:color w:val="auto"/>
                <w:sz w:val="24"/>
                <w:szCs w:val="24"/>
                <w:highlight w:val="none"/>
                <w:u w:val="single"/>
                <w:lang w:val="en-US" w:eastAsia="zh-CN"/>
              </w:rPr>
              <w:t xml:space="preserve">2-1 </w:t>
            </w:r>
            <w:r>
              <w:rPr>
                <w:rFonts w:hint="eastAsia" w:ascii="Times New Roman" w:hAnsi="Times New Roman" w:eastAsia="宋体" w:cs="Times New Roman"/>
                <w:b/>
                <w:bCs/>
                <w:color w:val="auto"/>
                <w:sz w:val="24"/>
                <w:szCs w:val="24"/>
                <w:highlight w:val="none"/>
                <w:u w:val="single"/>
                <w:lang w:val="en-US" w:eastAsia="zh-CN"/>
              </w:rPr>
              <w:t>防城港2＃倾倒区海域范围及抛泥运输航线</w:t>
            </w:r>
          </w:p>
        </w:tc>
      </w:tr>
      <w:tr w14:paraId="14FCE8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642" w:type="dxa"/>
            <w:noWrap w:val="0"/>
            <w:vAlign w:val="center"/>
          </w:tcPr>
          <w:p w14:paraId="1ECB7F56">
            <w:pPr>
              <w:pStyle w:val="40"/>
              <w:adjustRightInd w:val="0"/>
              <w:snapToGrid w:val="0"/>
              <w:spacing w:before="0" w:beforeAutospacing="0" w:after="0" w:afterAutospacing="0"/>
              <w:jc w:val="center"/>
              <w:rPr>
                <w:rFonts w:hint="eastAsia" w:cs="宋体"/>
                <w:color w:val="auto"/>
                <w:szCs w:val="21"/>
                <w:highlight w:val="none"/>
              </w:rPr>
            </w:pPr>
            <w:r>
              <w:rPr>
                <w:rFonts w:hint="eastAsia" w:cs="宋体"/>
                <w:color w:val="auto"/>
                <w:szCs w:val="21"/>
                <w:highlight w:val="none"/>
              </w:rPr>
              <w:t>总平面及现场布置</w:t>
            </w:r>
          </w:p>
        </w:tc>
        <w:tc>
          <w:tcPr>
            <w:tcW w:w="8418" w:type="dxa"/>
            <w:noWrap w:val="0"/>
            <w:vAlign w:val="top"/>
          </w:tcPr>
          <w:p w14:paraId="3EDC66E2">
            <w:pPr>
              <w:adjustRightInd w:val="0"/>
              <w:spacing w:line="360" w:lineRule="auto"/>
              <w:textAlignment w:val="baseline"/>
              <w:rPr>
                <w:b/>
                <w:color w:val="auto"/>
                <w:sz w:val="28"/>
                <w:szCs w:val="28"/>
                <w:highlight w:val="none"/>
              </w:rPr>
            </w:pPr>
            <w:r>
              <w:rPr>
                <w:rFonts w:hint="eastAsia"/>
                <w:b/>
                <w:color w:val="auto"/>
                <w:sz w:val="28"/>
                <w:szCs w:val="28"/>
                <w:highlight w:val="none"/>
                <w:lang w:val="en-US" w:eastAsia="zh-CN"/>
              </w:rPr>
              <w:t>2.3.1</w:t>
            </w:r>
            <w:r>
              <w:rPr>
                <w:b/>
                <w:color w:val="auto"/>
                <w:sz w:val="28"/>
                <w:szCs w:val="28"/>
                <w:highlight w:val="none"/>
              </w:rPr>
              <w:t>总平面布置</w:t>
            </w:r>
          </w:p>
          <w:p w14:paraId="17471BAA">
            <w:pPr>
              <w:spacing w:line="360" w:lineRule="auto"/>
              <w:ind w:firstLine="480" w:firstLineChars="200"/>
              <w:rPr>
                <w:color w:val="auto"/>
                <w:sz w:val="24"/>
                <w:highlight w:val="none"/>
              </w:rPr>
            </w:pPr>
            <w:r>
              <w:rPr>
                <w:rFonts w:hint="eastAsia"/>
                <w:color w:val="auto"/>
                <w:sz w:val="24"/>
                <w:highlight w:val="none"/>
                <w:lang w:eastAsia="zh-CN"/>
              </w:rPr>
              <w:t>本次维护性疏浚工程总平面布置包含停泊水域、回旋水域。本项目对码头停泊水域、回旋水域进行清淤疏浚，疏浚面积约</w:t>
            </w:r>
            <w:r>
              <w:rPr>
                <w:rFonts w:hint="eastAsia"/>
                <w:color w:val="auto"/>
                <w:sz w:val="24"/>
                <w:highlight w:val="none"/>
                <w:lang w:val="en-US" w:eastAsia="zh-CN"/>
              </w:rPr>
              <w:t>14.15hm</w:t>
            </w:r>
            <w:r>
              <w:rPr>
                <w:rFonts w:hint="eastAsia"/>
                <w:color w:val="auto"/>
                <w:sz w:val="24"/>
                <w:highlight w:val="none"/>
                <w:vertAlign w:val="superscript"/>
                <w:lang w:val="en-US" w:eastAsia="zh-CN"/>
              </w:rPr>
              <w:t>2</w:t>
            </w:r>
            <w:r>
              <w:rPr>
                <w:rFonts w:hint="eastAsia"/>
                <w:color w:val="auto"/>
                <w:sz w:val="24"/>
                <w:highlight w:val="none"/>
                <w:lang w:eastAsia="zh-CN"/>
              </w:rPr>
              <w:t>，依托金鼓江航道将疏浚物运输至防城港2#倾倒区进行抛泥，抛泥运输航线距离约</w:t>
            </w:r>
            <w:r>
              <w:rPr>
                <w:rFonts w:hint="eastAsia"/>
                <w:color w:val="auto"/>
                <w:sz w:val="24"/>
                <w:highlight w:val="none"/>
                <w:lang w:val="en-US" w:eastAsia="zh-CN"/>
              </w:rPr>
              <w:t>45km</w:t>
            </w:r>
            <w:r>
              <w:rPr>
                <w:color w:val="auto"/>
                <w:sz w:val="24"/>
                <w:highlight w:val="none"/>
              </w:rPr>
              <w:t>。</w:t>
            </w:r>
          </w:p>
          <w:p w14:paraId="695A2FC0">
            <w:pPr>
              <w:spacing w:line="360" w:lineRule="auto"/>
              <w:ind w:firstLine="480" w:firstLineChars="200"/>
              <w:rPr>
                <w:color w:val="auto"/>
                <w:sz w:val="24"/>
                <w:highlight w:val="none"/>
              </w:rPr>
            </w:pPr>
            <w:r>
              <w:rPr>
                <w:rFonts w:hint="eastAsia"/>
                <w:color w:val="auto"/>
                <w:sz w:val="24"/>
                <w:highlight w:val="none"/>
                <w:lang w:eastAsia="zh-CN"/>
              </w:rPr>
              <w:t>项目总平面布置图详见附图</w:t>
            </w:r>
            <w:r>
              <w:rPr>
                <w:rFonts w:hint="eastAsia"/>
                <w:color w:val="auto"/>
                <w:sz w:val="24"/>
                <w:highlight w:val="none"/>
                <w:lang w:val="en-US" w:eastAsia="zh-CN"/>
              </w:rPr>
              <w:t>2</w:t>
            </w:r>
            <w:r>
              <w:rPr>
                <w:color w:val="auto"/>
                <w:sz w:val="24"/>
                <w:highlight w:val="none"/>
              </w:rPr>
              <w:t>。</w:t>
            </w:r>
          </w:p>
          <w:p w14:paraId="5DA058AE">
            <w:pPr>
              <w:adjustRightInd w:val="0"/>
              <w:spacing w:line="360" w:lineRule="auto"/>
              <w:textAlignment w:val="baseline"/>
              <w:rPr>
                <w:b/>
                <w:color w:val="auto"/>
                <w:sz w:val="28"/>
                <w:szCs w:val="28"/>
                <w:highlight w:val="none"/>
              </w:rPr>
            </w:pPr>
            <w:r>
              <w:rPr>
                <w:rFonts w:hint="eastAsia"/>
                <w:b/>
                <w:color w:val="auto"/>
                <w:sz w:val="28"/>
                <w:szCs w:val="28"/>
                <w:highlight w:val="none"/>
                <w:lang w:val="en-US" w:eastAsia="zh-CN"/>
              </w:rPr>
              <w:t>2.3.2</w:t>
            </w:r>
            <w:r>
              <w:rPr>
                <w:rFonts w:hint="eastAsia"/>
                <w:b/>
                <w:color w:val="auto"/>
                <w:sz w:val="28"/>
                <w:szCs w:val="28"/>
                <w:highlight w:val="none"/>
              </w:rPr>
              <w:t>施工总体布</w:t>
            </w:r>
            <w:r>
              <w:rPr>
                <w:b/>
                <w:color w:val="auto"/>
                <w:sz w:val="28"/>
                <w:szCs w:val="28"/>
                <w:highlight w:val="none"/>
              </w:rPr>
              <w:t>置</w:t>
            </w:r>
          </w:p>
          <w:p w14:paraId="648518A7">
            <w:pPr>
              <w:spacing w:line="360" w:lineRule="auto"/>
              <w:ind w:firstLine="480" w:firstLineChars="200"/>
              <w:rPr>
                <w:rFonts w:hint="eastAsia"/>
                <w:color w:val="auto"/>
                <w:sz w:val="24"/>
                <w:highlight w:val="none"/>
                <w:lang w:eastAsia="zh-CN"/>
              </w:rPr>
            </w:pPr>
            <w:r>
              <w:rPr>
                <w:rFonts w:hint="eastAsia" w:ascii="Times New Roman" w:hAnsi="Times New Roman" w:eastAsia="宋体" w:cs="Times New Roman"/>
                <w:color w:val="auto"/>
                <w:sz w:val="24"/>
                <w:highlight w:val="none"/>
                <w:lang w:eastAsia="zh-CN"/>
              </w:rPr>
              <w:t>本项目维护性疏浚分为</w:t>
            </w:r>
            <w:r>
              <w:rPr>
                <w:rFonts w:hint="eastAsia" w:ascii="Times New Roman" w:hAnsi="Times New Roman" w:eastAsia="宋体" w:cs="Times New Roman"/>
                <w:color w:val="auto"/>
                <w:sz w:val="24"/>
                <w:highlight w:val="none"/>
                <w:lang w:val="en-US" w:eastAsia="zh-CN"/>
              </w:rPr>
              <w:t>19</w:t>
            </w:r>
            <w:r>
              <w:rPr>
                <w:rFonts w:hint="eastAsia" w:ascii="Times New Roman" w:hAnsi="Times New Roman" w:eastAsia="宋体" w:cs="Times New Roman"/>
                <w:color w:val="auto"/>
                <w:sz w:val="24"/>
                <w:highlight w:val="none"/>
                <w:lang w:eastAsia="zh-CN"/>
              </w:rPr>
              <w:t>#停泊水域、回旋水域</w:t>
            </w:r>
            <w:r>
              <w:rPr>
                <w:rFonts w:hint="eastAsia" w:ascii="Times New Roman" w:hAnsi="Times New Roman" w:eastAsia="宋体" w:cs="Times New Roman"/>
                <w:color w:val="auto"/>
                <w:sz w:val="24"/>
                <w:highlight w:val="none"/>
                <w:lang w:val="en-US" w:eastAsia="zh-CN"/>
              </w:rPr>
              <w:t>2个部分，受水工建筑和地形影响，施工对19</w:t>
            </w:r>
            <w:r>
              <w:rPr>
                <w:rFonts w:hint="eastAsia" w:ascii="Times New Roman" w:hAnsi="Times New Roman" w:eastAsia="宋体" w:cs="Times New Roman"/>
                <w:color w:val="auto"/>
                <w:sz w:val="24"/>
                <w:highlight w:val="none"/>
                <w:lang w:eastAsia="zh-CN"/>
              </w:rPr>
              <w:t>#停泊水域采用抓斗挖泥船进行清淤工作，回旋水域采用耙吸船进行疏浚工作。疏浚物经金鼓江航道运输至</w:t>
            </w:r>
            <w:r>
              <w:rPr>
                <w:rFonts w:hint="eastAsia" w:ascii="Times New Roman" w:hAnsi="Times New Roman" w:eastAsia="宋体" w:cs="Times New Roman"/>
                <w:b w:val="0"/>
                <w:bCs w:val="0"/>
                <w:color w:val="auto"/>
                <w:sz w:val="24"/>
                <w:highlight w:val="none"/>
                <w:u w:val="none"/>
                <w:shd w:val="clear" w:color="auto" w:fill="auto"/>
                <w:lang w:val="en-US" w:eastAsia="zh-CN"/>
              </w:rPr>
              <w:t>防城港2#倾倒区</w:t>
            </w:r>
            <w:r>
              <w:rPr>
                <w:rFonts w:hint="eastAsia"/>
                <w:color w:val="auto"/>
                <w:sz w:val="24"/>
                <w:highlight w:val="none"/>
                <w:lang w:eastAsia="zh-CN"/>
              </w:rPr>
              <w:t>进行抛泥。</w:t>
            </w:r>
          </w:p>
          <w:p w14:paraId="7EEA800C">
            <w:pPr>
              <w:spacing w:line="360" w:lineRule="auto"/>
              <w:ind w:firstLine="480" w:firstLineChars="200"/>
              <w:rPr>
                <w:rFonts w:hint="eastAsia" w:ascii="Times New Roman" w:hAnsi="Times New Roman"/>
                <w:color w:val="auto"/>
                <w:sz w:val="24"/>
                <w:szCs w:val="24"/>
                <w:highlight w:val="none"/>
              </w:rPr>
            </w:pPr>
            <w:r>
              <w:rPr>
                <w:rFonts w:hint="eastAsia" w:ascii="Times New Roman" w:hAnsi="Times New Roman" w:eastAsia="宋体" w:cs="Times New Roman"/>
                <w:color w:val="auto"/>
                <w:sz w:val="24"/>
                <w:highlight w:val="none"/>
                <w:lang w:val="en-US" w:eastAsia="zh-CN"/>
              </w:rPr>
              <w:t>本项目施工人数约10人，施工人员租用周边民房作为施工办公生活区，本项目不设置办公生活营地，施工材料采用施工交通船运输。</w:t>
            </w:r>
          </w:p>
        </w:tc>
      </w:tr>
      <w:tr w14:paraId="712A4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642" w:type="dxa"/>
            <w:noWrap w:val="0"/>
            <w:vAlign w:val="center"/>
          </w:tcPr>
          <w:p w14:paraId="2CA54796">
            <w:pPr>
              <w:pStyle w:val="40"/>
              <w:adjustRightInd w:val="0"/>
              <w:snapToGrid w:val="0"/>
              <w:spacing w:before="0" w:beforeAutospacing="0" w:after="0" w:afterAutospacing="0"/>
              <w:jc w:val="center"/>
              <w:rPr>
                <w:rFonts w:hint="eastAsia" w:cs="宋体"/>
                <w:color w:val="auto"/>
                <w:szCs w:val="21"/>
                <w:highlight w:val="none"/>
              </w:rPr>
            </w:pPr>
            <w:r>
              <w:rPr>
                <w:rFonts w:hint="eastAsia" w:cs="宋体"/>
                <w:color w:val="auto"/>
                <w:szCs w:val="21"/>
                <w:highlight w:val="none"/>
              </w:rPr>
              <w:t>施工</w:t>
            </w:r>
          </w:p>
          <w:p w14:paraId="505B22D7">
            <w:pPr>
              <w:pStyle w:val="40"/>
              <w:adjustRightInd w:val="0"/>
              <w:snapToGrid w:val="0"/>
              <w:spacing w:before="0" w:beforeAutospacing="0" w:after="0" w:afterAutospacing="0"/>
              <w:jc w:val="center"/>
              <w:rPr>
                <w:rFonts w:hint="eastAsia" w:cs="宋体"/>
                <w:color w:val="auto"/>
                <w:szCs w:val="21"/>
                <w:highlight w:val="none"/>
              </w:rPr>
            </w:pPr>
            <w:r>
              <w:rPr>
                <w:rFonts w:hint="eastAsia" w:cs="宋体"/>
                <w:color w:val="auto"/>
                <w:szCs w:val="21"/>
                <w:highlight w:val="none"/>
              </w:rPr>
              <w:t>方案</w:t>
            </w:r>
          </w:p>
        </w:tc>
        <w:tc>
          <w:tcPr>
            <w:tcW w:w="8418" w:type="dxa"/>
            <w:noWrap w:val="0"/>
            <w:vAlign w:val="top"/>
          </w:tcPr>
          <w:p w14:paraId="3ACE11CC">
            <w:pPr>
              <w:numPr>
                <w:ilvl w:val="0"/>
                <w:numId w:val="0"/>
              </w:numPr>
              <w:spacing w:line="360" w:lineRule="auto"/>
              <w:textAlignment w:val="baseline"/>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 xml:space="preserve">2.4.1施工条件 </w:t>
            </w:r>
          </w:p>
          <w:p w14:paraId="3E0E4BED">
            <w:pPr>
              <w:spacing w:line="360" w:lineRule="auto"/>
              <w:ind w:firstLine="480" w:firstLineChars="200"/>
              <w:rPr>
                <w:rFonts w:hint="eastAsia"/>
                <w:color w:val="auto"/>
                <w:highlight w:val="none"/>
                <w:lang w:val="en-US" w:eastAsia="zh-CN"/>
              </w:rPr>
            </w:pPr>
            <w:r>
              <w:rPr>
                <w:rFonts w:hint="eastAsia" w:ascii="Times New Roman" w:hAnsi="Times New Roman" w:eastAsia="宋体" w:cs="Times New Roman"/>
                <w:color w:val="auto"/>
                <w:sz w:val="24"/>
                <w:highlight w:val="none"/>
                <w:lang w:val="en-US" w:eastAsia="zh-CN"/>
              </w:rPr>
              <w:t>项目位于钦州港金谷江内，属金鼓江作业区，紧邻钦州港主航道，水域开阔、风浪小（平均波高0.5m），岸滩稳定，具备良好施工条件。</w:t>
            </w:r>
          </w:p>
          <w:p w14:paraId="374F0ADC">
            <w:pPr>
              <w:numPr>
                <w:ilvl w:val="0"/>
                <w:numId w:val="0"/>
              </w:numPr>
              <w:spacing w:line="360" w:lineRule="auto"/>
              <w:textAlignment w:val="baseline"/>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2.4.2建设周期</w:t>
            </w:r>
          </w:p>
          <w:p w14:paraId="383F2577">
            <w:pPr>
              <w:pStyle w:val="14"/>
              <w:snapToGrid/>
              <w:spacing w:before="0" w:after="0" w:line="360" w:lineRule="auto"/>
              <w:ind w:right="0" w:firstLine="480" w:firstLineChars="200"/>
              <w:rPr>
                <w:rFonts w:hint="default"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single"/>
                <w:shd w:val="clear" w:color="auto" w:fill="auto"/>
                <w:lang w:val="en-US" w:eastAsia="zh-CN"/>
              </w:rPr>
              <w:t>本项目维护性疏浚总工期约3个月，预计2026年3月开工，2026年5月完工，</w:t>
            </w:r>
            <w:r>
              <w:rPr>
                <w:rFonts w:hint="eastAsia"/>
                <w:color w:val="auto"/>
                <w:sz w:val="24"/>
                <w:szCs w:val="24"/>
                <w:highlight w:val="none"/>
                <w:u w:val="single"/>
                <w:lang w:val="en-US" w:eastAsia="zh-CN"/>
              </w:rPr>
              <w:t>本项目与上游钦州港金谷港区金鼓江作业区16#、17##泊位码头停泊及回旋水域清淤疏浚项目不同时开展疏浚，施工根据泊位进港船舶停靠情况进行协调施工，施工按“先回旋水域、后停泊水域”“先无船区、后有船区”顺序施工，避免影响码头通航。</w:t>
            </w:r>
          </w:p>
          <w:p w14:paraId="615A18B7">
            <w:pPr>
              <w:numPr>
                <w:ilvl w:val="0"/>
                <w:numId w:val="0"/>
              </w:numPr>
              <w:spacing w:line="360" w:lineRule="auto"/>
              <w:textAlignment w:val="baseline"/>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2.4.3施工船舶</w:t>
            </w:r>
          </w:p>
          <w:p w14:paraId="1F0B6389">
            <w:pPr>
              <w:autoSpaceDE w:val="0"/>
              <w:autoSpaceDN w:val="0"/>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根据项目施工方案，配备助力、辅助、备用设备等船机设备，项目施工船舶信息见下表。</w:t>
            </w:r>
          </w:p>
          <w:p w14:paraId="33E0643E">
            <w:pPr>
              <w:snapToGrid w:val="0"/>
              <w:ind w:firstLine="422" w:firstLineChars="200"/>
              <w:jc w:val="center"/>
              <w:rPr>
                <w:rFonts w:hint="eastAsia"/>
                <w:color w:val="auto"/>
                <w:highlight w:val="none"/>
                <w:lang w:val="en-US" w:eastAsia="zh-CN"/>
              </w:rPr>
            </w:pPr>
            <w:r>
              <w:rPr>
                <w:rFonts w:hint="eastAsia"/>
                <w:b/>
                <w:bCs/>
                <w:color w:val="auto"/>
                <w:szCs w:val="21"/>
                <w:highlight w:val="none"/>
              </w:rPr>
              <w:t>表</w:t>
            </w:r>
            <w:r>
              <w:rPr>
                <w:rFonts w:hint="eastAsia"/>
                <w:b/>
                <w:bCs/>
                <w:color w:val="auto"/>
                <w:szCs w:val="21"/>
                <w:highlight w:val="none"/>
                <w:lang w:val="en-US" w:eastAsia="zh-CN"/>
              </w:rPr>
              <w:t>2.2-5</w:t>
            </w:r>
            <w:r>
              <w:rPr>
                <w:rFonts w:hint="eastAsia"/>
                <w:b/>
                <w:bCs/>
                <w:color w:val="auto"/>
                <w:szCs w:val="21"/>
                <w:highlight w:val="none"/>
              </w:rPr>
              <w:t xml:space="preserve">  </w:t>
            </w:r>
            <w:r>
              <w:rPr>
                <w:rFonts w:hint="eastAsia"/>
                <w:b/>
                <w:bCs/>
                <w:color w:val="auto"/>
                <w:szCs w:val="21"/>
                <w:highlight w:val="none"/>
                <w:lang w:eastAsia="zh-CN"/>
              </w:rPr>
              <w:t>本工程施工船舶信息一览表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646"/>
              <w:gridCol w:w="1803"/>
              <w:gridCol w:w="1570"/>
              <w:gridCol w:w="2398"/>
            </w:tblGrid>
            <w:tr w14:paraId="0678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14:paraId="5123B1C1">
                  <w:pPr>
                    <w:snapToGrid w:val="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序号</w:t>
                  </w:r>
                </w:p>
              </w:tc>
              <w:tc>
                <w:tcPr>
                  <w:tcW w:w="982" w:type="pct"/>
                  <w:noWrap w:val="0"/>
                  <w:vAlign w:val="center"/>
                </w:tcPr>
                <w:p w14:paraId="68AB1B60">
                  <w:pPr>
                    <w:snapToGrid w:val="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船舶名称</w:t>
                  </w:r>
                </w:p>
              </w:tc>
              <w:tc>
                <w:tcPr>
                  <w:tcW w:w="1076" w:type="pct"/>
                  <w:noWrap w:val="0"/>
                  <w:vAlign w:val="center"/>
                </w:tcPr>
                <w:p w14:paraId="22B63999">
                  <w:pPr>
                    <w:snapToGrid w:val="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规格</w:t>
                  </w:r>
                </w:p>
              </w:tc>
              <w:tc>
                <w:tcPr>
                  <w:tcW w:w="937" w:type="pct"/>
                  <w:noWrap w:val="0"/>
                  <w:vAlign w:val="center"/>
                </w:tcPr>
                <w:p w14:paraId="0EAFDD14">
                  <w:pPr>
                    <w:snapToGrid w:val="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数量（艘）</w:t>
                  </w:r>
                </w:p>
              </w:tc>
              <w:tc>
                <w:tcPr>
                  <w:tcW w:w="1431" w:type="pct"/>
                  <w:noWrap w:val="0"/>
                  <w:vAlign w:val="center"/>
                </w:tcPr>
                <w:p w14:paraId="32C4C1C2">
                  <w:pPr>
                    <w:snapToGrid w:val="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主要用途</w:t>
                  </w:r>
                </w:p>
              </w:tc>
            </w:tr>
            <w:tr w14:paraId="0749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14:paraId="27838237">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982" w:type="pct"/>
                  <w:noWrap w:val="0"/>
                  <w:vAlign w:val="center"/>
                </w:tcPr>
                <w:p w14:paraId="2B7F4217">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抓斗挖泥船</w:t>
                  </w:r>
                </w:p>
              </w:tc>
              <w:tc>
                <w:tcPr>
                  <w:tcW w:w="1076" w:type="pct"/>
                  <w:noWrap w:val="0"/>
                  <w:vAlign w:val="center"/>
                </w:tcPr>
                <w:p w14:paraId="413886BF">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r>
                    <w:rPr>
                      <w:color w:val="auto"/>
                      <w:sz w:val="21"/>
                      <w:szCs w:val="21"/>
                      <w:highlight w:val="none"/>
                    </w:rPr>
                    <w:t>m³</w:t>
                  </w:r>
                </w:p>
              </w:tc>
              <w:tc>
                <w:tcPr>
                  <w:tcW w:w="937" w:type="pct"/>
                  <w:noWrap w:val="0"/>
                  <w:vAlign w:val="center"/>
                </w:tcPr>
                <w:p w14:paraId="3BE36BDA">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2F6C87F1">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停泊水域清淤</w:t>
                  </w:r>
                </w:p>
              </w:tc>
            </w:tr>
            <w:tr w14:paraId="101C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14:paraId="5CF4DDD9">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982" w:type="pct"/>
                  <w:noWrap w:val="0"/>
                  <w:vAlign w:val="center"/>
                </w:tcPr>
                <w:p w14:paraId="215077A8">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泥驳船</w:t>
                  </w:r>
                </w:p>
              </w:tc>
              <w:tc>
                <w:tcPr>
                  <w:tcW w:w="1076" w:type="pct"/>
                  <w:noWrap w:val="0"/>
                  <w:vAlign w:val="center"/>
                </w:tcPr>
                <w:p w14:paraId="323292E4">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2500</w:t>
                  </w:r>
                  <w:r>
                    <w:rPr>
                      <w:color w:val="auto"/>
                      <w:sz w:val="21"/>
                      <w:szCs w:val="21"/>
                      <w:highlight w:val="none"/>
                    </w:rPr>
                    <w:t>m³</w:t>
                  </w:r>
                </w:p>
              </w:tc>
              <w:tc>
                <w:tcPr>
                  <w:tcW w:w="937" w:type="pct"/>
                  <w:noWrap w:val="0"/>
                  <w:vAlign w:val="center"/>
                </w:tcPr>
                <w:p w14:paraId="146D94C1">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79CC1A9F">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疏浚物运输</w:t>
                  </w:r>
                </w:p>
              </w:tc>
            </w:tr>
            <w:tr w14:paraId="2F93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14:paraId="2F86035E">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p>
              </w:tc>
              <w:tc>
                <w:tcPr>
                  <w:tcW w:w="982" w:type="pct"/>
                  <w:noWrap w:val="0"/>
                  <w:vAlign w:val="center"/>
                </w:tcPr>
                <w:p w14:paraId="67002CB2">
                  <w:pPr>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耙吸船</w:t>
                  </w:r>
                </w:p>
              </w:tc>
              <w:tc>
                <w:tcPr>
                  <w:tcW w:w="1076" w:type="pct"/>
                  <w:noWrap w:val="0"/>
                  <w:vAlign w:val="center"/>
                </w:tcPr>
                <w:p w14:paraId="7951D17C">
                  <w:pPr>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3500m³</w:t>
                  </w:r>
                </w:p>
              </w:tc>
              <w:tc>
                <w:tcPr>
                  <w:tcW w:w="937" w:type="pct"/>
                  <w:noWrap w:val="0"/>
                  <w:vAlign w:val="center"/>
                </w:tcPr>
                <w:p w14:paraId="2662619F">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0C3E084B">
                  <w:pPr>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回旋水域疏浚</w:t>
                  </w:r>
                </w:p>
              </w:tc>
            </w:tr>
            <w:tr w14:paraId="3F65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14:paraId="66C9FC92">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982" w:type="pct"/>
                  <w:noWrap w:val="0"/>
                  <w:vAlign w:val="center"/>
                </w:tcPr>
                <w:p w14:paraId="19F7720E">
                  <w:pPr>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交通艇</w:t>
                  </w:r>
                </w:p>
              </w:tc>
              <w:tc>
                <w:tcPr>
                  <w:tcW w:w="1076" w:type="pct"/>
                  <w:noWrap w:val="0"/>
                  <w:vAlign w:val="center"/>
                </w:tcPr>
                <w:p w14:paraId="06326508">
                  <w:pPr>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500kW</w:t>
                  </w:r>
                </w:p>
              </w:tc>
              <w:tc>
                <w:tcPr>
                  <w:tcW w:w="937" w:type="pct"/>
                  <w:noWrap w:val="0"/>
                  <w:vAlign w:val="center"/>
                </w:tcPr>
                <w:p w14:paraId="153C05C5">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26DFC458">
                  <w:pPr>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人员运输、现场协调</w:t>
                  </w:r>
                </w:p>
              </w:tc>
            </w:tr>
            <w:tr w14:paraId="372A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14:paraId="5C929161">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982" w:type="pct"/>
                  <w:noWrap w:val="0"/>
                  <w:vAlign w:val="center"/>
                </w:tcPr>
                <w:p w14:paraId="295808DD">
                  <w:pPr>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锚艇</w:t>
                  </w:r>
                </w:p>
              </w:tc>
              <w:tc>
                <w:tcPr>
                  <w:tcW w:w="1076" w:type="pct"/>
                  <w:noWrap w:val="0"/>
                  <w:vAlign w:val="center"/>
                </w:tcPr>
                <w:p w14:paraId="7608D9B0">
                  <w:pPr>
                    <w:snapToGrid w:val="0"/>
                    <w:jc w:val="center"/>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8</w:t>
                  </w:r>
                  <w:r>
                    <w:rPr>
                      <w:color w:val="auto"/>
                      <w:sz w:val="21"/>
                      <w:szCs w:val="21"/>
                      <w:highlight w:val="none"/>
                    </w:rPr>
                    <w:t>00kW</w:t>
                  </w:r>
                </w:p>
              </w:tc>
              <w:tc>
                <w:tcPr>
                  <w:tcW w:w="937" w:type="pct"/>
                  <w:noWrap w:val="0"/>
                  <w:vAlign w:val="center"/>
                </w:tcPr>
                <w:p w14:paraId="1837BD8F">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47A0DD57">
                  <w:pPr>
                    <w:snapToGrid w:val="0"/>
                    <w:jc w:val="center"/>
                    <w:rPr>
                      <w:color w:val="auto"/>
                      <w:sz w:val="21"/>
                      <w:szCs w:val="21"/>
                      <w:highlight w:val="none"/>
                    </w:rPr>
                  </w:pPr>
                  <w:r>
                    <w:rPr>
                      <w:color w:val="auto"/>
                      <w:sz w:val="21"/>
                      <w:szCs w:val="21"/>
                      <w:highlight w:val="none"/>
                    </w:rPr>
                    <w:t>管线固定、锚泊辅助</w:t>
                  </w:r>
                </w:p>
              </w:tc>
            </w:tr>
            <w:tr w14:paraId="300A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14:paraId="3F97605F">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w:t>
                  </w:r>
                </w:p>
              </w:tc>
              <w:tc>
                <w:tcPr>
                  <w:tcW w:w="982" w:type="pct"/>
                  <w:noWrap w:val="0"/>
                  <w:vAlign w:val="center"/>
                </w:tcPr>
                <w:p w14:paraId="5E807F98">
                  <w:pPr>
                    <w:snapToGrid w:val="0"/>
                    <w:jc w:val="center"/>
                    <w:rPr>
                      <w:color w:val="auto"/>
                      <w:sz w:val="21"/>
                      <w:szCs w:val="21"/>
                      <w:highlight w:val="none"/>
                    </w:rPr>
                  </w:pPr>
                  <w:r>
                    <w:rPr>
                      <w:color w:val="auto"/>
                      <w:sz w:val="21"/>
                      <w:szCs w:val="21"/>
                      <w:highlight w:val="none"/>
                    </w:rPr>
                    <w:t>测量船</w:t>
                  </w:r>
                </w:p>
              </w:tc>
              <w:tc>
                <w:tcPr>
                  <w:tcW w:w="1076" w:type="pct"/>
                  <w:noWrap w:val="0"/>
                  <w:vAlign w:val="center"/>
                </w:tcPr>
                <w:p w14:paraId="0C17D7CA">
                  <w:pPr>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500kW</w:t>
                  </w:r>
                </w:p>
              </w:tc>
              <w:tc>
                <w:tcPr>
                  <w:tcW w:w="937" w:type="pct"/>
                  <w:noWrap w:val="0"/>
                  <w:vAlign w:val="center"/>
                </w:tcPr>
                <w:p w14:paraId="353253B0">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41A2ADE2">
                  <w:pPr>
                    <w:snapToGrid w:val="0"/>
                    <w:jc w:val="center"/>
                    <w:rPr>
                      <w:color w:val="auto"/>
                      <w:sz w:val="21"/>
                      <w:szCs w:val="21"/>
                      <w:highlight w:val="none"/>
                    </w:rPr>
                  </w:pPr>
                  <w:r>
                    <w:rPr>
                      <w:color w:val="auto"/>
                      <w:sz w:val="21"/>
                      <w:szCs w:val="21"/>
                      <w:highlight w:val="none"/>
                    </w:rPr>
                    <w:t>水深测量、施工定位</w:t>
                  </w:r>
                </w:p>
              </w:tc>
            </w:tr>
            <w:tr w14:paraId="6162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14:paraId="08ABC2FB">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982" w:type="pct"/>
                  <w:noWrap w:val="0"/>
                  <w:vAlign w:val="center"/>
                </w:tcPr>
                <w:p w14:paraId="76C55702">
                  <w:pPr>
                    <w:snapToGrid w:val="0"/>
                    <w:jc w:val="center"/>
                    <w:rPr>
                      <w:color w:val="auto"/>
                      <w:sz w:val="21"/>
                      <w:szCs w:val="21"/>
                      <w:highlight w:val="none"/>
                    </w:rPr>
                  </w:pPr>
                  <w:r>
                    <w:rPr>
                      <w:color w:val="auto"/>
                      <w:sz w:val="21"/>
                      <w:szCs w:val="21"/>
                      <w:highlight w:val="none"/>
                    </w:rPr>
                    <w:t>应急拖轮</w:t>
                  </w:r>
                </w:p>
              </w:tc>
              <w:tc>
                <w:tcPr>
                  <w:tcW w:w="1076" w:type="pct"/>
                  <w:noWrap w:val="0"/>
                  <w:vAlign w:val="center"/>
                </w:tcPr>
                <w:p w14:paraId="073D5A8F">
                  <w:pPr>
                    <w:snapToGrid w:val="0"/>
                    <w:jc w:val="center"/>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20</w:t>
                  </w:r>
                  <w:r>
                    <w:rPr>
                      <w:color w:val="auto"/>
                      <w:sz w:val="21"/>
                      <w:szCs w:val="21"/>
                      <w:highlight w:val="none"/>
                    </w:rPr>
                    <w:t>00kW</w:t>
                  </w:r>
                </w:p>
              </w:tc>
              <w:tc>
                <w:tcPr>
                  <w:tcW w:w="937" w:type="pct"/>
                  <w:noWrap w:val="0"/>
                  <w:vAlign w:val="center"/>
                </w:tcPr>
                <w:p w14:paraId="06D09DF0">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07C941DA">
                  <w:pPr>
                    <w:snapToGrid w:val="0"/>
                    <w:jc w:val="center"/>
                    <w:rPr>
                      <w:color w:val="auto"/>
                      <w:sz w:val="21"/>
                      <w:szCs w:val="21"/>
                      <w:highlight w:val="none"/>
                    </w:rPr>
                  </w:pPr>
                  <w:r>
                    <w:rPr>
                      <w:color w:val="auto"/>
                      <w:sz w:val="21"/>
                      <w:szCs w:val="21"/>
                      <w:highlight w:val="none"/>
                    </w:rPr>
                    <w:t>船舶救援、紧急避让</w:t>
                  </w:r>
                </w:p>
              </w:tc>
            </w:tr>
          </w:tbl>
          <w:p w14:paraId="30979DEA">
            <w:pPr>
              <w:numPr>
                <w:ilvl w:val="0"/>
                <w:numId w:val="0"/>
              </w:numPr>
              <w:spacing w:line="360" w:lineRule="auto"/>
              <w:textAlignment w:val="baseline"/>
              <w:rPr>
                <w:rFonts w:hint="eastAsia"/>
                <w:b/>
                <w:color w:val="auto"/>
                <w:sz w:val="28"/>
                <w:szCs w:val="28"/>
                <w:highlight w:val="none"/>
              </w:rPr>
            </w:pPr>
            <w:r>
              <w:rPr>
                <w:rFonts w:hint="eastAsia"/>
                <w:b/>
                <w:color w:val="auto"/>
                <w:sz w:val="28"/>
                <w:szCs w:val="28"/>
                <w:highlight w:val="none"/>
                <w:lang w:val="en-US" w:eastAsia="zh-CN"/>
              </w:rPr>
              <w:t>2.4.5</w:t>
            </w:r>
            <w:r>
              <w:rPr>
                <w:rFonts w:hint="eastAsia"/>
                <w:b/>
                <w:color w:val="auto"/>
                <w:sz w:val="28"/>
                <w:szCs w:val="28"/>
                <w:highlight w:val="none"/>
                <w:lang w:eastAsia="zh-CN"/>
              </w:rPr>
              <w:t>停泊水域清淤</w:t>
            </w:r>
            <w:r>
              <w:rPr>
                <w:rFonts w:hint="eastAsia"/>
                <w:b/>
                <w:color w:val="auto"/>
                <w:sz w:val="28"/>
                <w:szCs w:val="28"/>
                <w:highlight w:val="none"/>
              </w:rPr>
              <w:t>施工工艺</w:t>
            </w:r>
          </w:p>
          <w:p w14:paraId="61B45AD1">
            <w:pPr>
              <w:pStyle w:val="19"/>
              <w:spacing w:line="360" w:lineRule="auto"/>
              <w:ind w:firstLine="480" w:firstLineChars="200"/>
              <w:rPr>
                <w:rFonts w:hint="eastAsia" w:ascii="Times New Roman" w:hAnsi="Times New Roman" w:eastAsia="宋体" w:cs="Times New Roman"/>
                <w:color w:val="auto"/>
                <w:sz w:val="24"/>
                <w:szCs w:val="24"/>
                <w:highlight w:val="none"/>
                <w:u w:val="none"/>
                <w:lang w:eastAsia="zh-CN"/>
              </w:rPr>
            </w:pPr>
            <w:r>
              <w:rPr>
                <w:rFonts w:hint="eastAsia" w:ascii="Times New Roman" w:hAnsi="Times New Roman" w:eastAsia="宋体" w:cs="Times New Roman"/>
                <w:color w:val="auto"/>
                <w:sz w:val="24"/>
                <w:szCs w:val="24"/>
                <w:highlight w:val="none"/>
                <w:u w:val="none"/>
                <w:lang w:val="en-US" w:eastAsia="zh-CN"/>
              </w:rPr>
              <w:t>由于</w:t>
            </w:r>
            <w:r>
              <w:rPr>
                <w:rFonts w:hint="default" w:ascii="Times New Roman" w:hAnsi="Times New Roman" w:eastAsia="宋体" w:cs="Times New Roman"/>
                <w:color w:val="auto"/>
                <w:sz w:val="24"/>
                <w:szCs w:val="24"/>
                <w:highlight w:val="none"/>
                <w:u w:val="none"/>
                <w:lang w:val="en-US" w:eastAsia="zh-CN"/>
              </w:rPr>
              <w:t>钦州港金谷港区金鼓江作业区</w:t>
            </w:r>
            <w:r>
              <w:rPr>
                <w:rFonts w:hint="eastAsia" w:ascii="Times New Roman" w:hAnsi="Times New Roman" w:eastAsia="宋体" w:cs="Times New Roman"/>
                <w:color w:val="auto"/>
                <w:sz w:val="24"/>
                <w:szCs w:val="24"/>
                <w:highlight w:val="none"/>
                <w:u w:val="none"/>
                <w:lang w:val="en-US" w:eastAsia="zh-CN"/>
              </w:rPr>
              <w:t>19#</w:t>
            </w:r>
            <w:r>
              <w:rPr>
                <w:rFonts w:hint="default" w:ascii="Times New Roman" w:hAnsi="Times New Roman" w:eastAsia="宋体" w:cs="Times New Roman"/>
                <w:color w:val="auto"/>
                <w:sz w:val="24"/>
                <w:szCs w:val="24"/>
                <w:highlight w:val="none"/>
                <w:u w:val="none"/>
                <w:lang w:val="en-US" w:eastAsia="zh-CN"/>
              </w:rPr>
              <w:t>泊位工程项目</w:t>
            </w:r>
            <w:r>
              <w:rPr>
                <w:rFonts w:hint="eastAsia" w:ascii="Times New Roman" w:hAnsi="Times New Roman" w:eastAsia="宋体" w:cs="Times New Roman"/>
                <w:color w:val="auto"/>
                <w:sz w:val="24"/>
                <w:szCs w:val="24"/>
                <w:highlight w:val="none"/>
                <w:u w:val="none"/>
                <w:lang w:val="en-US" w:eastAsia="zh-CN"/>
              </w:rPr>
              <w:t>已建成并投入运行，为避免对码头永久水工建筑及进港停靠船舶造成较大影响，项目19#停泊水域采用10</w:t>
            </w:r>
            <w:r>
              <w:rPr>
                <w:rFonts w:hint="eastAsia" w:ascii="Times New Roman" w:hAnsi="Times New Roman" w:eastAsia="宋体" w:cs="Times New Roman"/>
                <w:color w:val="auto"/>
                <w:sz w:val="24"/>
                <w:szCs w:val="24"/>
                <w:highlight w:val="none"/>
                <w:u w:val="none"/>
                <w:vertAlign w:val="baseline"/>
                <w:lang w:val="en-US" w:eastAsia="zh-CN"/>
              </w:rPr>
              <w:t>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抓斗挖泥船进行清淤工作</w:t>
            </w:r>
            <w:r>
              <w:rPr>
                <w:rFonts w:hint="eastAsia" w:ascii="Times New Roman" w:hAnsi="Times New Roman" w:eastAsia="宋体" w:cs="Times New Roman"/>
                <w:color w:val="auto"/>
                <w:sz w:val="24"/>
                <w:szCs w:val="24"/>
                <w:highlight w:val="none"/>
                <w:u w:val="none"/>
                <w:lang w:eastAsia="zh-CN"/>
              </w:rPr>
              <w:t>，抓斗挖泥船施工工艺流程如下：</w:t>
            </w:r>
          </w:p>
          <w:p w14:paraId="2B02AAFF">
            <w:pPr>
              <w:pStyle w:val="19"/>
              <w:spacing w:line="360" w:lineRule="auto"/>
              <w:ind w:firstLine="480" w:firstLineChars="200"/>
              <w:jc w:val="center"/>
              <w:rPr>
                <w:rFonts w:hint="eastAsia" w:ascii="Times New Roman" w:hAnsi="Times New Roman" w:eastAsia="宋体" w:cs="Times New Roman"/>
                <w:color w:val="auto"/>
                <w:sz w:val="24"/>
                <w:szCs w:val="24"/>
                <w:highlight w:val="none"/>
                <w:u w:val="none"/>
                <w:lang w:eastAsia="zh-CN"/>
              </w:rPr>
            </w:pPr>
            <w:r>
              <w:rPr>
                <w:rFonts w:hint="eastAsia" w:ascii="Times New Roman" w:hAnsi="Times New Roman" w:eastAsia="宋体" w:cs="Times New Roman"/>
                <w:color w:val="auto"/>
                <w:sz w:val="24"/>
                <w:szCs w:val="24"/>
                <w:highlight w:val="none"/>
                <w:u w:val="none"/>
                <w:lang w:eastAsia="zh-CN"/>
              </w:rPr>
              <w:object>
                <v:shape id="_x0000_i1025" o:spt="75" type="#_x0000_t75" style="height:39pt;width:17.25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r>
              <w:rPr>
                <w:rFonts w:hint="eastAsia" w:ascii="Times New Roman" w:hAnsi="Times New Roman" w:eastAsia="宋体" w:cs="Times New Roman"/>
                <w:color w:val="auto"/>
                <w:sz w:val="24"/>
                <w:szCs w:val="24"/>
                <w:highlight w:val="none"/>
                <w:u w:val="none"/>
                <w:lang w:eastAsia="zh-CN"/>
              </w:rPr>
              <w:object>
                <v:shape id="_x0000_i1026" o:spt="75" type="#_x0000_t75" style="height:296.3pt;width:300.95pt;" o:ole="t" filled="f" o:preferrelative="t" stroked="f" coordsize="21600,21600">
                  <v:path/>
                  <v:fill on="f" focussize="0,0"/>
                  <v:stroke on="f"/>
                  <v:imagedata r:id="rId16" o:title=""/>
                  <o:lock v:ext="edit" aspectratio="f"/>
                  <w10:wrap type="none"/>
                  <w10:anchorlock/>
                </v:shape>
                <o:OLEObject Type="Embed" ProgID="Visio.Drawing.11" ShapeID="_x0000_i1026" DrawAspect="Content" ObjectID="_1468075726" r:id="rId15">
                  <o:LockedField>false</o:LockedField>
                </o:OLEObject>
              </w:object>
            </w:r>
          </w:p>
          <w:p w14:paraId="784A6C52">
            <w:pPr>
              <w:pStyle w:val="1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图2-1抓斗挖泥船施工工艺流程图</w:t>
            </w:r>
          </w:p>
          <w:p w14:paraId="7814104C">
            <w:pPr>
              <w:pStyle w:val="1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ascii="宋体" w:hAnsi="宋体" w:eastAsia="宋体" w:cs="宋体"/>
                <w:color w:val="auto"/>
                <w:sz w:val="24"/>
                <w:szCs w:val="24"/>
                <w:highlight w:val="none"/>
              </w:rPr>
              <w:drawing>
                <wp:inline distT="0" distB="0" distL="114300" distR="114300">
                  <wp:extent cx="5003800" cy="2814320"/>
                  <wp:effectExtent l="0" t="0" r="6350" b="5080"/>
                  <wp:docPr id="3"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IMG_256"/>
                          <pic:cNvPicPr>
                            <a:picLocks noChangeAspect="1"/>
                          </pic:cNvPicPr>
                        </pic:nvPicPr>
                        <pic:blipFill>
                          <a:blip r:embed="rId17"/>
                          <a:stretch>
                            <a:fillRect/>
                          </a:stretch>
                        </pic:blipFill>
                        <pic:spPr>
                          <a:xfrm>
                            <a:off x="0" y="0"/>
                            <a:ext cx="5003800" cy="2814320"/>
                          </a:xfrm>
                          <a:prstGeom prst="rect">
                            <a:avLst/>
                          </a:prstGeom>
                          <a:noFill/>
                          <a:ln>
                            <a:noFill/>
                          </a:ln>
                        </pic:spPr>
                      </pic:pic>
                    </a:graphicData>
                  </a:graphic>
                </wp:inline>
              </w:drawing>
            </w:r>
          </w:p>
          <w:p w14:paraId="4D0B0739">
            <w:pPr>
              <w:autoSpaceDE w:val="0"/>
              <w:autoSpaceDN w:val="0"/>
              <w:adjustRightInd w:val="0"/>
              <w:snapToGrid w:val="0"/>
              <w:spacing w:line="360" w:lineRule="auto"/>
              <w:ind w:firstLine="480" w:firstLineChars="200"/>
              <w:jc w:val="center"/>
              <w:rPr>
                <w:rFonts w:hint="eastAsia" w:ascii="Times New Roman" w:hAnsi="Times New Roman" w:eastAsia="宋体" w:cs="Times New Roman"/>
                <w:color w:val="auto"/>
                <w:kern w:val="2"/>
                <w:sz w:val="24"/>
                <w:szCs w:val="24"/>
                <w:highlight w:val="none"/>
                <w:u w:val="none"/>
                <w:lang w:val="en-US" w:eastAsia="zh-CN" w:bidi="ar-SA"/>
              </w:rPr>
            </w:pPr>
            <w:r>
              <w:rPr>
                <w:rFonts w:hint="eastAsia" w:ascii="Times New Roman" w:hAnsi="Times New Roman" w:eastAsia="宋体" w:cs="Times New Roman"/>
                <w:color w:val="auto"/>
                <w:kern w:val="2"/>
                <w:sz w:val="24"/>
                <w:szCs w:val="24"/>
                <w:highlight w:val="none"/>
                <w:u w:val="none"/>
                <w:lang w:val="en-US" w:eastAsia="zh-CN" w:bidi="ar-SA"/>
              </w:rPr>
              <w:t>图2-1抓斗挖泥船和接驳泥船工作示意图</w:t>
            </w:r>
          </w:p>
          <w:p w14:paraId="036867E9">
            <w:pPr>
              <w:autoSpaceDE w:val="0"/>
              <w:autoSpaceDN w:val="0"/>
              <w:adjustRightInd w:val="0"/>
              <w:snapToGrid w:val="0"/>
              <w:spacing w:line="360" w:lineRule="auto"/>
              <w:jc w:val="both"/>
              <w:rPr>
                <w:color w:val="auto"/>
                <w:highlight w:val="none"/>
              </w:rPr>
            </w:pPr>
            <w:r>
              <w:rPr>
                <w:color w:val="auto"/>
                <w:highlight w:val="none"/>
              </w:rPr>
              <w:drawing>
                <wp:inline distT="0" distB="0" distL="114300" distR="114300">
                  <wp:extent cx="5352415" cy="2282825"/>
                  <wp:effectExtent l="0" t="0" r="635" b="3175"/>
                  <wp:docPr id="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pic:cNvPicPr>
                            <a:picLocks noChangeAspect="1"/>
                          </pic:cNvPicPr>
                        </pic:nvPicPr>
                        <pic:blipFill>
                          <a:blip r:embed="rId18"/>
                          <a:stretch>
                            <a:fillRect/>
                          </a:stretch>
                        </pic:blipFill>
                        <pic:spPr>
                          <a:xfrm>
                            <a:off x="0" y="0"/>
                            <a:ext cx="5352415" cy="2282825"/>
                          </a:xfrm>
                          <a:prstGeom prst="rect">
                            <a:avLst/>
                          </a:prstGeom>
                          <a:noFill/>
                          <a:ln>
                            <a:noFill/>
                          </a:ln>
                        </pic:spPr>
                      </pic:pic>
                    </a:graphicData>
                  </a:graphic>
                </wp:inline>
              </w:drawing>
            </w:r>
          </w:p>
          <w:p w14:paraId="7F999942">
            <w:pPr>
              <w:autoSpaceDE w:val="0"/>
              <w:autoSpaceDN w:val="0"/>
              <w:adjustRightInd w:val="0"/>
              <w:snapToGrid w:val="0"/>
              <w:spacing w:line="360" w:lineRule="auto"/>
              <w:ind w:firstLine="480" w:firstLineChars="200"/>
              <w:jc w:val="center"/>
              <w:rPr>
                <w:rFonts w:hint="eastAsia"/>
                <w:color w:val="auto"/>
                <w:highlight w:val="none"/>
                <w:lang w:val="en-US" w:eastAsia="zh-CN"/>
              </w:rPr>
            </w:pPr>
            <w:r>
              <w:rPr>
                <w:rFonts w:hint="eastAsia" w:ascii="Times New Roman" w:hAnsi="Times New Roman" w:eastAsia="宋体" w:cs="Times New Roman"/>
                <w:color w:val="auto"/>
                <w:kern w:val="2"/>
                <w:sz w:val="24"/>
                <w:szCs w:val="24"/>
                <w:highlight w:val="none"/>
                <w:u w:val="none"/>
                <w:lang w:val="en-US" w:eastAsia="zh-CN" w:bidi="ar-SA"/>
              </w:rPr>
              <w:t>图2-2抓斗船施工示意图</w:t>
            </w:r>
          </w:p>
          <w:p w14:paraId="23A168CA">
            <w:pPr>
              <w:pStyle w:val="19"/>
              <w:numPr>
                <w:ilvl w:val="0"/>
                <w:numId w:val="9"/>
              </w:numPr>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施工准备</w:t>
            </w:r>
          </w:p>
          <w:p w14:paraId="492A3FA2">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已知港池坐标控制点，建立工程测量控制网，并根据工程需要建立施工自定义坐标系。挖泥船驻位、定位：在疏浚范围左右两侧设定位浮鼓，用于施工作业船舶的粗定位。挖泥船由锚地通过设置的定位浮鼓驶入施工现场水域，立即按照已经设置得合适的定位浮鼓的位置，带缆于浮鼓上进行粗定位。挖泥船粗定位完成后，通过船用双</w:t>
            </w:r>
            <w:r>
              <w:rPr>
                <w:rFonts w:hint="default" w:ascii="Times New Roman" w:hAnsi="Times New Roman" w:eastAsia="宋体" w:cs="Times New Roman"/>
                <w:color w:val="auto"/>
                <w:sz w:val="24"/>
                <w:szCs w:val="24"/>
                <w:highlight w:val="none"/>
                <w:u w:val="none"/>
                <w:lang w:val="en-US" w:eastAsia="zh-CN"/>
              </w:rPr>
              <w:t>GPS</w:t>
            </w:r>
            <w:r>
              <w:rPr>
                <w:rFonts w:hint="eastAsia" w:ascii="Times New Roman" w:hAnsi="Times New Roman" w:eastAsia="宋体" w:cs="Times New Roman"/>
                <w:color w:val="auto"/>
                <w:sz w:val="24"/>
                <w:szCs w:val="24"/>
                <w:highlight w:val="none"/>
                <w:u w:val="none"/>
                <w:lang w:val="en-US" w:eastAsia="zh-CN"/>
              </w:rPr>
              <w:t>，对挖泥船进行准确定位，并系紧各条缆绳，方可进行挖泥作业。</w:t>
            </w:r>
          </w:p>
          <w:p w14:paraId="0C811317">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②疏浚开挖</w:t>
            </w:r>
          </w:p>
          <w:p w14:paraId="40C8C74C">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抓斗船是通过抓斗自重切土挖泥，其过程为张开空泥斗抛入开挖点→闭土切土→提升重斗→转动斗臂将重斗移到泥驳上方→开斗卸泥→反向转动斗臂将空斗抛入开挖点，施工时采用锚缆定位，通过调节锚缆松紧移动船体，自航泥驳靠于抓斗船旁，挖出的泥土卸放靠在一旁的泥驳舱内，泥驳装满后启运至倾倒区。</w:t>
            </w:r>
          </w:p>
          <w:p w14:paraId="5508C8F3">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施工时按施工范围采用分区、分条、分层施工，分区根据挖泥船每抛锚一次施工长度，将航道分成若干施工区，根据每一次抛锚长度，每个施工区长约</w:t>
            </w:r>
            <w:r>
              <w:rPr>
                <w:rFonts w:hint="default" w:ascii="Times New Roman" w:hAnsi="Times New Roman" w:eastAsia="宋体" w:cs="Times New Roman"/>
                <w:color w:val="auto"/>
                <w:sz w:val="24"/>
                <w:szCs w:val="24"/>
                <w:highlight w:val="none"/>
                <w:u w:val="none"/>
                <w:lang w:val="en-US" w:eastAsia="zh-CN"/>
              </w:rPr>
              <w:t>100m</w:t>
            </w:r>
            <w:r>
              <w:rPr>
                <w:rFonts w:hint="eastAsia" w:ascii="Times New Roman" w:hAnsi="Times New Roman" w:eastAsia="宋体" w:cs="Times New Roman"/>
                <w:color w:val="auto"/>
                <w:sz w:val="24"/>
                <w:szCs w:val="24"/>
                <w:highlight w:val="none"/>
                <w:u w:val="none"/>
                <w:lang w:val="en-US" w:eastAsia="zh-CN"/>
              </w:rPr>
              <w:t>；分条宽度根据挖泥船每次清挖宽度按平行航道轴线方向布置，每条挖槽宽度根据船舶每次可挖宽度确定；分层根据挖泥船每次能清挖的厚度和施工区岩（泥）层厚度确定分几次开挖，每层开挖厚度约</w:t>
            </w:r>
            <w:r>
              <w:rPr>
                <w:rFonts w:hint="default" w:ascii="Times New Roman" w:hAnsi="Times New Roman" w:eastAsia="宋体"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2m</w:t>
            </w:r>
            <w:r>
              <w:rPr>
                <w:rFonts w:hint="eastAsia" w:ascii="Times New Roman" w:hAnsi="Times New Roman" w:eastAsia="宋体" w:cs="Times New Roman"/>
                <w:color w:val="auto"/>
                <w:sz w:val="24"/>
                <w:szCs w:val="24"/>
                <w:highlight w:val="none"/>
                <w:u w:val="none"/>
                <w:lang w:val="en-US" w:eastAsia="zh-CN"/>
              </w:rPr>
              <w:t>，直至清挖到设计底标高为止，本项目泥层较薄，可一次开挖至设计标高；分区之间，分条之间必须搭接</w:t>
            </w:r>
            <w:r>
              <w:rPr>
                <w:rFonts w:hint="default" w:ascii="Times New Roman" w:hAnsi="Times New Roman" w:eastAsia="宋体"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2m</w:t>
            </w:r>
            <w:r>
              <w:rPr>
                <w:rFonts w:hint="eastAsia" w:ascii="Times New Roman" w:hAnsi="Times New Roman" w:eastAsia="宋体" w:cs="Times New Roman"/>
                <w:color w:val="auto"/>
                <w:sz w:val="24"/>
                <w:szCs w:val="24"/>
                <w:highlight w:val="none"/>
                <w:u w:val="none"/>
                <w:lang w:val="en-US" w:eastAsia="zh-CN"/>
              </w:rPr>
              <w:t>，确保不漏挖。</w:t>
            </w:r>
          </w:p>
          <w:p w14:paraId="73D0714B">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（3）边坡开挖</w:t>
            </w:r>
          </w:p>
          <w:p w14:paraId="0C127521">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边坡开挖采用阶梯型开挖方式，按上超下欠的原则，分层施工，利用水流与自然塌方，形成设计要求的边坡，如下图所示：</w:t>
            </w:r>
          </w:p>
          <w:p w14:paraId="32528C3C">
            <w:pPr>
              <w:pStyle w:val="19"/>
              <w:spacing w:line="360" w:lineRule="auto"/>
              <w:rPr>
                <w:color w:val="auto"/>
                <w:highlight w:val="none"/>
              </w:rPr>
            </w:pPr>
            <w:r>
              <w:rPr>
                <w:color w:val="auto"/>
                <w:highlight w:val="none"/>
              </w:rPr>
              <w:drawing>
                <wp:inline distT="0" distB="0" distL="114300" distR="114300">
                  <wp:extent cx="5205095" cy="2713990"/>
                  <wp:effectExtent l="0" t="0" r="14605" b="10160"/>
                  <wp:docPr id="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9"/>
                          <pic:cNvPicPr>
                            <a:picLocks noChangeAspect="1"/>
                          </pic:cNvPicPr>
                        </pic:nvPicPr>
                        <pic:blipFill>
                          <a:blip r:embed="rId19"/>
                          <a:stretch>
                            <a:fillRect/>
                          </a:stretch>
                        </pic:blipFill>
                        <pic:spPr>
                          <a:xfrm>
                            <a:off x="0" y="0"/>
                            <a:ext cx="5205095" cy="2713990"/>
                          </a:xfrm>
                          <a:prstGeom prst="rect">
                            <a:avLst/>
                          </a:prstGeom>
                          <a:noFill/>
                          <a:ln>
                            <a:noFill/>
                          </a:ln>
                        </pic:spPr>
                      </pic:pic>
                    </a:graphicData>
                  </a:graphic>
                </wp:inline>
              </w:drawing>
            </w:r>
          </w:p>
          <w:p w14:paraId="5D0BAEDF">
            <w:pPr>
              <w:pStyle w:val="14"/>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图2-3边坡开挖示意图</w:t>
            </w:r>
          </w:p>
          <w:p w14:paraId="538D6206">
            <w:pPr>
              <w:pStyle w:val="19"/>
              <w:spacing w:line="360" w:lineRule="auto"/>
              <w:rPr>
                <w:rFonts w:hint="eastAsia"/>
                <w:color w:val="auto"/>
                <w:highlight w:val="none"/>
                <w:lang w:val="en-US" w:eastAsia="zh-CN"/>
              </w:rPr>
            </w:pPr>
          </w:p>
          <w:p w14:paraId="035A14D1">
            <w:pPr>
              <w:pStyle w:val="19"/>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color w:val="auto"/>
                <w:highlight w:val="none"/>
              </w:rPr>
            </w:pPr>
            <w:r>
              <w:rPr>
                <w:color w:val="auto"/>
                <w:highlight w:val="none"/>
              </w:rPr>
              <w:drawing>
                <wp:inline distT="0" distB="0" distL="114300" distR="114300">
                  <wp:extent cx="5204460" cy="4378325"/>
                  <wp:effectExtent l="0" t="0" r="15240" b="3175"/>
                  <wp:docPr id="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pic:cNvPicPr>
                            <a:picLocks noChangeAspect="1"/>
                          </pic:cNvPicPr>
                        </pic:nvPicPr>
                        <pic:blipFill>
                          <a:blip r:embed="rId20"/>
                          <a:stretch>
                            <a:fillRect/>
                          </a:stretch>
                        </pic:blipFill>
                        <pic:spPr>
                          <a:xfrm>
                            <a:off x="0" y="0"/>
                            <a:ext cx="5204460" cy="4378325"/>
                          </a:xfrm>
                          <a:prstGeom prst="rect">
                            <a:avLst/>
                          </a:prstGeom>
                          <a:noFill/>
                          <a:ln>
                            <a:noFill/>
                          </a:ln>
                        </pic:spPr>
                      </pic:pic>
                    </a:graphicData>
                  </a:graphic>
                </wp:inline>
              </w:drawing>
            </w:r>
          </w:p>
          <w:p w14:paraId="003BF2B9">
            <w:pPr>
              <w:pStyle w:val="14"/>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图2-4每斗之间重叠宽度示意图</w:t>
            </w:r>
          </w:p>
          <w:p w14:paraId="4C2E195D">
            <w:pPr>
              <w:numPr>
                <w:ilvl w:val="0"/>
                <w:numId w:val="0"/>
              </w:numPr>
              <w:spacing w:line="360" w:lineRule="auto"/>
              <w:textAlignment w:val="baseline"/>
              <w:rPr>
                <w:rFonts w:hint="eastAsia" w:ascii="Times New Roman" w:hAnsi="Times New Roman" w:eastAsia="宋体" w:cs="Times New Roman"/>
                <w:b/>
                <w:color w:val="auto"/>
                <w:sz w:val="28"/>
                <w:szCs w:val="28"/>
                <w:highlight w:val="none"/>
                <w:lang w:eastAsia="zh-CN"/>
              </w:rPr>
            </w:pPr>
            <w:r>
              <w:rPr>
                <w:rFonts w:hint="eastAsia" w:ascii="Times New Roman" w:hAnsi="Times New Roman" w:eastAsia="宋体" w:cs="Times New Roman"/>
                <w:b/>
                <w:color w:val="auto"/>
                <w:sz w:val="28"/>
                <w:szCs w:val="28"/>
                <w:highlight w:val="none"/>
                <w:lang w:val="en-US" w:eastAsia="zh-CN"/>
              </w:rPr>
              <w:t>2.4.6</w:t>
            </w:r>
            <w:r>
              <w:rPr>
                <w:rFonts w:hint="eastAsia" w:ascii="Times New Roman" w:hAnsi="Times New Roman" w:eastAsia="宋体" w:cs="Times New Roman"/>
                <w:b/>
                <w:color w:val="auto"/>
                <w:sz w:val="28"/>
                <w:szCs w:val="28"/>
                <w:highlight w:val="none"/>
                <w:lang w:eastAsia="zh-CN"/>
              </w:rPr>
              <w:t>回旋水域疏浚施工工艺</w:t>
            </w:r>
          </w:p>
          <w:p w14:paraId="0AF32717">
            <w:pPr>
              <w:pStyle w:val="19"/>
              <w:spacing w:line="360" w:lineRule="auto"/>
              <w:ind w:firstLine="480" w:firstLineChars="200"/>
              <w:rPr>
                <w:rFonts w:hint="eastAsia" w:ascii="Times New Roman" w:hAnsi="Times New Roman" w:eastAsia="宋体" w:cs="Times New Roman"/>
                <w:color w:val="auto"/>
                <w:sz w:val="24"/>
                <w:szCs w:val="24"/>
                <w:highlight w:val="none"/>
                <w:u w:val="none"/>
                <w:lang w:eastAsia="zh-CN"/>
              </w:rPr>
            </w:pPr>
            <w:r>
              <w:rPr>
                <w:rFonts w:hint="eastAsia" w:ascii="Times New Roman" w:hAnsi="Times New Roman" w:eastAsia="宋体" w:cs="Times New Roman"/>
                <w:color w:val="auto"/>
                <w:sz w:val="24"/>
                <w:szCs w:val="24"/>
                <w:highlight w:val="none"/>
                <w:u w:val="none"/>
                <w:lang w:val="en-US" w:eastAsia="zh-CN"/>
              </w:rPr>
              <w:t>为提高工作效率，减少施工活动对进港船舶影响，19</w:t>
            </w:r>
            <w:r>
              <w:rPr>
                <w:rFonts w:hint="eastAsia" w:ascii="Times New Roman" w:hAnsi="Times New Roman" w:eastAsia="宋体" w:cs="Times New Roman"/>
                <w:color w:val="auto"/>
                <w:sz w:val="24"/>
                <w:szCs w:val="24"/>
                <w:highlight w:val="none"/>
                <w:u w:val="none"/>
              </w:rPr>
              <w:t>#</w:t>
            </w:r>
            <w:r>
              <w:rPr>
                <w:rFonts w:hint="eastAsia" w:ascii="Times New Roman" w:hAnsi="Times New Roman" w:eastAsia="宋体" w:cs="Times New Roman"/>
                <w:color w:val="auto"/>
                <w:sz w:val="24"/>
                <w:szCs w:val="24"/>
                <w:highlight w:val="none"/>
                <w:u w:val="none"/>
                <w:lang w:val="en-US" w:eastAsia="zh-CN"/>
              </w:rPr>
              <w:t>施工采用3</w:t>
            </w:r>
            <w:r>
              <w:rPr>
                <w:rFonts w:hint="eastAsia" w:ascii="Times New Roman" w:hAnsi="Times New Roman" w:eastAsia="宋体" w:cs="Times New Roman"/>
                <w:color w:val="auto"/>
                <w:sz w:val="24"/>
                <w:szCs w:val="24"/>
                <w:highlight w:val="none"/>
                <w:u w:val="none"/>
              </w:rPr>
              <w:t>500m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rPr>
              <w:t>耙吸船</w:t>
            </w:r>
            <w:r>
              <w:rPr>
                <w:rFonts w:hint="eastAsia" w:ascii="Times New Roman" w:hAnsi="Times New Roman" w:eastAsia="宋体" w:cs="Times New Roman"/>
                <w:color w:val="auto"/>
                <w:sz w:val="24"/>
                <w:szCs w:val="24"/>
                <w:highlight w:val="none"/>
                <w:u w:val="none"/>
                <w:lang w:eastAsia="zh-CN"/>
              </w:rPr>
              <w:t>进行清淤工作，耙吸船施工工艺流程如下：</w:t>
            </w:r>
          </w:p>
          <w:p w14:paraId="409B5E51">
            <w:pPr>
              <w:pStyle w:val="19"/>
              <w:spacing w:line="360" w:lineRule="auto"/>
              <w:ind w:firstLine="480" w:firstLineChars="200"/>
              <w:jc w:val="center"/>
              <w:rPr>
                <w:rFonts w:hint="eastAsia" w:ascii="Times New Roman" w:hAnsi="Times New Roman" w:eastAsia="宋体" w:cs="Times New Roman"/>
                <w:color w:val="auto"/>
                <w:sz w:val="24"/>
                <w:szCs w:val="24"/>
                <w:highlight w:val="none"/>
                <w:u w:val="none"/>
                <w:lang w:eastAsia="zh-CN"/>
              </w:rPr>
            </w:pPr>
            <w:r>
              <w:rPr>
                <w:rFonts w:hint="eastAsia" w:ascii="Times New Roman" w:hAnsi="Times New Roman" w:eastAsia="宋体" w:cs="Times New Roman"/>
                <w:color w:val="auto"/>
                <w:sz w:val="24"/>
                <w:szCs w:val="24"/>
                <w:highlight w:val="none"/>
                <w:u w:val="none"/>
                <w:lang w:eastAsia="zh-CN"/>
              </w:rPr>
              <w:object>
                <v:shape id="_x0000_i1027" o:spt="75" type="#_x0000_t75" style="height:365.25pt;width:301.5pt;" o:ole="t" filled="f" o:preferrelative="t" stroked="f" coordsize="21600,21600">
                  <v:path/>
                  <v:fill on="f" focussize="0,0"/>
                  <v:stroke on="f"/>
                  <v:imagedata r:id="rId22" o:title=""/>
                  <o:lock v:ext="edit" aspectratio="f"/>
                  <w10:wrap type="none"/>
                  <w10:anchorlock/>
                </v:shape>
                <o:OLEObject Type="Embed" ProgID="Visio.Drawing.11" ShapeID="_x0000_i1027" DrawAspect="Content" ObjectID="_1468075727" r:id="rId21">
                  <o:LockedField>false</o:LockedField>
                </o:OLEObject>
              </w:object>
            </w:r>
          </w:p>
          <w:p w14:paraId="2A046E62">
            <w:pPr>
              <w:pStyle w:val="1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图2-5抓斗挖泥船施工工艺流程图</w:t>
            </w:r>
          </w:p>
          <w:p w14:paraId="359AE0FD">
            <w:pPr>
              <w:pStyle w:val="14"/>
              <w:jc w:val="center"/>
              <w:rPr>
                <w:rFonts w:hint="eastAsia"/>
                <w:color w:val="auto"/>
                <w:sz w:val="24"/>
                <w:szCs w:val="24"/>
                <w:highlight w:val="none"/>
              </w:rPr>
            </w:pPr>
            <w:r>
              <w:rPr>
                <w:rFonts w:ascii="宋体" w:hAnsi="宋体" w:eastAsia="宋体" w:cs="宋体"/>
                <w:color w:val="auto"/>
                <w:sz w:val="24"/>
                <w:szCs w:val="24"/>
                <w:highlight w:val="none"/>
              </w:rPr>
              <w:drawing>
                <wp:inline distT="0" distB="0" distL="114300" distR="114300">
                  <wp:extent cx="4672330" cy="3500120"/>
                  <wp:effectExtent l="0" t="0" r="13970" b="5080"/>
                  <wp:docPr id="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IMG_256"/>
                          <pic:cNvPicPr>
                            <a:picLocks noChangeAspect="1"/>
                          </pic:cNvPicPr>
                        </pic:nvPicPr>
                        <pic:blipFill>
                          <a:blip r:embed="rId23"/>
                          <a:stretch>
                            <a:fillRect/>
                          </a:stretch>
                        </pic:blipFill>
                        <pic:spPr>
                          <a:xfrm>
                            <a:off x="0" y="0"/>
                            <a:ext cx="4672330" cy="3500120"/>
                          </a:xfrm>
                          <a:prstGeom prst="rect">
                            <a:avLst/>
                          </a:prstGeom>
                          <a:noFill/>
                          <a:ln>
                            <a:noFill/>
                          </a:ln>
                        </pic:spPr>
                      </pic:pic>
                    </a:graphicData>
                  </a:graphic>
                </wp:inline>
              </w:drawing>
            </w:r>
          </w:p>
          <w:p w14:paraId="63483A1C">
            <w:pPr>
              <w:pStyle w:val="14"/>
              <w:jc w:val="center"/>
              <w:rPr>
                <w:rFonts w:hint="default" w:eastAsia="宋体"/>
                <w:b/>
                <w:bCs/>
                <w:color w:val="auto"/>
                <w:sz w:val="21"/>
                <w:szCs w:val="21"/>
                <w:highlight w:val="none"/>
                <w:lang w:val="en-US" w:eastAsia="zh-CN"/>
              </w:rPr>
            </w:pPr>
            <w:r>
              <w:rPr>
                <w:b/>
                <w:bCs/>
                <w:color w:val="auto"/>
                <w:sz w:val="21"/>
                <w:szCs w:val="21"/>
                <w:highlight w:val="none"/>
              </w:rPr>
              <w:t>图</w:t>
            </w:r>
            <w:r>
              <w:rPr>
                <w:rFonts w:hint="eastAsia"/>
                <w:b/>
                <w:bCs/>
                <w:color w:val="auto"/>
                <w:sz w:val="21"/>
                <w:szCs w:val="21"/>
                <w:highlight w:val="none"/>
                <w:lang w:val="en-US" w:eastAsia="zh-CN"/>
              </w:rPr>
              <w:t>2-6</w:t>
            </w:r>
            <w:r>
              <w:rPr>
                <w:rFonts w:hint="eastAsia"/>
                <w:b/>
                <w:bCs/>
                <w:color w:val="auto"/>
                <w:sz w:val="21"/>
                <w:szCs w:val="21"/>
                <w:highlight w:val="none"/>
                <w:lang w:eastAsia="zh-CN"/>
              </w:rPr>
              <w:t>耙吸式挖泥船结构示意图</w:t>
            </w:r>
          </w:p>
          <w:p w14:paraId="420B6A53">
            <w:pPr>
              <w:pStyle w:val="19"/>
              <w:spacing w:line="360" w:lineRule="auto"/>
              <w:ind w:firstLine="480" w:firstLineChars="200"/>
              <w:rPr>
                <w:rFonts w:hint="eastAsia" w:ascii="Times New Roman" w:hAnsi="Times New Roman" w:eastAsia="宋体" w:cs="Times New Roman"/>
                <w:color w:val="auto"/>
                <w:sz w:val="24"/>
                <w:szCs w:val="24"/>
                <w:highlight w:val="none"/>
                <w:u w:val="none"/>
                <w:lang w:eastAsia="zh-CN"/>
              </w:rPr>
            </w:pPr>
            <w:r>
              <w:rPr>
                <w:rFonts w:hint="eastAsia" w:ascii="Times New Roman" w:hAnsi="Times New Roman" w:eastAsia="宋体" w:cs="Times New Roman"/>
                <w:color w:val="auto"/>
                <w:sz w:val="24"/>
                <w:szCs w:val="24"/>
                <w:highlight w:val="none"/>
                <w:u w:val="none"/>
                <w:lang w:eastAsia="zh-CN"/>
              </w:rPr>
              <w:t>①施工准备</w:t>
            </w:r>
          </w:p>
          <w:p w14:paraId="34C87E1A">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eastAsia="zh-CN"/>
              </w:rPr>
              <w:t>施工作业前完成疏浚区域勘测，明确疏浚区域水深泥层厚度、土质类型（黏土、砂土、淤泥等），划定挖泥航线和禁挖边界，并在</w:t>
            </w:r>
            <w:r>
              <w:rPr>
                <w:rFonts w:hint="eastAsia" w:ascii="Times New Roman" w:hAnsi="Times New Roman" w:eastAsia="宋体" w:cs="Times New Roman"/>
                <w:color w:val="auto"/>
                <w:sz w:val="24"/>
                <w:szCs w:val="24"/>
                <w:highlight w:val="none"/>
                <w:u w:val="none"/>
                <w:lang w:val="en-US" w:eastAsia="zh-CN"/>
              </w:rPr>
              <w:t>施工水域外围抛设临时浮标，标示施工作业水域范围。施工船舶驶入施工水域后，定位系统（GPS、北斗）校准船位，调整船体姿态使耙吸头对准挖泥带，检查吸泥泵、输泥管路等设备状态。</w:t>
            </w:r>
          </w:p>
          <w:p w14:paraId="5616AB4D">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②挖泥作业</w:t>
            </w:r>
          </w:p>
          <w:p w14:paraId="5D17F175">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启动设备将两组耙吸头从船身两侧放下，伸入海底泥层（深度根据疏浚要求调整）。耙吸头上的耙齿破碎硬土或松散泥层，同时开启船上的大功率吸泥泵，通过吸泥管路产生负压，将破碎后的泥浆（泥沙与海水混合物）吸入船舱。船舶保持低速匀速航行，沿预设航线连续作业，耙吸头随船移动持续挖吸，确保疏浚面平整</w:t>
            </w:r>
            <w:r>
              <w:rPr>
                <w:rFonts w:hint="eastAsia" w:ascii="Times New Roman" w:hAnsi="Times New Roman" w:eastAsia="宋体" w:cs="Times New Roman"/>
                <w:color w:val="auto"/>
                <w:sz w:val="24"/>
                <w:szCs w:val="24"/>
                <w:highlight w:val="none"/>
                <w:u w:val="none"/>
                <w:lang w:val="en-US" w:eastAsia="zh-CN"/>
              </w:rPr>
              <w:t>，挖泥作业过程中采取分段施工、分带（分条）施工。</w:t>
            </w:r>
          </w:p>
          <w:p w14:paraId="12EFEAC2">
            <w:pPr>
              <w:pStyle w:val="19"/>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当挖槽长度大于挖泥船挖满一舱泥所需的长度时，进行分段施工。分段长度可根据挖满一舱泥的时间和挖泥船的航速确定，挖泥时间取决于挖泥船的性能、开挖土质的难易、在泥舱中的沉淀情况和泥层厚度。</w:t>
            </w:r>
          </w:p>
          <w:p w14:paraId="2DE7330E">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耙吸挖泥船单耙挖宽很有限，所以通常用分带施工，所谓分带是指在较宽范围的分带，分带施工有利于耙迹线均匀分布，泥面均匀增深。对较宽的挖槽或挖槽断面的深度一边浅一边深的情况，或为工程施工安排或航行要求，需要某带挖槽先挖深等情况，均可采取分带施工。分带宽度一般为船宽的两倍加</w:t>
            </w:r>
            <w:r>
              <w:rPr>
                <w:rFonts w:hint="default" w:ascii="Times New Roman" w:hAnsi="Times New Roman" w:eastAsia="宋体" w:cs="Times New Roman"/>
                <w:color w:val="auto"/>
                <w:sz w:val="24"/>
                <w:szCs w:val="24"/>
                <w:highlight w:val="none"/>
                <w:u w:val="none"/>
                <w:lang w:val="en-US" w:eastAsia="zh-CN"/>
              </w:rPr>
              <w:t>2</w:t>
            </w:r>
            <w:r>
              <w:rPr>
                <w:rFonts w:hint="eastAsia" w:ascii="Times New Roman" w:hAnsi="Times New Roman" w:eastAsia="宋体" w:cs="Times New Roman"/>
                <w:color w:val="auto"/>
                <w:sz w:val="24"/>
                <w:szCs w:val="24"/>
                <w:highlight w:val="none"/>
                <w:u w:val="none"/>
                <w:lang w:val="en-US" w:eastAsia="zh-CN"/>
              </w:rPr>
              <w:t>个耙头宽度。为防止漏挖，各相邻施工带施工时搭接不少于</w:t>
            </w:r>
            <w:r>
              <w:rPr>
                <w:rFonts w:hint="default" w:ascii="Times New Roman" w:hAnsi="Times New Roman" w:eastAsia="宋体" w:cs="Times New Roman"/>
                <w:color w:val="auto"/>
                <w:sz w:val="24"/>
                <w:szCs w:val="24"/>
                <w:highlight w:val="none"/>
                <w:u w:val="none"/>
                <w:lang w:val="en-US" w:eastAsia="zh-CN"/>
              </w:rPr>
              <w:t>5m</w:t>
            </w:r>
            <w:r>
              <w:rPr>
                <w:rFonts w:hint="eastAsia" w:ascii="Times New Roman" w:hAnsi="Times New Roman" w:eastAsia="宋体" w:cs="Times New Roman"/>
                <w:color w:val="auto"/>
                <w:sz w:val="24"/>
                <w:szCs w:val="24"/>
                <w:highlight w:val="none"/>
                <w:u w:val="none"/>
                <w:lang w:val="en-US" w:eastAsia="zh-CN"/>
              </w:rPr>
              <w:t>，具体施工带落实到每个班组。</w:t>
            </w:r>
          </w:p>
          <w:p w14:paraId="2304000D">
            <w:pPr>
              <w:pStyle w:val="19"/>
              <w:spacing w:line="360" w:lineRule="auto"/>
              <w:jc w:val="center"/>
              <w:rPr>
                <w:color w:val="auto"/>
                <w:highlight w:val="none"/>
              </w:rPr>
            </w:pPr>
            <w:r>
              <w:rPr>
                <w:color w:val="auto"/>
                <w:highlight w:val="none"/>
              </w:rPr>
              <w:drawing>
                <wp:inline distT="0" distB="0" distL="114300" distR="114300">
                  <wp:extent cx="3990975" cy="2085975"/>
                  <wp:effectExtent l="0" t="0" r="9525" b="9525"/>
                  <wp:docPr id="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pic:cNvPicPr>
                            <a:picLocks noChangeAspect="1"/>
                          </pic:cNvPicPr>
                        </pic:nvPicPr>
                        <pic:blipFill>
                          <a:blip r:embed="rId24"/>
                          <a:stretch>
                            <a:fillRect/>
                          </a:stretch>
                        </pic:blipFill>
                        <pic:spPr>
                          <a:xfrm>
                            <a:off x="0" y="0"/>
                            <a:ext cx="3990975" cy="2085975"/>
                          </a:xfrm>
                          <a:prstGeom prst="rect">
                            <a:avLst/>
                          </a:prstGeom>
                          <a:noFill/>
                          <a:ln>
                            <a:noFill/>
                          </a:ln>
                        </pic:spPr>
                      </pic:pic>
                    </a:graphicData>
                  </a:graphic>
                </wp:inline>
              </w:drawing>
            </w:r>
          </w:p>
          <w:p w14:paraId="0A3A5270">
            <w:pPr>
              <w:pStyle w:val="14"/>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图2-6耙吸船分带施工示意图</w:t>
            </w:r>
          </w:p>
          <w:p w14:paraId="3CF48DF1">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③仓内沉淀与溢流控水</w:t>
            </w:r>
          </w:p>
          <w:p w14:paraId="75D91F30">
            <w:pPr>
              <w:pStyle w:val="19"/>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泥浆进入泥舱后，泥沙在重力作用下快速沉淀，上层含少量泥沙的海水（澄清水）通过50%开启的溢流口排出船外。溢流口的开启幅度可通过自动控制系统微调，始终维持舱内液位稳定，避免泥浆溢出，同时保证储泥效率。</w:t>
            </w:r>
          </w:p>
          <w:p w14:paraId="7DB95919">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④满仓停止挖泥起耙</w:t>
            </w:r>
          </w:p>
          <w:p w14:paraId="600320DA">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当舱容仪显示达到85%</w:t>
            </w:r>
            <w:r>
              <w:rPr>
                <w:rFonts w:hint="eastAsia" w:ascii="Times New Roman" w:hAnsi="Times New Roman" w:eastAsia="宋体" w:cs="Times New Roman"/>
                <w:color w:val="auto"/>
                <w:sz w:val="24"/>
                <w:szCs w:val="24"/>
                <w:highlight w:val="none"/>
                <w:u w:val="none"/>
                <w:lang w:val="en-US" w:eastAsia="zh-CN"/>
              </w:rPr>
              <w:t>，停止挖泥工作，关闭装舱阀门，调整耙头后收起吸泥耙。</w:t>
            </w:r>
          </w:p>
          <w:p w14:paraId="2F92BE38">
            <w:pPr>
              <w:pStyle w:val="19"/>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⑤疏浚物运输与抛泥作业</w:t>
            </w:r>
          </w:p>
          <w:p w14:paraId="54BEA75D">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启动锚机，回收艏锚</w:t>
            </w:r>
            <w:r>
              <w:rPr>
                <w:rFonts w:hint="eastAsia" w:ascii="Times New Roman" w:hAnsi="Times New Roman" w:eastAsia="宋体" w:cs="Times New Roman"/>
                <w:color w:val="auto"/>
                <w:sz w:val="24"/>
                <w:szCs w:val="24"/>
                <w:highlight w:val="none"/>
                <w:u w:val="none"/>
                <w:lang w:val="en-US" w:eastAsia="zh-CN"/>
              </w:rPr>
              <w:t>后根据施工区→金鼓江作业区出口→钦州港主航道→抛泥区B区的抛泥航线将项目疏浚物运输至抛泥区进行抛泥，抛泥过程中，驾驶员保持船速1kn，沿抛泥区内侧缓慢航行（航线：顺时针环形，半径500m），确保淤泥均匀抛卸。</w:t>
            </w:r>
          </w:p>
          <w:p w14:paraId="78F85F27">
            <w:pPr>
              <w:pStyle w:val="19"/>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⑥返航循环作业</w:t>
            </w:r>
          </w:p>
          <w:p w14:paraId="080929C5">
            <w:pPr>
              <w:pStyle w:val="19"/>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耙吸船调整航向，沿原航线返回施工区</w:t>
            </w:r>
            <w:r>
              <w:rPr>
                <w:rFonts w:hint="eastAsia" w:ascii="Times New Roman" w:hAnsi="Times New Roman" w:eastAsia="宋体" w:cs="Times New Roman"/>
                <w:color w:val="auto"/>
                <w:sz w:val="24"/>
                <w:szCs w:val="24"/>
                <w:highlight w:val="none"/>
                <w:u w:val="none"/>
                <w:lang w:val="en-US" w:eastAsia="zh-CN"/>
              </w:rPr>
              <w:t>。返回到施工区后检查船舶主机运行状态，补充燃油、检查船舶油污水舱等，调整施工区边缘后，抛艏锚固定船位，重复“装舱挖泥→航行抛泥→返回就位”流程，直至当前施工段完成。</w:t>
            </w:r>
          </w:p>
          <w:p w14:paraId="41316FAC">
            <w:pPr>
              <w:numPr>
                <w:ilvl w:val="0"/>
                <w:numId w:val="0"/>
              </w:numPr>
              <w:spacing w:line="360" w:lineRule="auto"/>
              <w:textAlignment w:val="baseline"/>
              <w:rPr>
                <w:rFonts w:hint="eastAsia" w:ascii="Times New Roman" w:hAnsi="Times New Roman" w:eastAsia="宋体" w:cs="Times New Roman"/>
                <w:b/>
                <w:color w:val="auto"/>
                <w:sz w:val="28"/>
                <w:szCs w:val="28"/>
                <w:highlight w:val="none"/>
                <w:lang w:eastAsia="zh-CN"/>
              </w:rPr>
            </w:pPr>
            <w:r>
              <w:rPr>
                <w:rFonts w:hint="eastAsia" w:ascii="Times New Roman" w:hAnsi="Times New Roman" w:eastAsia="宋体" w:cs="Times New Roman"/>
                <w:b/>
                <w:color w:val="auto"/>
                <w:sz w:val="28"/>
                <w:szCs w:val="28"/>
                <w:highlight w:val="none"/>
                <w:lang w:val="en-US" w:eastAsia="zh-CN"/>
              </w:rPr>
              <w:t>2.4.5</w:t>
            </w:r>
            <w:r>
              <w:rPr>
                <w:rFonts w:hint="eastAsia" w:ascii="Times New Roman" w:hAnsi="Times New Roman" w:eastAsia="宋体" w:cs="Times New Roman"/>
                <w:b/>
                <w:color w:val="auto"/>
                <w:sz w:val="28"/>
                <w:szCs w:val="28"/>
                <w:highlight w:val="none"/>
                <w:lang w:eastAsia="zh-CN"/>
              </w:rPr>
              <w:t>产污情况</w:t>
            </w:r>
          </w:p>
          <w:p w14:paraId="0B9C983E">
            <w:pPr>
              <w:pStyle w:val="19"/>
              <w:spacing w:line="360" w:lineRule="auto"/>
              <w:ind w:firstLine="480" w:firstLineChars="200"/>
              <w:rPr>
                <w:rFonts w:hint="eastAsia" w:ascii="Times New Roman" w:hAnsi="Times New Roman"/>
                <w:color w:val="auto"/>
                <w:sz w:val="24"/>
                <w:szCs w:val="24"/>
                <w:highlight w:val="none"/>
                <w:u w:val="none"/>
                <w:lang w:eastAsia="zh-CN"/>
              </w:rPr>
            </w:pPr>
            <w:r>
              <w:rPr>
                <w:rFonts w:hint="eastAsia" w:ascii="Times New Roman" w:hAnsi="Times New Roman"/>
                <w:color w:val="auto"/>
                <w:sz w:val="24"/>
                <w:szCs w:val="24"/>
                <w:highlight w:val="none"/>
                <w:u w:val="none"/>
                <w:lang w:eastAsia="zh-CN"/>
              </w:rPr>
              <w:t>根据项目施工工艺，施工产生的污染物种类如下：</w:t>
            </w:r>
          </w:p>
          <w:p w14:paraId="36C55C05">
            <w:pPr>
              <w:pStyle w:val="19"/>
              <w:spacing w:line="360" w:lineRule="auto"/>
              <w:ind w:firstLine="480" w:firstLineChars="200"/>
              <w:rPr>
                <w:rFonts w:hint="eastAsia" w:ascii="Times New Roman" w:hAnsi="Times New Roman"/>
                <w:color w:val="auto"/>
                <w:sz w:val="24"/>
                <w:szCs w:val="24"/>
                <w:highlight w:val="none"/>
                <w:u w:val="none"/>
                <w:lang w:val="en-US" w:eastAsia="zh-CN"/>
              </w:rPr>
            </w:pPr>
            <w:r>
              <w:rPr>
                <w:rFonts w:hint="eastAsia" w:ascii="Times New Roman" w:hAnsi="Times New Roman"/>
                <w:color w:val="auto"/>
                <w:sz w:val="24"/>
                <w:szCs w:val="24"/>
                <w:highlight w:val="none"/>
                <w:u w:val="none"/>
                <w:lang w:val="en-US" w:eastAsia="zh-CN"/>
              </w:rPr>
              <w:t>废水：施工船舶舱底含油污水、施工船舶生活污水、施工悬浮泥沙；</w:t>
            </w:r>
          </w:p>
          <w:p w14:paraId="31878DCC">
            <w:pPr>
              <w:pStyle w:val="19"/>
              <w:spacing w:line="360" w:lineRule="auto"/>
              <w:ind w:firstLine="480" w:firstLineChars="200"/>
              <w:rPr>
                <w:rFonts w:hint="eastAsia" w:ascii="Times New Roman" w:hAnsi="Times New Roman"/>
                <w:color w:val="auto"/>
                <w:sz w:val="24"/>
                <w:szCs w:val="24"/>
                <w:highlight w:val="none"/>
                <w:u w:val="none"/>
                <w:lang w:val="en-US" w:eastAsia="zh-CN"/>
              </w:rPr>
            </w:pPr>
            <w:r>
              <w:rPr>
                <w:rFonts w:hint="eastAsia" w:ascii="Times New Roman" w:hAnsi="Times New Roman"/>
                <w:color w:val="auto"/>
                <w:sz w:val="24"/>
                <w:szCs w:val="24"/>
                <w:highlight w:val="none"/>
                <w:u w:val="none"/>
                <w:lang w:val="en-US" w:eastAsia="zh-CN"/>
              </w:rPr>
              <w:t>废气：施工船舶尾气；</w:t>
            </w:r>
          </w:p>
          <w:p w14:paraId="35D21D89">
            <w:pPr>
              <w:pStyle w:val="19"/>
              <w:spacing w:line="360" w:lineRule="auto"/>
              <w:ind w:firstLine="480" w:firstLineChars="200"/>
              <w:rPr>
                <w:rFonts w:hint="eastAsia" w:ascii="Times New Roman" w:hAnsi="Times New Roman"/>
                <w:color w:val="auto"/>
                <w:sz w:val="24"/>
                <w:szCs w:val="24"/>
                <w:highlight w:val="none"/>
                <w:u w:val="none"/>
                <w:lang w:val="en-US" w:eastAsia="zh-CN"/>
              </w:rPr>
            </w:pPr>
            <w:r>
              <w:rPr>
                <w:rFonts w:hint="eastAsia" w:ascii="Times New Roman" w:hAnsi="Times New Roman"/>
                <w:color w:val="auto"/>
                <w:sz w:val="24"/>
                <w:szCs w:val="24"/>
                <w:highlight w:val="none"/>
                <w:u w:val="none"/>
                <w:lang w:val="en-US" w:eastAsia="zh-CN"/>
              </w:rPr>
              <w:t>噪声：施工船舶噪声、施工噪声；</w:t>
            </w:r>
          </w:p>
          <w:p w14:paraId="54E247CF">
            <w:pPr>
              <w:pStyle w:val="19"/>
              <w:spacing w:line="360" w:lineRule="auto"/>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u w:val="none"/>
                <w:lang w:val="en-US" w:eastAsia="zh-CN"/>
              </w:rPr>
              <w:t>固废：施工船舶生活垃圾、疏浚物。</w:t>
            </w:r>
          </w:p>
        </w:tc>
      </w:tr>
      <w:tr w14:paraId="08868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noWrap w:val="0"/>
            <w:vAlign w:val="center"/>
          </w:tcPr>
          <w:p w14:paraId="07C0C1AD">
            <w:pPr>
              <w:pStyle w:val="40"/>
              <w:adjustRightInd w:val="0"/>
              <w:snapToGrid w:val="0"/>
              <w:spacing w:before="0" w:beforeAutospacing="0" w:after="0" w:afterAutospacing="0"/>
              <w:jc w:val="center"/>
              <w:rPr>
                <w:rFonts w:hint="eastAsia" w:cs="宋体"/>
                <w:color w:val="auto"/>
                <w:szCs w:val="21"/>
                <w:highlight w:val="none"/>
              </w:rPr>
            </w:pPr>
            <w:r>
              <w:rPr>
                <w:rFonts w:hint="eastAsia" w:cs="宋体"/>
                <w:color w:val="auto"/>
                <w:szCs w:val="21"/>
                <w:highlight w:val="none"/>
              </w:rPr>
              <w:t>其他</w:t>
            </w:r>
          </w:p>
        </w:tc>
        <w:tc>
          <w:tcPr>
            <w:tcW w:w="8418" w:type="dxa"/>
            <w:noWrap w:val="0"/>
            <w:vAlign w:val="top"/>
          </w:tcPr>
          <w:p w14:paraId="08887849">
            <w:pPr>
              <w:jc w:val="center"/>
              <w:rPr>
                <w:rFonts w:hint="eastAsia" w:ascii="Times New Roman" w:hAnsi="Times New Roman" w:eastAsia="宋体" w:cs="Times New Roman"/>
                <w:color w:val="auto"/>
                <w:highlight w:val="none"/>
              </w:rPr>
            </w:pPr>
          </w:p>
          <w:p w14:paraId="7762C0FD">
            <w:pPr>
              <w:jc w:val="center"/>
              <w:rPr>
                <w:rFonts w:hint="eastAsia" w:ascii="Times New Roman" w:hAnsi="Times New Roman" w:eastAsia="宋体" w:cs="Times New Roman"/>
                <w:color w:val="auto"/>
                <w:highlight w:val="none"/>
              </w:rPr>
            </w:pPr>
          </w:p>
          <w:p w14:paraId="53A9DB75">
            <w:pPr>
              <w:jc w:val="center"/>
              <w:rPr>
                <w:rFonts w:hint="eastAsia" w:ascii="Times New Roman" w:hAnsi="Times New Roman" w:eastAsia="宋体" w:cs="Times New Roman"/>
                <w:color w:val="auto"/>
                <w:highlight w:val="none"/>
              </w:rPr>
            </w:pPr>
          </w:p>
          <w:p w14:paraId="78590849">
            <w:pPr>
              <w:jc w:val="center"/>
              <w:rPr>
                <w:rFonts w:hint="eastAsia"/>
                <w:color w:val="auto"/>
                <w:highlight w:val="none"/>
              </w:rPr>
            </w:pPr>
            <w:r>
              <w:rPr>
                <w:rFonts w:hint="eastAsia"/>
                <w:color w:val="auto"/>
                <w:highlight w:val="none"/>
              </w:rPr>
              <w:t>无</w:t>
            </w:r>
          </w:p>
          <w:p w14:paraId="3CEF3416">
            <w:pPr>
              <w:jc w:val="center"/>
              <w:rPr>
                <w:rFonts w:hint="eastAsia"/>
                <w:color w:val="auto"/>
                <w:highlight w:val="none"/>
              </w:rPr>
            </w:pPr>
          </w:p>
          <w:p w14:paraId="50D11C7B">
            <w:pPr>
              <w:jc w:val="center"/>
              <w:rPr>
                <w:rFonts w:hint="eastAsia"/>
                <w:color w:val="auto"/>
                <w:highlight w:val="none"/>
              </w:rPr>
            </w:pPr>
          </w:p>
        </w:tc>
      </w:tr>
    </w:tbl>
    <w:p w14:paraId="69D66BBC">
      <w:pPr>
        <w:pStyle w:val="40"/>
        <w:jc w:val="center"/>
        <w:rPr>
          <w:rFonts w:ascii="Times New Roman" w:hAnsi="Times New Roman" w:eastAsia="黑体"/>
          <w:snapToGrid w:val="0"/>
          <w:color w:val="auto"/>
          <w:sz w:val="36"/>
          <w:szCs w:val="36"/>
          <w:highlight w:val="none"/>
        </w:rPr>
        <w:sectPr>
          <w:headerReference r:id="rId8" w:type="default"/>
          <w:pgSz w:w="11906" w:h="16838"/>
          <w:pgMar w:top="1701" w:right="1531" w:bottom="1701" w:left="1531" w:header="851" w:footer="851" w:gutter="0"/>
          <w:cols w:space="720" w:num="1"/>
          <w:docGrid w:linePitch="312" w:charSpace="0"/>
        </w:sectPr>
      </w:pPr>
    </w:p>
    <w:p w14:paraId="7E008BA7">
      <w:pPr>
        <w:pStyle w:val="2"/>
        <w:snapToGrid/>
        <w:spacing w:before="0" w:after="0" w:line="360" w:lineRule="auto"/>
        <w:jc w:val="center"/>
        <w:rPr>
          <w:snapToGrid w:val="0"/>
          <w:color w:val="auto"/>
          <w:highlight w:val="none"/>
        </w:rPr>
      </w:pPr>
      <w:bookmarkStart w:id="29" w:name="_Toc15298"/>
      <w:bookmarkStart w:id="30" w:name="_Toc6285"/>
      <w:bookmarkStart w:id="31" w:name="_Toc23347"/>
      <w:bookmarkStart w:id="32" w:name="_Toc32749"/>
      <w:r>
        <w:rPr>
          <w:color w:val="auto"/>
          <w:highlight w:val="none"/>
        </w:rPr>
        <w:t>三、</w:t>
      </w:r>
      <w:r>
        <w:rPr>
          <w:rFonts w:hint="eastAsia"/>
          <w:color w:val="auto"/>
          <w:highlight w:val="none"/>
        </w:rPr>
        <w:t>生态</w:t>
      </w:r>
      <w:r>
        <w:rPr>
          <w:color w:val="auto"/>
          <w:highlight w:val="none"/>
        </w:rPr>
        <w:t>环境现状、保护目标及评价标准</w:t>
      </w:r>
      <w:bookmarkEnd w:id="29"/>
      <w:bookmarkEnd w:id="30"/>
      <w:bookmarkEnd w:id="31"/>
      <w:bookmarkEnd w:id="32"/>
    </w:p>
    <w:tbl>
      <w:tblPr>
        <w:tblStyle w:val="4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8351"/>
      </w:tblGrid>
      <w:tr w14:paraId="697A0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389" w:type="pct"/>
            <w:noWrap w:val="0"/>
            <w:vAlign w:val="center"/>
          </w:tcPr>
          <w:p w14:paraId="183EDD44">
            <w:pPr>
              <w:adjustRightInd w:val="0"/>
              <w:snapToGrid w:val="0"/>
              <w:jc w:val="center"/>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生态环境</w:t>
            </w:r>
          </w:p>
          <w:p w14:paraId="0740CE3F">
            <w:pPr>
              <w:adjustRightInd w:val="0"/>
              <w:snapToGrid w:val="0"/>
              <w:jc w:val="center"/>
              <w:rPr>
                <w:color w:val="auto"/>
                <w:kern w:val="0"/>
                <w:szCs w:val="21"/>
                <w:highlight w:val="none"/>
              </w:rPr>
            </w:pPr>
            <w:r>
              <w:rPr>
                <w:rFonts w:hint="eastAsia" w:ascii="宋体" w:hAnsi="宋体" w:cs="宋体"/>
                <w:color w:val="auto"/>
                <w:kern w:val="0"/>
                <w:sz w:val="24"/>
                <w:szCs w:val="21"/>
                <w:highlight w:val="none"/>
              </w:rPr>
              <w:t>现状</w:t>
            </w:r>
          </w:p>
        </w:tc>
        <w:tc>
          <w:tcPr>
            <w:tcW w:w="4610" w:type="pct"/>
            <w:noWrap w:val="0"/>
            <w:vAlign w:val="center"/>
          </w:tcPr>
          <w:p w14:paraId="1BC39D2E">
            <w:pPr>
              <w:adjustRightInd w:val="0"/>
              <w:spacing w:line="360" w:lineRule="auto"/>
              <w:textAlignment w:val="baseline"/>
              <w:rPr>
                <w:rFonts w:hint="eastAsia" w:eastAsia="宋体"/>
                <w:b/>
                <w:color w:val="auto"/>
                <w:sz w:val="28"/>
                <w:szCs w:val="28"/>
                <w:highlight w:val="none"/>
                <w:lang w:eastAsia="zh-CN"/>
              </w:rPr>
            </w:pPr>
            <w:r>
              <w:rPr>
                <w:rFonts w:hint="eastAsia"/>
                <w:b/>
                <w:color w:val="auto"/>
                <w:sz w:val="28"/>
                <w:szCs w:val="28"/>
                <w:highlight w:val="none"/>
                <w:lang w:val="en-US" w:eastAsia="zh-CN"/>
              </w:rPr>
              <w:t>3.1.1</w:t>
            </w:r>
            <w:r>
              <w:rPr>
                <w:rFonts w:hint="eastAsia"/>
                <w:b/>
                <w:color w:val="auto"/>
                <w:sz w:val="28"/>
                <w:szCs w:val="28"/>
                <w:highlight w:val="none"/>
                <w:lang w:eastAsia="zh-CN"/>
              </w:rPr>
              <w:t>环境功能区划</w:t>
            </w:r>
          </w:p>
          <w:p w14:paraId="32446929">
            <w:pPr>
              <w:spacing w:line="360" w:lineRule="auto"/>
              <w:ind w:firstLine="482" w:firstLineChars="200"/>
              <w:rPr>
                <w:rFonts w:hint="eastAsia"/>
                <w:color w:val="auto"/>
                <w:sz w:val="24"/>
                <w:highlight w:val="none"/>
                <w:shd w:val="clear" w:color="auto" w:fill="FFFFFF"/>
              </w:rPr>
            </w:pPr>
            <w:r>
              <w:rPr>
                <w:b/>
                <w:bCs/>
                <w:color w:val="auto"/>
                <w:sz w:val="24"/>
                <w:highlight w:val="none"/>
                <w:shd w:val="clear" w:color="auto" w:fill="FFFFFF"/>
              </w:rPr>
              <w:t>1、</w:t>
            </w:r>
            <w:r>
              <w:rPr>
                <w:rFonts w:hint="eastAsia"/>
                <w:b/>
                <w:bCs/>
                <w:color w:val="auto"/>
                <w:sz w:val="24"/>
                <w:highlight w:val="none"/>
                <w:shd w:val="clear" w:color="auto" w:fill="FFFFFF"/>
                <w:lang w:eastAsia="zh-CN"/>
              </w:rPr>
              <w:t>海洋功能区划</w:t>
            </w:r>
          </w:p>
          <w:p w14:paraId="27EBBEDD">
            <w:pPr>
              <w:spacing w:line="360" w:lineRule="auto"/>
              <w:ind w:firstLine="480" w:firstLineChars="200"/>
              <w:rPr>
                <w:rFonts w:ascii="宋体" w:hAnsi="宋体" w:eastAsia="宋体" w:cs="宋体"/>
                <w:color w:val="auto"/>
                <w:sz w:val="24"/>
                <w:szCs w:val="24"/>
                <w:highlight w:val="none"/>
              </w:rPr>
            </w:pPr>
            <w:r>
              <w:rPr>
                <w:rFonts w:hint="eastAsia" w:ascii="Times New Roman" w:hAnsi="Times New Roman" w:eastAsia="宋体" w:cs="Times New Roman"/>
                <w:color w:val="auto"/>
                <w:sz w:val="24"/>
                <w:highlight w:val="none"/>
                <w:lang w:val="en-US" w:eastAsia="zh-CN"/>
              </w:rPr>
              <w:t>《广西壮族自治区海洋功能区划（2011—2020年）》</w:t>
            </w:r>
            <w:r>
              <w:rPr>
                <w:rFonts w:hint="eastAsia" w:ascii="Times New Roman" w:hAnsi="Times New Roman" w:eastAsia="宋体" w:cs="Times New Roman"/>
                <w:color w:val="auto"/>
                <w:sz w:val="24"/>
                <w:highlight w:val="none"/>
              </w:rPr>
              <w:t>（国函〔2012〕</w:t>
            </w:r>
            <w:r>
              <w:rPr>
                <w:rFonts w:hint="default" w:ascii="Times New Roman" w:hAnsi="Times New Roman" w:eastAsia="宋体" w:cs="Times New Roman"/>
                <w:color w:val="auto"/>
                <w:sz w:val="24"/>
                <w:highlight w:val="none"/>
              </w:rPr>
              <w:t xml:space="preserve">166 </w:t>
            </w:r>
            <w:r>
              <w:rPr>
                <w:rFonts w:hint="eastAsia" w:ascii="Times New Roman" w:hAnsi="Times New Roman" w:eastAsia="宋体" w:cs="Times New Roman"/>
                <w:color w:val="auto"/>
                <w:sz w:val="24"/>
                <w:highlight w:val="none"/>
              </w:rPr>
              <w:t>号）</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项目所在位置为“A2-9 鹰岭-果子山-金鼓江港口航运区”，港口航运</w:t>
            </w:r>
            <w:r>
              <w:rPr>
                <w:rFonts w:ascii="宋体" w:hAnsi="宋体" w:eastAsia="宋体" w:cs="宋体"/>
                <w:color w:val="auto"/>
                <w:sz w:val="24"/>
                <w:szCs w:val="24"/>
                <w:highlight w:val="none"/>
              </w:rPr>
              <w:t>区内的海域主要用于港口建设、运行和船舶航行及其它直接为海上交通运输服务的活动。港口的岸线利用、集输运体系等要与临港城市的城市总体规划做好衔接；港口基础设施及临港配套设施建设用围填海应优化工程平面设计，尽量降低其对海洋生态环境、水动力和地 形地貌的影响，集约高效利用岸线和海域空间。海岸基本功能区主要用 于近岸港口陆域、码头、港池等航运设施建设，重点保障铁山港区、北海港区、钦州港区、防城港区等的发展需要；近海基本功能区主要用于港外航道、锚地等航运用海。在已经开发利用的港区、锚地、航道以及规定的航路及其保护范围内，禁止开展与航运无关、有碍航行安全的活动；严禁</w:t>
            </w:r>
            <w:r>
              <w:rPr>
                <w:rFonts w:hint="eastAsia" w:ascii="宋体" w:hAnsi="宋体" w:eastAsia="宋体" w:cs="宋体"/>
                <w:color w:val="auto"/>
                <w:sz w:val="24"/>
                <w:szCs w:val="24"/>
                <w:highlight w:val="none"/>
                <w:lang w:eastAsia="zh-CN"/>
              </w:rPr>
              <w:t>其他</w:t>
            </w:r>
            <w:r>
              <w:rPr>
                <w:rFonts w:ascii="宋体" w:hAnsi="宋体" w:eastAsia="宋体" w:cs="宋体"/>
                <w:color w:val="auto"/>
                <w:sz w:val="24"/>
                <w:szCs w:val="24"/>
                <w:highlight w:val="none"/>
              </w:rPr>
              <w:t>海岸工程或海洋工程占用深水岸线资源；在未开发利用的港区内，无碍港口功能发挥的海洋开发活动尤其是渔业开发活动可暂时</w:t>
            </w:r>
            <w:r>
              <w:rPr>
                <w:rFonts w:hint="eastAsia" w:ascii="宋体" w:hAnsi="宋体" w:eastAsia="宋体" w:cs="宋体"/>
                <w:color w:val="auto"/>
                <w:sz w:val="24"/>
                <w:szCs w:val="24"/>
                <w:highlight w:val="none"/>
                <w:lang w:eastAsia="zh-CN"/>
              </w:rPr>
              <w:t>予以</w:t>
            </w:r>
            <w:r>
              <w:rPr>
                <w:rFonts w:ascii="宋体" w:hAnsi="宋体" w:eastAsia="宋体" w:cs="宋体"/>
                <w:color w:val="auto"/>
                <w:sz w:val="24"/>
                <w:szCs w:val="24"/>
                <w:highlight w:val="none"/>
              </w:rPr>
              <w:t>保留，但上述开发利用活动在港口开展建设时，应逐步予以撤出。港口航运区要加强污染防治管理，配备相应的污染物接收设施和防 污染设备、器材，制定完善的防污染管理制度。港口区执行不劣于四类的海水水质标准，航道区和锚地水域执行不劣于三类的海水水质标准。在邻近海洋生态敏感区新建的港口、航道和锚地执行不劣于现状海水水质标准。区内的海岛可用于港口基础设施建设，严格限制填海连岛。</w:t>
            </w:r>
          </w:p>
          <w:p w14:paraId="5AC8B3B4">
            <w:pPr>
              <w:spacing w:line="360" w:lineRule="auto"/>
              <w:ind w:firstLine="480" w:firstLineChars="200"/>
              <w:rPr>
                <w:rFonts w:hint="default" w:ascii="Times New Roman" w:hAnsi="Times New Roman" w:eastAsia="宋体" w:cs="Times New Roman"/>
                <w:color w:val="auto"/>
                <w:sz w:val="24"/>
                <w:highlight w:val="none"/>
                <w:shd w:val="clear" w:color="auto" w:fill="FFFFFF"/>
                <w:lang w:val="en-US" w:eastAsia="zh-CN"/>
              </w:rPr>
            </w:pPr>
            <w:r>
              <w:rPr>
                <w:rFonts w:hint="eastAsia" w:ascii="Times New Roman" w:hAnsi="Times New Roman" w:eastAsia="宋体" w:cs="Times New Roman"/>
                <w:color w:val="auto"/>
                <w:sz w:val="24"/>
                <w:highlight w:val="none"/>
                <w:shd w:val="clear" w:color="auto" w:fill="FFFFFF"/>
                <w:lang w:val="en-US" w:eastAsia="zh-CN"/>
              </w:rPr>
              <w:t>本项目为钦州港金谷港区金鼓江作业区19#泊位停泊及回旋水域清淤疏浚项目，项目建设将改善港池水深条件，有利于港口船舶航行，促进港口功能的发挥。项目施工过程中产生悬浮泥沙会使区域水质中的SS浓度暂时性升高，待施工结束后悬浮泥沙自然沉降，悬浮泥沙对区域水质的影响也随之消失，项目建设符合“</w:t>
            </w:r>
            <w:r>
              <w:rPr>
                <w:rFonts w:hint="eastAsia" w:ascii="Times New Roman" w:hAnsi="Times New Roman" w:eastAsia="宋体" w:cs="Times New Roman"/>
                <w:color w:val="auto"/>
                <w:sz w:val="24"/>
                <w:highlight w:val="none"/>
                <w:lang w:val="en-US" w:eastAsia="zh-CN"/>
              </w:rPr>
              <w:t>A2-9 鹰岭-果子山-金鼓江港口航运区</w:t>
            </w:r>
            <w:r>
              <w:rPr>
                <w:rFonts w:hint="eastAsia" w:ascii="Times New Roman" w:hAnsi="Times New Roman" w:eastAsia="宋体" w:cs="Times New Roman"/>
                <w:color w:val="auto"/>
                <w:sz w:val="24"/>
                <w:highlight w:val="none"/>
                <w:shd w:val="clear" w:color="auto" w:fill="FFFFFF"/>
                <w:lang w:val="en-US" w:eastAsia="zh-CN"/>
              </w:rPr>
              <w:t>”</w:t>
            </w:r>
            <w:r>
              <w:rPr>
                <w:rFonts w:hint="eastAsia" w:ascii="Times New Roman" w:hAnsi="Times New Roman" w:eastAsia="宋体" w:cs="Times New Roman"/>
                <w:color w:val="auto"/>
                <w:sz w:val="24"/>
                <w:highlight w:val="none"/>
                <w:lang w:val="en-US" w:eastAsia="zh-CN"/>
              </w:rPr>
              <w:t>相关管理要求。</w:t>
            </w:r>
          </w:p>
          <w:p w14:paraId="5ADBB637">
            <w:pPr>
              <w:numPr>
                <w:ilvl w:val="0"/>
                <w:numId w:val="10"/>
              </w:numPr>
              <w:spacing w:line="360" w:lineRule="auto"/>
              <w:ind w:firstLine="482" w:firstLineChars="200"/>
              <w:rPr>
                <w:rFonts w:hint="eastAsia" w:ascii="Times New Roman" w:hAnsi="Times New Roman" w:eastAsia="宋体" w:cs="Times New Roman"/>
                <w:b/>
                <w:bCs/>
                <w:color w:val="auto"/>
                <w:sz w:val="24"/>
                <w:highlight w:val="none"/>
                <w:shd w:val="clear" w:color="auto" w:fill="FFFFFF"/>
                <w:lang w:val="en-US" w:eastAsia="zh-CN"/>
              </w:rPr>
            </w:pPr>
            <w:r>
              <w:rPr>
                <w:rFonts w:hint="eastAsia" w:ascii="Times New Roman" w:hAnsi="Times New Roman" w:eastAsia="宋体" w:cs="Times New Roman"/>
                <w:b/>
                <w:bCs/>
                <w:color w:val="auto"/>
                <w:sz w:val="24"/>
                <w:highlight w:val="none"/>
                <w:shd w:val="clear" w:color="auto" w:fill="FFFFFF"/>
                <w:lang w:val="en-US" w:eastAsia="zh-CN"/>
              </w:rPr>
              <w:t>海洋环境功能区划</w:t>
            </w:r>
          </w:p>
          <w:p w14:paraId="350370B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val="en-US" w:eastAsia="zh-CN"/>
              </w:rPr>
              <w:t>《广西壮族自治区近岸海域环境功能区划调整方案》（桂环发〔2023〕9 号）</w:t>
            </w:r>
            <w:r>
              <w:rPr>
                <w:rFonts w:hint="eastAsia" w:ascii="Times New Roman" w:hAnsi="Times New Roman" w:eastAsia="宋体" w:cs="Times New Roman"/>
                <w:color w:val="auto"/>
                <w:sz w:val="24"/>
                <w:highlight w:val="none"/>
                <w:lang w:val="en-US" w:eastAsia="zh-CN"/>
              </w:rPr>
              <w:t>，本项目位于</w:t>
            </w:r>
            <w:r>
              <w:rPr>
                <w:rFonts w:ascii="宋体" w:hAnsi="宋体" w:eastAsia="宋体" w:cs="宋体"/>
                <w:color w:val="auto"/>
                <w:sz w:val="24"/>
                <w:szCs w:val="24"/>
                <w:highlight w:val="none"/>
              </w:rPr>
              <w:t>钦州港大榄坪港口、工业区</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GX055D IV</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，面积12平方公里，主导功能为港口、工业用海，属四类环境功能区，水质保护目标为海水水质标准第四类。周围设0.5公里水质过渡带，水质保护目标为海水水质标准第三类。</w:t>
            </w:r>
          </w:p>
          <w:p w14:paraId="12237E5F">
            <w:pPr>
              <w:numPr>
                <w:ilvl w:val="0"/>
                <w:numId w:val="10"/>
              </w:numPr>
              <w:spacing w:line="360" w:lineRule="auto"/>
              <w:ind w:firstLine="482" w:firstLineChars="200"/>
              <w:rPr>
                <w:rFonts w:hint="default" w:ascii="Times New Roman" w:hAnsi="Times New Roman" w:eastAsia="宋体" w:cs="Times New Roman"/>
                <w:b/>
                <w:bCs/>
                <w:color w:val="auto"/>
                <w:sz w:val="24"/>
                <w:highlight w:val="none"/>
                <w:shd w:val="clear" w:color="auto" w:fill="FFFFFF"/>
                <w:lang w:val="en-US" w:eastAsia="zh-CN"/>
              </w:rPr>
            </w:pPr>
            <w:r>
              <w:rPr>
                <w:rFonts w:hint="eastAsia" w:ascii="Times New Roman" w:hAnsi="Times New Roman" w:eastAsia="宋体" w:cs="Times New Roman"/>
                <w:b/>
                <w:bCs/>
                <w:color w:val="auto"/>
                <w:sz w:val="24"/>
                <w:highlight w:val="none"/>
                <w:shd w:val="clear" w:color="auto" w:fill="FFFFFF"/>
                <w:lang w:val="en-US" w:eastAsia="zh-CN"/>
              </w:rPr>
              <w:t>声环境功能区划</w:t>
            </w:r>
          </w:p>
          <w:p w14:paraId="1CA1F79B">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本项目位于</w:t>
            </w:r>
            <w:r>
              <w:rPr>
                <w:rFonts w:hint="eastAsia" w:ascii="Times New Roman" w:hAnsi="Times New Roman" w:eastAsia="宋体" w:cs="Times New Roman"/>
                <w:color w:val="auto"/>
                <w:sz w:val="24"/>
                <w:highlight w:val="none"/>
                <w:shd w:val="clear" w:color="auto" w:fill="FFFFFF"/>
                <w:lang w:val="en-US" w:eastAsia="zh-CN"/>
              </w:rPr>
              <w:t>钦州港金谷港区金鼓江作业区19#泊位东面停泊水域和回旋水域，</w:t>
            </w:r>
            <w:r>
              <w:rPr>
                <w:rFonts w:hint="eastAsia" w:ascii="Times New Roman" w:hAnsi="Times New Roman" w:eastAsia="宋体" w:cs="Times New Roman"/>
                <w:color w:val="auto"/>
                <w:sz w:val="24"/>
                <w:highlight w:val="none"/>
                <w:lang w:val="en-US" w:eastAsia="zh-CN"/>
              </w:rPr>
              <w:t>根据《钦州市中心城区声环境功能区划（2018—2035年）》，未对其进行声环境功能区划，项目属于</w:t>
            </w:r>
            <w:r>
              <w:rPr>
                <w:rFonts w:hint="eastAsia" w:ascii="Times New Roman" w:hAnsi="Times New Roman" w:eastAsia="宋体" w:cs="Times New Roman"/>
                <w:color w:val="auto"/>
                <w:sz w:val="24"/>
                <w:highlight w:val="none"/>
                <w:shd w:val="clear" w:color="auto" w:fill="FFFFFF"/>
                <w:lang w:val="en-US" w:eastAsia="zh-CN"/>
              </w:rPr>
              <w:t>19#泊位停泊水域和回旋水域，且位于码头和泊位之间，因此，工程区域参照后方陆域执行3类声环境功能区</w:t>
            </w:r>
            <w:r>
              <w:rPr>
                <w:rFonts w:hint="eastAsia" w:ascii="Times New Roman" w:hAnsi="Times New Roman" w:eastAsia="宋体" w:cs="Times New Roman"/>
                <w:color w:val="auto"/>
                <w:sz w:val="24"/>
                <w:highlight w:val="none"/>
                <w:lang w:val="en-US" w:eastAsia="zh-CN"/>
              </w:rPr>
              <w:t>。</w:t>
            </w:r>
          </w:p>
          <w:p w14:paraId="43CED7FB">
            <w:pPr>
              <w:numPr>
                <w:ilvl w:val="0"/>
                <w:numId w:val="10"/>
              </w:numPr>
              <w:spacing w:line="360" w:lineRule="auto"/>
              <w:ind w:firstLine="482" w:firstLineChars="200"/>
              <w:rPr>
                <w:rFonts w:hint="eastAsia"/>
                <w:b/>
                <w:bCs/>
                <w:color w:val="auto"/>
                <w:sz w:val="24"/>
                <w:highlight w:val="none"/>
                <w:shd w:val="clear" w:color="auto" w:fill="FFFFFF"/>
              </w:rPr>
            </w:pPr>
            <w:r>
              <w:rPr>
                <w:rFonts w:hint="eastAsia"/>
                <w:b/>
                <w:bCs/>
                <w:color w:val="auto"/>
                <w:sz w:val="24"/>
                <w:highlight w:val="none"/>
                <w:shd w:val="clear" w:color="auto" w:fill="FFFFFF"/>
                <w:lang w:eastAsia="zh-CN"/>
              </w:rPr>
              <w:t>环境空气功能区划</w:t>
            </w:r>
          </w:p>
          <w:p w14:paraId="21655E4A">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位于钦州港金谷港区金鼓江作业区19#泊位东面停泊水域和回旋水域，项目所在区域未进行环境空气功能区划，根据《环境空气质量标准》（GB3095-2012）及其修改单中环境空气功能区分类，项目所在区域不属于自然保护区、风景名胜区和其他需要特殊保护的区域，本项目属于其中的“工业区”环境空气质量功能区划分为二类环境空气功能区。</w:t>
            </w:r>
          </w:p>
          <w:p w14:paraId="0185A747">
            <w:pPr>
              <w:numPr>
                <w:ilvl w:val="0"/>
                <w:numId w:val="10"/>
              </w:numPr>
              <w:spacing w:line="360" w:lineRule="auto"/>
              <w:ind w:firstLine="482" w:firstLineChars="200"/>
              <w:rPr>
                <w:rFonts w:hint="eastAsia" w:ascii="Times New Roman" w:hAnsi="Times New Roman" w:eastAsia="宋体" w:cs="Times New Roman"/>
                <w:b/>
                <w:bCs/>
                <w:color w:val="auto"/>
                <w:sz w:val="24"/>
                <w:highlight w:val="none"/>
                <w:shd w:val="clear" w:color="auto" w:fill="FFFFFF"/>
                <w:lang w:val="en-US" w:eastAsia="zh-CN"/>
              </w:rPr>
            </w:pPr>
            <w:r>
              <w:rPr>
                <w:rFonts w:hint="eastAsia" w:ascii="Times New Roman" w:hAnsi="Times New Roman" w:eastAsia="宋体" w:cs="Times New Roman"/>
                <w:b/>
                <w:bCs/>
                <w:color w:val="auto"/>
                <w:sz w:val="24"/>
                <w:highlight w:val="none"/>
                <w:shd w:val="clear" w:color="auto" w:fill="FFFFFF"/>
                <w:lang w:val="en-US" w:eastAsia="zh-CN"/>
              </w:rPr>
              <w:t>生态功能区划</w:t>
            </w:r>
          </w:p>
          <w:p w14:paraId="69DB6CA9">
            <w:pPr>
              <w:spacing w:line="360" w:lineRule="auto"/>
              <w:ind w:firstLine="480" w:firstLineChars="200"/>
              <w:rPr>
                <w:rFonts w:hint="default"/>
                <w:color w:val="auto"/>
                <w:highlight w:val="none"/>
                <w:lang w:val="en-US" w:eastAsia="zh-CN"/>
              </w:rPr>
            </w:pPr>
            <w:r>
              <w:rPr>
                <w:rFonts w:hint="eastAsia" w:ascii="Times New Roman" w:hAnsi="Times New Roman" w:eastAsia="宋体" w:cs="Times New Roman"/>
                <w:color w:val="auto"/>
                <w:sz w:val="24"/>
                <w:highlight w:val="none"/>
                <w:lang w:val="en-US" w:eastAsia="zh-CN"/>
              </w:rPr>
              <w:t>本项目位于钦州港金谷港区金鼓江作业区19#泊位东面停泊水域和回旋水域，根据《钦州市生态功能区划》，项目所在位置属于Ⅲ-1 钦州中心城市功能区，不属于重点生态功能区。</w:t>
            </w:r>
          </w:p>
          <w:p w14:paraId="0BA0188B">
            <w:pPr>
              <w:spacing w:line="360" w:lineRule="auto"/>
              <w:ind w:left="-28"/>
              <w:jc w:val="left"/>
              <w:textAlignment w:val="baseline"/>
              <w:rPr>
                <w:rFonts w:hint="eastAsia"/>
                <w:color w:val="auto"/>
                <w:sz w:val="24"/>
                <w:highlight w:val="none"/>
                <w:shd w:val="clear" w:color="auto" w:fill="FFFFFF"/>
              </w:rPr>
            </w:pPr>
            <w:r>
              <w:rPr>
                <w:rFonts w:hint="eastAsia"/>
                <w:b/>
                <w:color w:val="auto"/>
                <w:sz w:val="28"/>
                <w:szCs w:val="28"/>
                <w:highlight w:val="none"/>
                <w:lang w:val="en-US" w:eastAsia="zh-CN"/>
              </w:rPr>
              <w:t>3.1.2</w:t>
            </w:r>
            <w:r>
              <w:rPr>
                <w:b/>
                <w:color w:val="auto"/>
                <w:sz w:val="28"/>
                <w:szCs w:val="28"/>
                <w:highlight w:val="none"/>
              </w:rPr>
              <w:t>环境空气质量现状</w:t>
            </w:r>
          </w:p>
          <w:p w14:paraId="74346AD3">
            <w:pPr>
              <w:spacing w:line="360" w:lineRule="auto"/>
              <w:ind w:right="-57" w:rightChars="-27" w:firstLine="480" w:firstLineChars="200"/>
              <w:jc w:val="left"/>
              <w:rPr>
                <w:color w:val="auto"/>
                <w:sz w:val="24"/>
                <w:highlight w:val="none"/>
                <w:shd w:val="clear" w:color="auto" w:fill="FFFFFF"/>
              </w:rPr>
            </w:pPr>
            <w:r>
              <w:rPr>
                <w:rFonts w:hint="eastAsia"/>
                <w:color w:val="auto"/>
                <w:sz w:val="24"/>
                <w:highlight w:val="none"/>
                <w:shd w:val="clear" w:color="auto" w:fill="FFFFFF"/>
              </w:rPr>
              <w:t>本项目</w:t>
            </w:r>
            <w:r>
              <w:rPr>
                <w:rFonts w:hint="eastAsia"/>
                <w:color w:val="auto"/>
                <w:sz w:val="24"/>
                <w:highlight w:val="none"/>
                <w:shd w:val="clear" w:color="auto" w:fill="FFFFFF"/>
                <w:lang w:eastAsia="zh-CN"/>
              </w:rPr>
              <w:t>所在区域为港口区域</w:t>
            </w:r>
            <w:r>
              <w:rPr>
                <w:rFonts w:hint="eastAsia"/>
                <w:color w:val="auto"/>
                <w:sz w:val="24"/>
                <w:highlight w:val="none"/>
                <w:shd w:val="clear" w:color="auto" w:fill="FFFFFF"/>
              </w:rPr>
              <w:t>，</w:t>
            </w:r>
            <w:r>
              <w:rPr>
                <w:rFonts w:hint="eastAsia"/>
                <w:color w:val="auto"/>
                <w:sz w:val="24"/>
                <w:highlight w:val="none"/>
                <w:shd w:val="clear" w:color="auto" w:fill="FFFFFF"/>
                <w:lang w:eastAsia="zh-CN"/>
              </w:rPr>
              <w:t>区域未划定环境空气功能区，</w:t>
            </w:r>
            <w:r>
              <w:rPr>
                <w:rFonts w:hint="eastAsia"/>
                <w:color w:val="auto"/>
                <w:sz w:val="24"/>
                <w:highlight w:val="none"/>
                <w:shd w:val="clear" w:color="auto" w:fill="FFFFFF"/>
              </w:rPr>
              <w:t>根据《环境空气质量标准》(GB3095-2012)进行划分，</w:t>
            </w:r>
            <w:r>
              <w:rPr>
                <w:color w:val="auto"/>
                <w:sz w:val="24"/>
                <w:highlight w:val="none"/>
                <w:shd w:val="clear" w:color="auto" w:fill="FFFFFF"/>
              </w:rPr>
              <w:t>项目所在区域环境空气属于二类功能区，环境空气执行《环境空气质量标准》（GB3095-2012）二级标准。</w:t>
            </w:r>
          </w:p>
          <w:p w14:paraId="01D80497">
            <w:pPr>
              <w:spacing w:line="360" w:lineRule="auto"/>
              <w:ind w:firstLine="482" w:firstLineChars="200"/>
              <w:rPr>
                <w:b/>
                <w:bCs/>
                <w:color w:val="auto"/>
                <w:sz w:val="24"/>
                <w:highlight w:val="none"/>
                <w:shd w:val="clear" w:color="auto" w:fill="FFFFFF"/>
              </w:rPr>
            </w:pPr>
            <w:r>
              <w:rPr>
                <w:b/>
                <w:bCs/>
                <w:color w:val="auto"/>
                <w:sz w:val="24"/>
                <w:highlight w:val="none"/>
                <w:shd w:val="clear" w:color="auto" w:fill="FFFFFF"/>
              </w:rPr>
              <w:t>1、项目所在区域达标判</w:t>
            </w:r>
            <w:r>
              <w:rPr>
                <w:rFonts w:hint="eastAsia"/>
                <w:b/>
                <w:bCs/>
                <w:color w:val="auto"/>
                <w:sz w:val="24"/>
                <w:highlight w:val="none"/>
                <w:shd w:val="clear" w:color="auto" w:fill="FFFFFF"/>
              </w:rPr>
              <w:t>定</w:t>
            </w:r>
          </w:p>
          <w:p w14:paraId="2EC485AC">
            <w:pPr>
              <w:spacing w:line="360" w:lineRule="auto"/>
              <w:ind w:right="-57" w:rightChars="-27" w:firstLine="480" w:firstLineChars="200"/>
              <w:jc w:val="left"/>
              <w:rPr>
                <w:rFonts w:hint="eastAsia"/>
                <w:color w:val="auto"/>
                <w:sz w:val="24"/>
                <w:highlight w:val="none"/>
                <w:shd w:val="clear" w:color="auto" w:fill="FFFFFF"/>
              </w:rPr>
            </w:pPr>
            <w:r>
              <w:rPr>
                <w:rFonts w:hint="default" w:ascii="Times New Roman" w:hAnsi="Times New Roman" w:eastAsia="宋体" w:cs="Times New Roman"/>
                <w:color w:val="auto"/>
                <w:sz w:val="24"/>
                <w:highlight w:val="none"/>
                <w:shd w:val="clear" w:color="auto" w:fill="FFFFFF"/>
                <w:lang w:val="en-US" w:eastAsia="zh-CN"/>
              </w:rPr>
              <w:t>根据广西壮族自治区生态环境厅《自治区生态环境厅关于通报</w:t>
            </w:r>
            <w:r>
              <w:rPr>
                <w:rFonts w:hint="eastAsia" w:ascii="Times New Roman" w:hAnsi="Times New Roman" w:eastAsia="宋体" w:cs="Times New Roman"/>
                <w:color w:val="auto"/>
                <w:sz w:val="24"/>
                <w:highlight w:val="none"/>
                <w:shd w:val="clear" w:color="auto" w:fill="FFFFFF"/>
                <w:lang w:val="en-US" w:eastAsia="zh-CN"/>
              </w:rPr>
              <w:t>2024</w:t>
            </w:r>
            <w:r>
              <w:rPr>
                <w:rFonts w:hint="default" w:ascii="Times New Roman" w:hAnsi="Times New Roman" w:eastAsia="宋体" w:cs="Times New Roman"/>
                <w:color w:val="auto"/>
                <w:sz w:val="24"/>
                <w:highlight w:val="none"/>
                <w:shd w:val="clear" w:color="auto" w:fill="FFFFFF"/>
                <w:lang w:val="en-US" w:eastAsia="zh-CN"/>
              </w:rPr>
              <w:t>年设区城市及各县（市、区）环境空气质量的函》（桂环函〔</w:t>
            </w:r>
            <w:r>
              <w:rPr>
                <w:rFonts w:hint="eastAsia" w:ascii="Times New Roman" w:hAnsi="Times New Roman" w:eastAsia="宋体" w:cs="Times New Roman"/>
                <w:color w:val="auto"/>
                <w:sz w:val="24"/>
                <w:highlight w:val="none"/>
                <w:shd w:val="clear" w:color="auto" w:fill="FFFFFF"/>
                <w:lang w:val="en-US" w:eastAsia="zh-CN"/>
              </w:rPr>
              <w:t>2025</w:t>
            </w:r>
            <w:r>
              <w:rPr>
                <w:rFonts w:hint="default" w:ascii="Times New Roman" w:hAnsi="Times New Roman" w:eastAsia="宋体" w:cs="Times New Roman"/>
                <w:color w:val="auto"/>
                <w:sz w:val="24"/>
                <w:highlight w:val="none"/>
                <w:shd w:val="clear" w:color="auto" w:fill="FFFFFF"/>
                <w:lang w:val="en-US" w:eastAsia="zh-CN"/>
              </w:rPr>
              <w:t>〕</w:t>
            </w:r>
            <w:r>
              <w:rPr>
                <w:rFonts w:hint="eastAsia" w:ascii="Times New Roman" w:hAnsi="Times New Roman" w:eastAsia="宋体" w:cs="Times New Roman"/>
                <w:color w:val="auto"/>
                <w:sz w:val="24"/>
                <w:highlight w:val="none"/>
                <w:shd w:val="clear" w:color="auto" w:fill="FFFFFF"/>
                <w:lang w:val="en-US" w:eastAsia="zh-CN"/>
              </w:rPr>
              <w:t>66</w:t>
            </w:r>
            <w:r>
              <w:rPr>
                <w:rFonts w:hint="default" w:ascii="Times New Roman" w:hAnsi="Times New Roman" w:eastAsia="宋体" w:cs="Times New Roman"/>
                <w:color w:val="auto"/>
                <w:sz w:val="24"/>
                <w:highlight w:val="none"/>
                <w:shd w:val="clear" w:color="auto" w:fill="FFFFFF"/>
                <w:lang w:val="en-US" w:eastAsia="zh-CN"/>
              </w:rPr>
              <w:t>号），项目所在区域钦州市SO</w:t>
            </w:r>
            <w:r>
              <w:rPr>
                <w:rFonts w:hint="default" w:ascii="Times New Roman" w:hAnsi="Times New Roman" w:eastAsia="宋体" w:cs="Times New Roman"/>
                <w:color w:val="auto"/>
                <w:sz w:val="24"/>
                <w:highlight w:val="none"/>
                <w:shd w:val="clear" w:color="auto" w:fill="FFFFFF"/>
                <w:vertAlign w:val="subscript"/>
                <w:lang w:val="en-US" w:eastAsia="zh-CN"/>
              </w:rPr>
              <w:t>2</w:t>
            </w:r>
            <w:r>
              <w:rPr>
                <w:rFonts w:hint="default" w:ascii="Times New Roman" w:hAnsi="Times New Roman" w:eastAsia="宋体" w:cs="Times New Roman"/>
                <w:color w:val="auto"/>
                <w:sz w:val="24"/>
                <w:highlight w:val="none"/>
                <w:shd w:val="clear" w:color="auto" w:fill="FFFFFF"/>
                <w:lang w:val="en-US" w:eastAsia="zh-CN"/>
              </w:rPr>
              <w:t>、NO</w:t>
            </w:r>
            <w:r>
              <w:rPr>
                <w:rFonts w:hint="default" w:ascii="Times New Roman" w:hAnsi="Times New Roman" w:eastAsia="宋体" w:cs="Times New Roman"/>
                <w:color w:val="auto"/>
                <w:sz w:val="24"/>
                <w:highlight w:val="none"/>
                <w:shd w:val="clear" w:color="auto" w:fill="FFFFFF"/>
                <w:vertAlign w:val="subscript"/>
                <w:lang w:val="en-US" w:eastAsia="zh-CN"/>
              </w:rPr>
              <w:t>2</w:t>
            </w:r>
            <w:r>
              <w:rPr>
                <w:rFonts w:hint="default" w:ascii="Times New Roman" w:hAnsi="Times New Roman" w:eastAsia="宋体" w:cs="Times New Roman"/>
                <w:color w:val="auto"/>
                <w:sz w:val="24"/>
                <w:highlight w:val="none"/>
                <w:shd w:val="clear" w:color="auto" w:fill="FFFFFF"/>
                <w:lang w:val="en-US" w:eastAsia="zh-CN"/>
              </w:rPr>
              <w:t>、PM</w:t>
            </w:r>
            <w:r>
              <w:rPr>
                <w:rFonts w:hint="default" w:ascii="Times New Roman" w:hAnsi="Times New Roman" w:eastAsia="宋体" w:cs="Times New Roman"/>
                <w:color w:val="auto"/>
                <w:sz w:val="24"/>
                <w:highlight w:val="none"/>
                <w:shd w:val="clear" w:color="auto" w:fill="FFFFFF"/>
                <w:vertAlign w:val="subscript"/>
                <w:lang w:val="en-US" w:eastAsia="zh-CN"/>
              </w:rPr>
              <w:t>10</w:t>
            </w:r>
            <w:r>
              <w:rPr>
                <w:rFonts w:hint="default" w:ascii="Times New Roman" w:hAnsi="Times New Roman" w:eastAsia="宋体" w:cs="Times New Roman"/>
                <w:color w:val="auto"/>
                <w:sz w:val="24"/>
                <w:highlight w:val="none"/>
                <w:shd w:val="clear" w:color="auto" w:fill="FFFFFF"/>
                <w:lang w:val="en-US" w:eastAsia="zh-CN"/>
              </w:rPr>
              <w:t>、PM</w:t>
            </w:r>
            <w:r>
              <w:rPr>
                <w:rFonts w:hint="default" w:ascii="Times New Roman" w:hAnsi="Times New Roman" w:eastAsia="宋体" w:cs="Times New Roman"/>
                <w:color w:val="auto"/>
                <w:sz w:val="24"/>
                <w:highlight w:val="none"/>
                <w:shd w:val="clear" w:color="auto" w:fill="FFFFFF"/>
                <w:vertAlign w:val="subscript"/>
                <w:lang w:val="en-US" w:eastAsia="zh-CN"/>
              </w:rPr>
              <w:t>2.5</w:t>
            </w:r>
            <w:r>
              <w:rPr>
                <w:rFonts w:hint="default" w:ascii="Times New Roman" w:hAnsi="Times New Roman" w:eastAsia="宋体" w:cs="Times New Roman"/>
                <w:color w:val="auto"/>
                <w:sz w:val="24"/>
                <w:highlight w:val="none"/>
                <w:shd w:val="clear" w:color="auto" w:fill="FFFFFF"/>
                <w:lang w:val="en-US" w:eastAsia="zh-CN"/>
              </w:rPr>
              <w:t>、CO、O</w:t>
            </w:r>
            <w:r>
              <w:rPr>
                <w:rFonts w:hint="default" w:ascii="Times New Roman" w:hAnsi="Times New Roman" w:eastAsia="宋体" w:cs="Times New Roman"/>
                <w:color w:val="auto"/>
                <w:sz w:val="24"/>
                <w:highlight w:val="none"/>
                <w:shd w:val="clear" w:color="auto" w:fill="FFFFFF"/>
                <w:vertAlign w:val="subscript"/>
                <w:lang w:val="en-US" w:eastAsia="zh-CN"/>
              </w:rPr>
              <w:t>3</w:t>
            </w:r>
            <w:r>
              <w:rPr>
                <w:rFonts w:hint="default" w:ascii="Times New Roman" w:hAnsi="Times New Roman" w:eastAsia="宋体" w:cs="Times New Roman"/>
                <w:color w:val="auto"/>
                <w:sz w:val="24"/>
                <w:highlight w:val="none"/>
                <w:shd w:val="clear" w:color="auto" w:fill="FFFFFF"/>
                <w:lang w:val="en-US" w:eastAsia="zh-CN"/>
              </w:rPr>
              <w:t>环境质量现状均满足《环境空气质量标准》（GB3095-2012）中的二级标准，项目区域环境空气质量为达标区</w:t>
            </w:r>
            <w:r>
              <w:rPr>
                <w:rFonts w:hint="eastAsia"/>
                <w:color w:val="auto"/>
                <w:sz w:val="24"/>
                <w:highlight w:val="none"/>
                <w:shd w:val="clear" w:color="auto" w:fill="FFFFFF"/>
              </w:rPr>
              <w:t>，区域空气质量见下表。</w:t>
            </w:r>
          </w:p>
          <w:p w14:paraId="068B1F5C">
            <w:pPr>
              <w:widowControl/>
              <w:jc w:val="center"/>
              <w:rPr>
                <w:b/>
                <w:color w:val="auto"/>
                <w:szCs w:val="21"/>
                <w:highlight w:val="none"/>
                <w:lang w:bidi="ar"/>
              </w:rPr>
            </w:pPr>
            <w:r>
              <w:rPr>
                <w:b/>
                <w:color w:val="auto"/>
                <w:szCs w:val="21"/>
                <w:highlight w:val="none"/>
                <w:lang w:bidi="ar"/>
              </w:rPr>
              <w:t>表</w:t>
            </w:r>
            <w:r>
              <w:rPr>
                <w:rFonts w:hint="eastAsia"/>
                <w:b/>
                <w:color w:val="auto"/>
                <w:szCs w:val="21"/>
                <w:highlight w:val="none"/>
                <w:lang w:val="en-US" w:eastAsia="zh-CN" w:bidi="ar"/>
              </w:rPr>
              <w:t>3.1-1</w:t>
            </w:r>
            <w:r>
              <w:rPr>
                <w:b/>
                <w:color w:val="auto"/>
                <w:szCs w:val="21"/>
                <w:highlight w:val="none"/>
                <w:lang w:bidi="ar"/>
              </w:rPr>
              <w:t xml:space="preserve"> 区域空气质量现状评价表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5"/>
              <w:gridCol w:w="2601"/>
              <w:gridCol w:w="1365"/>
              <w:gridCol w:w="958"/>
              <w:gridCol w:w="937"/>
              <w:gridCol w:w="1168"/>
            </w:tblGrid>
            <w:tr w14:paraId="04AD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35" w:type="dxa"/>
                  <w:noWrap w:val="0"/>
                  <w:vAlign w:val="center"/>
                </w:tcPr>
                <w:p w14:paraId="4323A55E">
                  <w:pPr>
                    <w:snapToGrid w:val="0"/>
                    <w:jc w:val="center"/>
                    <w:rPr>
                      <w:color w:val="auto"/>
                      <w:szCs w:val="21"/>
                      <w:highlight w:val="none"/>
                    </w:rPr>
                  </w:pPr>
                  <w:r>
                    <w:rPr>
                      <w:color w:val="auto"/>
                      <w:szCs w:val="21"/>
                      <w:highlight w:val="none"/>
                    </w:rPr>
                    <w:t>污染物</w:t>
                  </w:r>
                </w:p>
              </w:tc>
              <w:tc>
                <w:tcPr>
                  <w:tcW w:w="2601" w:type="dxa"/>
                  <w:noWrap w:val="0"/>
                  <w:vAlign w:val="center"/>
                </w:tcPr>
                <w:p w14:paraId="2A0CC022">
                  <w:pPr>
                    <w:snapToGrid w:val="0"/>
                    <w:jc w:val="center"/>
                    <w:rPr>
                      <w:color w:val="auto"/>
                      <w:szCs w:val="21"/>
                      <w:highlight w:val="none"/>
                    </w:rPr>
                  </w:pPr>
                  <w:r>
                    <w:rPr>
                      <w:color w:val="auto"/>
                      <w:szCs w:val="21"/>
                      <w:highlight w:val="none"/>
                    </w:rPr>
                    <w:t>年评价指标</w:t>
                  </w:r>
                </w:p>
              </w:tc>
              <w:tc>
                <w:tcPr>
                  <w:tcW w:w="1365" w:type="dxa"/>
                  <w:noWrap w:val="0"/>
                  <w:vAlign w:val="center"/>
                </w:tcPr>
                <w:p w14:paraId="26DB1EBD">
                  <w:pPr>
                    <w:snapToGrid w:val="0"/>
                    <w:jc w:val="center"/>
                    <w:rPr>
                      <w:color w:val="auto"/>
                      <w:szCs w:val="21"/>
                      <w:highlight w:val="none"/>
                    </w:rPr>
                  </w:pPr>
                  <w:r>
                    <w:rPr>
                      <w:color w:val="auto"/>
                      <w:szCs w:val="21"/>
                      <w:highlight w:val="none"/>
                    </w:rPr>
                    <w:t>现状浓度</w:t>
                  </w:r>
                </w:p>
                <w:p w14:paraId="0BE5E605">
                  <w:pPr>
                    <w:snapToGrid w:val="0"/>
                    <w:jc w:val="center"/>
                    <w:rPr>
                      <w:color w:val="auto"/>
                      <w:szCs w:val="21"/>
                      <w:highlight w:val="none"/>
                    </w:rPr>
                  </w:pPr>
                  <w:r>
                    <w:rPr>
                      <w:color w:val="auto"/>
                      <w:szCs w:val="21"/>
                      <w:highlight w:val="none"/>
                    </w:rPr>
                    <w:t>(μg/m</w:t>
                  </w:r>
                  <w:r>
                    <w:rPr>
                      <w:color w:val="auto"/>
                      <w:szCs w:val="21"/>
                      <w:highlight w:val="none"/>
                      <w:vertAlign w:val="superscript"/>
                    </w:rPr>
                    <w:t>3</w:t>
                  </w:r>
                  <w:r>
                    <w:rPr>
                      <w:color w:val="auto"/>
                      <w:szCs w:val="21"/>
                      <w:highlight w:val="none"/>
                    </w:rPr>
                    <w:t>)</w:t>
                  </w:r>
                </w:p>
              </w:tc>
              <w:tc>
                <w:tcPr>
                  <w:tcW w:w="958" w:type="dxa"/>
                  <w:noWrap w:val="0"/>
                  <w:vAlign w:val="center"/>
                </w:tcPr>
                <w:p w14:paraId="20353D26">
                  <w:pPr>
                    <w:snapToGrid w:val="0"/>
                    <w:jc w:val="center"/>
                    <w:rPr>
                      <w:color w:val="auto"/>
                      <w:szCs w:val="21"/>
                      <w:highlight w:val="none"/>
                    </w:rPr>
                  </w:pPr>
                  <w:r>
                    <w:rPr>
                      <w:color w:val="auto"/>
                      <w:szCs w:val="21"/>
                      <w:highlight w:val="none"/>
                    </w:rPr>
                    <w:t>标准值</w:t>
                  </w:r>
                </w:p>
                <w:p w14:paraId="7FCF6DD4">
                  <w:pPr>
                    <w:snapToGrid w:val="0"/>
                    <w:jc w:val="center"/>
                    <w:rPr>
                      <w:color w:val="auto"/>
                      <w:szCs w:val="21"/>
                      <w:highlight w:val="none"/>
                    </w:rPr>
                  </w:pPr>
                  <w:r>
                    <w:rPr>
                      <w:color w:val="auto"/>
                      <w:szCs w:val="21"/>
                      <w:highlight w:val="none"/>
                    </w:rPr>
                    <w:t>(μg/m</w:t>
                  </w:r>
                  <w:r>
                    <w:rPr>
                      <w:color w:val="auto"/>
                      <w:szCs w:val="21"/>
                      <w:highlight w:val="none"/>
                      <w:vertAlign w:val="superscript"/>
                    </w:rPr>
                    <w:t>3</w:t>
                  </w:r>
                  <w:r>
                    <w:rPr>
                      <w:color w:val="auto"/>
                      <w:szCs w:val="21"/>
                      <w:highlight w:val="none"/>
                    </w:rPr>
                    <w:t>)</w:t>
                  </w:r>
                </w:p>
              </w:tc>
              <w:tc>
                <w:tcPr>
                  <w:tcW w:w="937" w:type="dxa"/>
                  <w:noWrap w:val="0"/>
                  <w:vAlign w:val="center"/>
                </w:tcPr>
                <w:p w14:paraId="4C0D91FA">
                  <w:pPr>
                    <w:snapToGrid w:val="0"/>
                    <w:jc w:val="center"/>
                    <w:rPr>
                      <w:color w:val="auto"/>
                      <w:szCs w:val="21"/>
                      <w:highlight w:val="none"/>
                    </w:rPr>
                  </w:pPr>
                  <w:r>
                    <w:rPr>
                      <w:color w:val="auto"/>
                      <w:szCs w:val="21"/>
                      <w:highlight w:val="none"/>
                    </w:rPr>
                    <w:t>占标率</w:t>
                  </w:r>
                </w:p>
                <w:p w14:paraId="0DF5AD74">
                  <w:pPr>
                    <w:snapToGrid w:val="0"/>
                    <w:jc w:val="center"/>
                    <w:rPr>
                      <w:color w:val="auto"/>
                      <w:szCs w:val="21"/>
                      <w:highlight w:val="none"/>
                    </w:rPr>
                  </w:pPr>
                  <w:r>
                    <w:rPr>
                      <w:color w:val="auto"/>
                      <w:szCs w:val="21"/>
                      <w:highlight w:val="none"/>
                    </w:rPr>
                    <w:t>（%）</w:t>
                  </w:r>
                </w:p>
              </w:tc>
              <w:tc>
                <w:tcPr>
                  <w:tcW w:w="1168" w:type="dxa"/>
                  <w:noWrap w:val="0"/>
                  <w:vAlign w:val="center"/>
                </w:tcPr>
                <w:p w14:paraId="5E2D0EB9">
                  <w:pPr>
                    <w:snapToGrid w:val="0"/>
                    <w:jc w:val="center"/>
                    <w:rPr>
                      <w:color w:val="auto"/>
                      <w:szCs w:val="21"/>
                      <w:highlight w:val="none"/>
                    </w:rPr>
                  </w:pPr>
                  <w:r>
                    <w:rPr>
                      <w:color w:val="auto"/>
                      <w:szCs w:val="21"/>
                      <w:highlight w:val="none"/>
                    </w:rPr>
                    <w:t>达标情况</w:t>
                  </w:r>
                </w:p>
              </w:tc>
            </w:tr>
            <w:tr w14:paraId="357B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5" w:type="dxa"/>
                  <w:noWrap w:val="0"/>
                  <w:vAlign w:val="center"/>
                </w:tcPr>
                <w:p w14:paraId="161305CA">
                  <w:pPr>
                    <w:snapToGrid w:val="0"/>
                    <w:jc w:val="center"/>
                    <w:rPr>
                      <w:color w:val="auto"/>
                      <w:szCs w:val="21"/>
                      <w:highlight w:val="none"/>
                      <w:u w:val="none"/>
                    </w:rPr>
                  </w:pPr>
                  <w:r>
                    <w:rPr>
                      <w:color w:val="auto"/>
                      <w:szCs w:val="21"/>
                      <w:highlight w:val="none"/>
                      <w:u w:val="none"/>
                    </w:rPr>
                    <w:t>SO</w:t>
                  </w:r>
                  <w:r>
                    <w:rPr>
                      <w:color w:val="auto"/>
                      <w:szCs w:val="21"/>
                      <w:highlight w:val="none"/>
                      <w:u w:val="none"/>
                      <w:vertAlign w:val="subscript"/>
                    </w:rPr>
                    <w:t>2</w:t>
                  </w:r>
                </w:p>
              </w:tc>
              <w:tc>
                <w:tcPr>
                  <w:tcW w:w="2601" w:type="dxa"/>
                  <w:noWrap w:val="0"/>
                  <w:vAlign w:val="center"/>
                </w:tcPr>
                <w:p w14:paraId="2C510272">
                  <w:pPr>
                    <w:snapToGrid w:val="0"/>
                    <w:jc w:val="center"/>
                    <w:rPr>
                      <w:color w:val="auto"/>
                      <w:szCs w:val="21"/>
                      <w:highlight w:val="none"/>
                      <w:u w:val="none"/>
                    </w:rPr>
                  </w:pPr>
                  <w:r>
                    <w:rPr>
                      <w:color w:val="auto"/>
                      <w:szCs w:val="21"/>
                      <w:highlight w:val="none"/>
                      <w:u w:val="none"/>
                    </w:rPr>
                    <w:t>年平均质量浓度</w:t>
                  </w:r>
                </w:p>
              </w:tc>
              <w:tc>
                <w:tcPr>
                  <w:tcW w:w="1365" w:type="dxa"/>
                  <w:noWrap w:val="0"/>
                  <w:vAlign w:val="center"/>
                </w:tcPr>
                <w:p w14:paraId="002127F5">
                  <w:pPr>
                    <w:snapToGrid w:val="0"/>
                    <w:jc w:val="center"/>
                    <w:rPr>
                      <w:rFonts w:hint="eastAsia" w:eastAsia="宋体"/>
                      <w:color w:val="auto"/>
                      <w:szCs w:val="21"/>
                      <w:highlight w:val="none"/>
                      <w:u w:val="none"/>
                      <w:lang w:eastAsia="zh-CN"/>
                    </w:rPr>
                  </w:pPr>
                  <w:r>
                    <w:rPr>
                      <w:rFonts w:hint="eastAsia"/>
                      <w:color w:val="auto"/>
                      <w:szCs w:val="21"/>
                      <w:highlight w:val="none"/>
                      <w:u w:val="none"/>
                      <w:lang w:val="en-US" w:eastAsia="zh-CN"/>
                    </w:rPr>
                    <w:t>8</w:t>
                  </w:r>
                </w:p>
              </w:tc>
              <w:tc>
                <w:tcPr>
                  <w:tcW w:w="958" w:type="dxa"/>
                  <w:noWrap w:val="0"/>
                  <w:vAlign w:val="center"/>
                </w:tcPr>
                <w:p w14:paraId="73350D9C">
                  <w:pPr>
                    <w:snapToGrid w:val="0"/>
                    <w:jc w:val="center"/>
                    <w:rPr>
                      <w:color w:val="auto"/>
                      <w:szCs w:val="21"/>
                      <w:highlight w:val="none"/>
                      <w:u w:val="none"/>
                    </w:rPr>
                  </w:pPr>
                  <w:r>
                    <w:rPr>
                      <w:color w:val="auto"/>
                      <w:szCs w:val="21"/>
                      <w:highlight w:val="none"/>
                      <w:u w:val="none"/>
                    </w:rPr>
                    <w:t>60</w:t>
                  </w:r>
                </w:p>
              </w:tc>
              <w:tc>
                <w:tcPr>
                  <w:tcW w:w="937" w:type="dxa"/>
                  <w:noWrap w:val="0"/>
                  <w:vAlign w:val="center"/>
                </w:tcPr>
                <w:p w14:paraId="525D3143">
                  <w:pPr>
                    <w:widowControl/>
                    <w:jc w:val="center"/>
                    <w:textAlignment w:val="center"/>
                    <w:rPr>
                      <w:color w:val="auto"/>
                      <w:highlight w:val="none"/>
                      <w:u w:val="none"/>
                    </w:rPr>
                  </w:pPr>
                  <w:r>
                    <w:rPr>
                      <w:rFonts w:hint="default" w:ascii="Times New Roman" w:hAnsi="Times New Roman" w:cs="Times New Roman"/>
                      <w:color w:val="auto"/>
                      <w:sz w:val="21"/>
                      <w:szCs w:val="21"/>
                      <w:highlight w:val="none"/>
                      <w:u w:val="none"/>
                    </w:rPr>
                    <w:t>13.33</w:t>
                  </w:r>
                </w:p>
              </w:tc>
              <w:tc>
                <w:tcPr>
                  <w:tcW w:w="1168" w:type="dxa"/>
                  <w:noWrap w:val="0"/>
                  <w:vAlign w:val="center"/>
                </w:tcPr>
                <w:p w14:paraId="0B051D22">
                  <w:pPr>
                    <w:snapToGrid w:val="0"/>
                    <w:jc w:val="center"/>
                    <w:rPr>
                      <w:color w:val="auto"/>
                      <w:szCs w:val="21"/>
                      <w:highlight w:val="none"/>
                      <w:u w:val="none"/>
                    </w:rPr>
                  </w:pPr>
                  <w:r>
                    <w:rPr>
                      <w:color w:val="auto"/>
                      <w:szCs w:val="21"/>
                      <w:highlight w:val="none"/>
                      <w:u w:val="none"/>
                    </w:rPr>
                    <w:t>达标</w:t>
                  </w:r>
                </w:p>
              </w:tc>
            </w:tr>
            <w:tr w14:paraId="24C3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5" w:type="dxa"/>
                  <w:noWrap w:val="0"/>
                  <w:vAlign w:val="center"/>
                </w:tcPr>
                <w:p w14:paraId="06B3D63C">
                  <w:pPr>
                    <w:snapToGrid w:val="0"/>
                    <w:jc w:val="center"/>
                    <w:rPr>
                      <w:color w:val="auto"/>
                      <w:szCs w:val="21"/>
                      <w:highlight w:val="none"/>
                      <w:u w:val="none"/>
                    </w:rPr>
                  </w:pPr>
                  <w:r>
                    <w:rPr>
                      <w:color w:val="auto"/>
                      <w:szCs w:val="21"/>
                      <w:highlight w:val="none"/>
                      <w:u w:val="none"/>
                    </w:rPr>
                    <w:t>NO</w:t>
                  </w:r>
                  <w:r>
                    <w:rPr>
                      <w:color w:val="auto"/>
                      <w:szCs w:val="21"/>
                      <w:highlight w:val="none"/>
                      <w:u w:val="none"/>
                      <w:vertAlign w:val="subscript"/>
                    </w:rPr>
                    <w:t>2</w:t>
                  </w:r>
                </w:p>
              </w:tc>
              <w:tc>
                <w:tcPr>
                  <w:tcW w:w="2601" w:type="dxa"/>
                  <w:noWrap w:val="0"/>
                  <w:vAlign w:val="center"/>
                </w:tcPr>
                <w:p w14:paraId="58EF43FA">
                  <w:pPr>
                    <w:snapToGrid w:val="0"/>
                    <w:jc w:val="center"/>
                    <w:rPr>
                      <w:color w:val="auto"/>
                      <w:szCs w:val="21"/>
                      <w:highlight w:val="none"/>
                      <w:u w:val="none"/>
                    </w:rPr>
                  </w:pPr>
                  <w:r>
                    <w:rPr>
                      <w:color w:val="auto"/>
                      <w:szCs w:val="21"/>
                      <w:highlight w:val="none"/>
                      <w:u w:val="none"/>
                    </w:rPr>
                    <w:t>年平均质量浓度</w:t>
                  </w:r>
                </w:p>
              </w:tc>
              <w:tc>
                <w:tcPr>
                  <w:tcW w:w="1365" w:type="dxa"/>
                  <w:noWrap w:val="0"/>
                  <w:vAlign w:val="center"/>
                </w:tcPr>
                <w:p w14:paraId="5A069C44">
                  <w:pPr>
                    <w:snapToGrid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19</w:t>
                  </w:r>
                </w:p>
              </w:tc>
              <w:tc>
                <w:tcPr>
                  <w:tcW w:w="958" w:type="dxa"/>
                  <w:noWrap w:val="0"/>
                  <w:vAlign w:val="center"/>
                </w:tcPr>
                <w:p w14:paraId="6D2BD9FF">
                  <w:pPr>
                    <w:snapToGrid w:val="0"/>
                    <w:jc w:val="center"/>
                    <w:rPr>
                      <w:color w:val="auto"/>
                      <w:szCs w:val="21"/>
                      <w:highlight w:val="none"/>
                      <w:u w:val="none"/>
                    </w:rPr>
                  </w:pPr>
                  <w:r>
                    <w:rPr>
                      <w:color w:val="auto"/>
                      <w:szCs w:val="21"/>
                      <w:highlight w:val="none"/>
                      <w:u w:val="none"/>
                    </w:rPr>
                    <w:t>40</w:t>
                  </w:r>
                </w:p>
              </w:tc>
              <w:tc>
                <w:tcPr>
                  <w:tcW w:w="937" w:type="dxa"/>
                  <w:noWrap w:val="0"/>
                  <w:vAlign w:val="center"/>
                </w:tcPr>
                <w:p w14:paraId="62A29839">
                  <w:pPr>
                    <w:widowControl/>
                    <w:jc w:val="center"/>
                    <w:textAlignment w:val="center"/>
                    <w:rPr>
                      <w:color w:val="auto"/>
                      <w:highlight w:val="none"/>
                      <w:u w:val="none"/>
                    </w:rPr>
                  </w:pPr>
                  <w:r>
                    <w:rPr>
                      <w:rFonts w:hint="default" w:ascii="Times New Roman" w:hAnsi="Times New Roman" w:cs="Times New Roman"/>
                      <w:color w:val="auto"/>
                      <w:sz w:val="21"/>
                      <w:szCs w:val="21"/>
                      <w:highlight w:val="none"/>
                      <w:u w:val="none"/>
                    </w:rPr>
                    <w:t>47.50</w:t>
                  </w:r>
                </w:p>
              </w:tc>
              <w:tc>
                <w:tcPr>
                  <w:tcW w:w="1168" w:type="dxa"/>
                  <w:noWrap w:val="0"/>
                  <w:vAlign w:val="center"/>
                </w:tcPr>
                <w:p w14:paraId="41831A46">
                  <w:pPr>
                    <w:snapToGrid w:val="0"/>
                    <w:jc w:val="center"/>
                    <w:rPr>
                      <w:color w:val="auto"/>
                      <w:szCs w:val="21"/>
                      <w:highlight w:val="none"/>
                      <w:u w:val="none"/>
                    </w:rPr>
                  </w:pPr>
                  <w:r>
                    <w:rPr>
                      <w:color w:val="auto"/>
                      <w:szCs w:val="21"/>
                      <w:highlight w:val="none"/>
                      <w:u w:val="none"/>
                    </w:rPr>
                    <w:t>达标</w:t>
                  </w:r>
                </w:p>
              </w:tc>
            </w:tr>
            <w:tr w14:paraId="5189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5" w:type="dxa"/>
                  <w:noWrap w:val="0"/>
                  <w:vAlign w:val="center"/>
                </w:tcPr>
                <w:p w14:paraId="0B7960A4">
                  <w:pPr>
                    <w:snapToGrid w:val="0"/>
                    <w:jc w:val="center"/>
                    <w:rPr>
                      <w:color w:val="auto"/>
                      <w:szCs w:val="21"/>
                      <w:highlight w:val="none"/>
                      <w:u w:val="none"/>
                    </w:rPr>
                  </w:pPr>
                  <w:r>
                    <w:rPr>
                      <w:color w:val="auto"/>
                      <w:szCs w:val="21"/>
                      <w:highlight w:val="none"/>
                      <w:u w:val="none"/>
                    </w:rPr>
                    <w:t>CO</w:t>
                  </w:r>
                </w:p>
              </w:tc>
              <w:tc>
                <w:tcPr>
                  <w:tcW w:w="2601" w:type="dxa"/>
                  <w:noWrap w:val="0"/>
                  <w:vAlign w:val="center"/>
                </w:tcPr>
                <w:p w14:paraId="7672C24E">
                  <w:pPr>
                    <w:snapToGrid w:val="0"/>
                    <w:jc w:val="center"/>
                    <w:rPr>
                      <w:color w:val="auto"/>
                      <w:szCs w:val="21"/>
                      <w:highlight w:val="none"/>
                      <w:u w:val="none"/>
                    </w:rPr>
                  </w:pPr>
                  <w:r>
                    <w:rPr>
                      <w:color w:val="auto"/>
                      <w:szCs w:val="21"/>
                      <w:highlight w:val="none"/>
                      <w:u w:val="none"/>
                    </w:rPr>
                    <w:t>24</w:t>
                  </w:r>
                  <w:r>
                    <w:rPr>
                      <w:rFonts w:hint="eastAsia"/>
                      <w:color w:val="auto"/>
                      <w:szCs w:val="21"/>
                      <w:highlight w:val="none"/>
                      <w:u w:val="none"/>
                    </w:rPr>
                    <w:t>小时平均</w:t>
                  </w:r>
                </w:p>
              </w:tc>
              <w:tc>
                <w:tcPr>
                  <w:tcW w:w="1365" w:type="dxa"/>
                  <w:noWrap w:val="0"/>
                  <w:vAlign w:val="center"/>
                </w:tcPr>
                <w:p w14:paraId="5BCF827E">
                  <w:pPr>
                    <w:snapToGrid w:val="0"/>
                    <w:jc w:val="center"/>
                    <w:rPr>
                      <w:color w:val="auto"/>
                      <w:szCs w:val="21"/>
                      <w:highlight w:val="none"/>
                      <w:u w:val="none"/>
                    </w:rPr>
                  </w:pPr>
                  <w:r>
                    <w:rPr>
                      <w:rFonts w:hint="eastAsia"/>
                      <w:color w:val="auto"/>
                      <w:szCs w:val="21"/>
                      <w:highlight w:val="none"/>
                      <w:u w:val="none"/>
                    </w:rPr>
                    <w:t>1100</w:t>
                  </w:r>
                </w:p>
              </w:tc>
              <w:tc>
                <w:tcPr>
                  <w:tcW w:w="958" w:type="dxa"/>
                  <w:noWrap w:val="0"/>
                  <w:vAlign w:val="center"/>
                </w:tcPr>
                <w:p w14:paraId="352A1DB3">
                  <w:pPr>
                    <w:snapToGrid w:val="0"/>
                    <w:jc w:val="center"/>
                    <w:rPr>
                      <w:color w:val="auto"/>
                      <w:szCs w:val="21"/>
                      <w:highlight w:val="none"/>
                      <w:u w:val="none"/>
                    </w:rPr>
                  </w:pPr>
                  <w:r>
                    <w:rPr>
                      <w:color w:val="auto"/>
                      <w:szCs w:val="21"/>
                      <w:highlight w:val="none"/>
                      <w:u w:val="none"/>
                    </w:rPr>
                    <w:t>4000</w:t>
                  </w:r>
                </w:p>
              </w:tc>
              <w:tc>
                <w:tcPr>
                  <w:tcW w:w="937" w:type="dxa"/>
                  <w:noWrap w:val="0"/>
                  <w:vAlign w:val="center"/>
                </w:tcPr>
                <w:p w14:paraId="1FE6551A">
                  <w:pPr>
                    <w:widowControl/>
                    <w:jc w:val="center"/>
                    <w:textAlignment w:val="center"/>
                    <w:rPr>
                      <w:color w:val="auto"/>
                      <w:highlight w:val="none"/>
                      <w:u w:val="none"/>
                    </w:rPr>
                  </w:pPr>
                  <w:r>
                    <w:rPr>
                      <w:rFonts w:hint="eastAsia" w:ascii="Times New Roman" w:cs="Times New Roman"/>
                      <w:color w:val="auto"/>
                      <w:sz w:val="21"/>
                      <w:szCs w:val="21"/>
                      <w:highlight w:val="none"/>
                      <w:u w:val="none"/>
                      <w:lang w:val="en-US" w:eastAsia="zh-CN"/>
                    </w:rPr>
                    <w:t>70.28</w:t>
                  </w:r>
                </w:p>
              </w:tc>
              <w:tc>
                <w:tcPr>
                  <w:tcW w:w="1168" w:type="dxa"/>
                  <w:noWrap w:val="0"/>
                  <w:vAlign w:val="center"/>
                </w:tcPr>
                <w:p w14:paraId="34B59D6E">
                  <w:pPr>
                    <w:snapToGrid w:val="0"/>
                    <w:jc w:val="center"/>
                    <w:rPr>
                      <w:color w:val="auto"/>
                      <w:szCs w:val="21"/>
                      <w:highlight w:val="none"/>
                      <w:u w:val="none"/>
                    </w:rPr>
                  </w:pPr>
                  <w:r>
                    <w:rPr>
                      <w:color w:val="auto"/>
                      <w:szCs w:val="21"/>
                      <w:highlight w:val="none"/>
                      <w:u w:val="none"/>
                    </w:rPr>
                    <w:t>达标</w:t>
                  </w:r>
                </w:p>
              </w:tc>
            </w:tr>
            <w:tr w14:paraId="065B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5" w:type="dxa"/>
                  <w:noWrap w:val="0"/>
                  <w:vAlign w:val="center"/>
                </w:tcPr>
                <w:p w14:paraId="6DFC0325">
                  <w:pPr>
                    <w:snapToGrid w:val="0"/>
                    <w:jc w:val="center"/>
                    <w:rPr>
                      <w:color w:val="auto"/>
                      <w:szCs w:val="21"/>
                      <w:highlight w:val="none"/>
                      <w:u w:val="none"/>
                    </w:rPr>
                  </w:pPr>
                  <w:r>
                    <w:rPr>
                      <w:color w:val="auto"/>
                      <w:szCs w:val="21"/>
                      <w:highlight w:val="none"/>
                      <w:u w:val="none"/>
                    </w:rPr>
                    <w:t>O</w:t>
                  </w:r>
                  <w:r>
                    <w:rPr>
                      <w:color w:val="auto"/>
                      <w:szCs w:val="21"/>
                      <w:highlight w:val="none"/>
                      <w:u w:val="none"/>
                      <w:vertAlign w:val="subscript"/>
                    </w:rPr>
                    <w:t>3</w:t>
                  </w:r>
                </w:p>
              </w:tc>
              <w:tc>
                <w:tcPr>
                  <w:tcW w:w="2601" w:type="dxa"/>
                  <w:noWrap w:val="0"/>
                  <w:vAlign w:val="center"/>
                </w:tcPr>
                <w:p w14:paraId="27CF5AD3">
                  <w:pPr>
                    <w:snapToGrid w:val="0"/>
                    <w:jc w:val="center"/>
                    <w:rPr>
                      <w:color w:val="auto"/>
                      <w:szCs w:val="21"/>
                      <w:highlight w:val="none"/>
                      <w:u w:val="none"/>
                    </w:rPr>
                  </w:pPr>
                  <w:r>
                    <w:rPr>
                      <w:color w:val="auto"/>
                      <w:szCs w:val="21"/>
                      <w:highlight w:val="none"/>
                      <w:u w:val="none"/>
                    </w:rPr>
                    <w:t>日最大8小时平均</w:t>
                  </w:r>
                </w:p>
              </w:tc>
              <w:tc>
                <w:tcPr>
                  <w:tcW w:w="1365" w:type="dxa"/>
                  <w:noWrap w:val="0"/>
                  <w:vAlign w:val="center"/>
                </w:tcPr>
                <w:p w14:paraId="6492B75E">
                  <w:pPr>
                    <w:snapToGrid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125</w:t>
                  </w:r>
                </w:p>
              </w:tc>
              <w:tc>
                <w:tcPr>
                  <w:tcW w:w="958" w:type="dxa"/>
                  <w:noWrap w:val="0"/>
                  <w:vAlign w:val="center"/>
                </w:tcPr>
                <w:p w14:paraId="760731A9">
                  <w:pPr>
                    <w:snapToGrid w:val="0"/>
                    <w:jc w:val="center"/>
                    <w:rPr>
                      <w:color w:val="auto"/>
                      <w:szCs w:val="21"/>
                      <w:highlight w:val="none"/>
                      <w:u w:val="none"/>
                    </w:rPr>
                  </w:pPr>
                  <w:r>
                    <w:rPr>
                      <w:color w:val="auto"/>
                      <w:szCs w:val="21"/>
                      <w:highlight w:val="none"/>
                      <w:u w:val="none"/>
                    </w:rPr>
                    <w:t>160</w:t>
                  </w:r>
                </w:p>
              </w:tc>
              <w:tc>
                <w:tcPr>
                  <w:tcW w:w="937" w:type="dxa"/>
                  <w:noWrap w:val="0"/>
                  <w:vAlign w:val="center"/>
                </w:tcPr>
                <w:p w14:paraId="7BA83B7D">
                  <w:pPr>
                    <w:widowControl/>
                    <w:jc w:val="center"/>
                    <w:textAlignment w:val="center"/>
                    <w:rPr>
                      <w:color w:val="auto"/>
                      <w:highlight w:val="none"/>
                      <w:u w:val="none"/>
                    </w:rPr>
                  </w:pPr>
                  <w:r>
                    <w:rPr>
                      <w:rFonts w:hint="eastAsia" w:ascii="Times New Roman" w:cs="Times New Roman"/>
                      <w:color w:val="auto"/>
                      <w:sz w:val="21"/>
                      <w:szCs w:val="21"/>
                      <w:highlight w:val="none"/>
                      <w:u w:val="none"/>
                      <w:lang w:val="en-US" w:eastAsia="zh-CN"/>
                    </w:rPr>
                    <w:t>67.14</w:t>
                  </w:r>
                </w:p>
              </w:tc>
              <w:tc>
                <w:tcPr>
                  <w:tcW w:w="1168" w:type="dxa"/>
                  <w:noWrap w:val="0"/>
                  <w:vAlign w:val="center"/>
                </w:tcPr>
                <w:p w14:paraId="678D9A70">
                  <w:pPr>
                    <w:snapToGrid w:val="0"/>
                    <w:jc w:val="center"/>
                    <w:rPr>
                      <w:color w:val="auto"/>
                      <w:szCs w:val="21"/>
                      <w:highlight w:val="none"/>
                      <w:u w:val="none"/>
                    </w:rPr>
                  </w:pPr>
                  <w:r>
                    <w:rPr>
                      <w:color w:val="auto"/>
                      <w:szCs w:val="21"/>
                      <w:highlight w:val="none"/>
                      <w:u w:val="none"/>
                    </w:rPr>
                    <w:t>达标</w:t>
                  </w:r>
                </w:p>
              </w:tc>
            </w:tr>
            <w:tr w14:paraId="18DE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935" w:type="dxa"/>
                  <w:noWrap w:val="0"/>
                  <w:vAlign w:val="center"/>
                </w:tcPr>
                <w:p w14:paraId="650E0FCD">
                  <w:pPr>
                    <w:snapToGrid w:val="0"/>
                    <w:jc w:val="center"/>
                    <w:rPr>
                      <w:color w:val="auto"/>
                      <w:szCs w:val="21"/>
                      <w:highlight w:val="none"/>
                      <w:u w:val="none"/>
                    </w:rPr>
                  </w:pPr>
                  <w:r>
                    <w:rPr>
                      <w:color w:val="auto"/>
                      <w:szCs w:val="21"/>
                      <w:highlight w:val="none"/>
                      <w:u w:val="none"/>
                    </w:rPr>
                    <w:t>PM</w:t>
                  </w:r>
                  <w:r>
                    <w:rPr>
                      <w:color w:val="auto"/>
                      <w:szCs w:val="21"/>
                      <w:highlight w:val="none"/>
                      <w:u w:val="none"/>
                      <w:vertAlign w:val="subscript"/>
                    </w:rPr>
                    <w:t>10</w:t>
                  </w:r>
                </w:p>
              </w:tc>
              <w:tc>
                <w:tcPr>
                  <w:tcW w:w="2601" w:type="dxa"/>
                  <w:noWrap w:val="0"/>
                  <w:vAlign w:val="center"/>
                </w:tcPr>
                <w:p w14:paraId="49703680">
                  <w:pPr>
                    <w:snapToGrid w:val="0"/>
                    <w:jc w:val="center"/>
                    <w:rPr>
                      <w:color w:val="auto"/>
                      <w:szCs w:val="21"/>
                      <w:highlight w:val="none"/>
                      <w:u w:val="none"/>
                    </w:rPr>
                  </w:pPr>
                  <w:r>
                    <w:rPr>
                      <w:color w:val="auto"/>
                      <w:szCs w:val="21"/>
                      <w:highlight w:val="none"/>
                      <w:u w:val="none"/>
                    </w:rPr>
                    <w:t>年平均质量浓度</w:t>
                  </w:r>
                </w:p>
              </w:tc>
              <w:tc>
                <w:tcPr>
                  <w:tcW w:w="1365" w:type="dxa"/>
                  <w:noWrap w:val="0"/>
                  <w:vAlign w:val="center"/>
                </w:tcPr>
                <w:p w14:paraId="580BCEBD">
                  <w:pPr>
                    <w:snapToGrid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47</w:t>
                  </w:r>
                </w:p>
              </w:tc>
              <w:tc>
                <w:tcPr>
                  <w:tcW w:w="958" w:type="dxa"/>
                  <w:noWrap w:val="0"/>
                  <w:vAlign w:val="center"/>
                </w:tcPr>
                <w:p w14:paraId="6B2CB14C">
                  <w:pPr>
                    <w:snapToGrid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70</w:t>
                  </w:r>
                </w:p>
              </w:tc>
              <w:tc>
                <w:tcPr>
                  <w:tcW w:w="937" w:type="dxa"/>
                  <w:noWrap w:val="0"/>
                  <w:vAlign w:val="center"/>
                </w:tcPr>
                <w:p w14:paraId="3259BF12">
                  <w:pPr>
                    <w:widowControl/>
                    <w:jc w:val="center"/>
                    <w:textAlignment w:val="center"/>
                    <w:rPr>
                      <w:color w:val="auto"/>
                      <w:highlight w:val="none"/>
                      <w:u w:val="none"/>
                    </w:rPr>
                  </w:pPr>
                  <w:r>
                    <w:rPr>
                      <w:rFonts w:hint="default" w:ascii="Times New Roman" w:hAnsi="Times New Roman" w:cs="Times New Roman"/>
                      <w:color w:val="auto"/>
                      <w:sz w:val="21"/>
                      <w:szCs w:val="21"/>
                      <w:highlight w:val="none"/>
                      <w:u w:val="none"/>
                    </w:rPr>
                    <w:t>27.50</w:t>
                  </w:r>
                </w:p>
              </w:tc>
              <w:tc>
                <w:tcPr>
                  <w:tcW w:w="1168" w:type="dxa"/>
                  <w:noWrap w:val="0"/>
                  <w:vAlign w:val="center"/>
                </w:tcPr>
                <w:p w14:paraId="5C50876A">
                  <w:pPr>
                    <w:snapToGrid w:val="0"/>
                    <w:jc w:val="center"/>
                    <w:rPr>
                      <w:color w:val="auto"/>
                      <w:szCs w:val="21"/>
                      <w:highlight w:val="none"/>
                      <w:u w:val="none"/>
                    </w:rPr>
                  </w:pPr>
                  <w:r>
                    <w:rPr>
                      <w:color w:val="auto"/>
                      <w:szCs w:val="21"/>
                      <w:highlight w:val="none"/>
                      <w:u w:val="none"/>
                    </w:rPr>
                    <w:t>达标</w:t>
                  </w:r>
                </w:p>
              </w:tc>
            </w:tr>
            <w:tr w14:paraId="528D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5" w:type="dxa"/>
                  <w:noWrap w:val="0"/>
                  <w:vAlign w:val="center"/>
                </w:tcPr>
                <w:p w14:paraId="4DE070B4">
                  <w:pPr>
                    <w:snapToGrid w:val="0"/>
                    <w:jc w:val="center"/>
                    <w:rPr>
                      <w:color w:val="auto"/>
                      <w:szCs w:val="21"/>
                      <w:highlight w:val="none"/>
                      <w:u w:val="none"/>
                    </w:rPr>
                  </w:pPr>
                  <w:r>
                    <w:rPr>
                      <w:color w:val="auto"/>
                      <w:szCs w:val="21"/>
                      <w:highlight w:val="none"/>
                      <w:u w:val="none"/>
                    </w:rPr>
                    <w:t>PM</w:t>
                  </w:r>
                  <w:r>
                    <w:rPr>
                      <w:color w:val="auto"/>
                      <w:szCs w:val="21"/>
                      <w:highlight w:val="none"/>
                      <w:u w:val="none"/>
                      <w:vertAlign w:val="subscript"/>
                    </w:rPr>
                    <w:t>2.5</w:t>
                  </w:r>
                </w:p>
              </w:tc>
              <w:tc>
                <w:tcPr>
                  <w:tcW w:w="2601" w:type="dxa"/>
                  <w:noWrap w:val="0"/>
                  <w:vAlign w:val="center"/>
                </w:tcPr>
                <w:p w14:paraId="66ED380A">
                  <w:pPr>
                    <w:snapToGrid w:val="0"/>
                    <w:jc w:val="center"/>
                    <w:rPr>
                      <w:color w:val="auto"/>
                      <w:szCs w:val="21"/>
                      <w:highlight w:val="none"/>
                      <w:u w:val="none"/>
                    </w:rPr>
                  </w:pPr>
                  <w:r>
                    <w:rPr>
                      <w:color w:val="auto"/>
                      <w:szCs w:val="21"/>
                      <w:highlight w:val="none"/>
                      <w:u w:val="none"/>
                    </w:rPr>
                    <w:t>年平均质量浓度</w:t>
                  </w:r>
                </w:p>
              </w:tc>
              <w:tc>
                <w:tcPr>
                  <w:tcW w:w="1365" w:type="dxa"/>
                  <w:noWrap w:val="0"/>
                  <w:vAlign w:val="center"/>
                </w:tcPr>
                <w:p w14:paraId="138EBF0E">
                  <w:pPr>
                    <w:snapToGrid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24.6</w:t>
                  </w:r>
                </w:p>
              </w:tc>
              <w:tc>
                <w:tcPr>
                  <w:tcW w:w="958" w:type="dxa"/>
                  <w:noWrap w:val="0"/>
                  <w:vAlign w:val="center"/>
                </w:tcPr>
                <w:p w14:paraId="7FB445FD">
                  <w:pPr>
                    <w:snapToGrid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35</w:t>
                  </w:r>
                </w:p>
              </w:tc>
              <w:tc>
                <w:tcPr>
                  <w:tcW w:w="937" w:type="dxa"/>
                  <w:noWrap w:val="0"/>
                  <w:vAlign w:val="center"/>
                </w:tcPr>
                <w:p w14:paraId="38099A90">
                  <w:pPr>
                    <w:widowControl/>
                    <w:jc w:val="center"/>
                    <w:textAlignment w:val="center"/>
                    <w:rPr>
                      <w:color w:val="auto"/>
                      <w:highlight w:val="none"/>
                      <w:u w:val="none"/>
                    </w:rPr>
                  </w:pPr>
                  <w:r>
                    <w:rPr>
                      <w:rFonts w:hint="eastAsia" w:ascii="Times New Roman" w:cs="Times New Roman"/>
                      <w:color w:val="auto"/>
                      <w:sz w:val="21"/>
                      <w:szCs w:val="21"/>
                      <w:highlight w:val="none"/>
                      <w:u w:val="none"/>
                      <w:lang w:val="en-US" w:eastAsia="zh-CN"/>
                    </w:rPr>
                    <w:t>78.12</w:t>
                  </w:r>
                </w:p>
              </w:tc>
              <w:tc>
                <w:tcPr>
                  <w:tcW w:w="1168" w:type="dxa"/>
                  <w:noWrap w:val="0"/>
                  <w:vAlign w:val="center"/>
                </w:tcPr>
                <w:p w14:paraId="29D22B2D">
                  <w:pPr>
                    <w:snapToGrid w:val="0"/>
                    <w:jc w:val="center"/>
                    <w:rPr>
                      <w:color w:val="auto"/>
                      <w:szCs w:val="21"/>
                      <w:highlight w:val="none"/>
                      <w:u w:val="none"/>
                    </w:rPr>
                  </w:pPr>
                  <w:r>
                    <w:rPr>
                      <w:color w:val="auto"/>
                      <w:szCs w:val="21"/>
                      <w:highlight w:val="none"/>
                      <w:u w:val="none"/>
                    </w:rPr>
                    <w:t>达标</w:t>
                  </w:r>
                </w:p>
              </w:tc>
            </w:tr>
          </w:tbl>
          <w:p w14:paraId="7984ECAE">
            <w:pPr>
              <w:spacing w:line="360" w:lineRule="auto"/>
              <w:ind w:left="-28"/>
              <w:jc w:val="left"/>
              <w:textAlignment w:val="baseline"/>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3.1.3海洋环境质量现状</w:t>
            </w:r>
          </w:p>
          <w:p w14:paraId="7CB13E8B">
            <w:pPr>
              <w:numPr>
                <w:ilvl w:val="0"/>
                <w:numId w:val="11"/>
              </w:numPr>
              <w:spacing w:line="360" w:lineRule="auto"/>
              <w:ind w:firstLine="480" w:firstLineChars="200"/>
              <w:textAlignment w:val="baseline"/>
              <w:rPr>
                <w:rFonts w:hint="eastAsia"/>
                <w:color w:val="auto"/>
                <w:sz w:val="24"/>
                <w:highlight w:val="none"/>
                <w:lang w:val="en-US" w:eastAsia="zh-CN"/>
              </w:rPr>
            </w:pPr>
            <w:r>
              <w:rPr>
                <w:rFonts w:hint="eastAsia"/>
                <w:color w:val="auto"/>
                <w:sz w:val="24"/>
                <w:highlight w:val="none"/>
                <w:lang w:val="en-US" w:eastAsia="zh-CN"/>
              </w:rPr>
              <w:t>调查概况</w:t>
            </w:r>
          </w:p>
          <w:p w14:paraId="581F88D5">
            <w:pPr>
              <w:spacing w:line="360" w:lineRule="auto"/>
              <w:ind w:firstLine="480" w:firstLineChars="200"/>
              <w:textAlignment w:val="baseline"/>
              <w:rPr>
                <w:rFonts w:hint="eastAsia"/>
                <w:color w:val="auto"/>
                <w:sz w:val="24"/>
                <w:highlight w:val="none"/>
                <w:lang w:val="en-US" w:eastAsia="zh-CN"/>
              </w:rPr>
            </w:pPr>
            <w:r>
              <w:rPr>
                <w:rFonts w:hint="eastAsia"/>
                <w:color w:val="auto"/>
                <w:sz w:val="24"/>
                <w:highlight w:val="none"/>
                <w:lang w:val="en-US" w:eastAsia="zh-CN"/>
              </w:rPr>
              <w:t>本次调查引用《钦州港正新散货码头扩建项目环境影响报告书》中关于海洋生态环境质量现状的监测结果。</w:t>
            </w:r>
          </w:p>
          <w:p w14:paraId="021EB9AC">
            <w:pPr>
              <w:numPr>
                <w:ilvl w:val="0"/>
                <w:numId w:val="11"/>
              </w:numPr>
              <w:spacing w:line="360" w:lineRule="auto"/>
              <w:ind w:firstLine="480" w:firstLineChars="200"/>
              <w:textAlignment w:val="baseline"/>
              <w:rPr>
                <w:rFonts w:hint="default"/>
                <w:color w:val="auto"/>
                <w:sz w:val="24"/>
                <w:highlight w:val="none"/>
                <w:lang w:val="en-US" w:eastAsia="zh-CN"/>
              </w:rPr>
            </w:pPr>
            <w:r>
              <w:rPr>
                <w:rFonts w:hint="eastAsia"/>
                <w:color w:val="auto"/>
                <w:sz w:val="24"/>
                <w:highlight w:val="none"/>
                <w:lang w:val="en-US" w:eastAsia="zh-CN"/>
              </w:rPr>
              <w:t>调查站位</w:t>
            </w:r>
          </w:p>
          <w:p w14:paraId="03CEC77E">
            <w:pPr>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调查按照《海洋调查规范》《海洋监测规范》等的有关标准要求，调查报告监测点位</w:t>
            </w:r>
            <w:r>
              <w:rPr>
                <w:rFonts w:hint="eastAsia" w:ascii="Times New Roman" w:hAnsi="Times New Roman" w:eastAsia="宋体" w:cs="Times New Roman"/>
                <w:color w:val="auto"/>
                <w:sz w:val="24"/>
                <w:highlight w:val="none"/>
                <w:lang w:eastAsia="zh-CN"/>
              </w:rPr>
              <w:t>涵盖</w:t>
            </w:r>
            <w:r>
              <w:rPr>
                <w:rFonts w:hint="eastAsia" w:ascii="Times New Roman" w:hAnsi="Times New Roman" w:eastAsia="宋体" w:cs="Times New Roman"/>
                <w:color w:val="auto"/>
                <w:sz w:val="24"/>
                <w:highlight w:val="none"/>
              </w:rPr>
              <w:t>项目区域及影响范围，本次评价选取重点站位及因子进行分析。</w:t>
            </w:r>
            <w:r>
              <w:rPr>
                <w:rFonts w:hint="eastAsia" w:ascii="Times New Roman" w:hAnsi="Times New Roman" w:eastAsia="宋体" w:cs="Times New Roman"/>
                <w:color w:val="auto"/>
                <w:sz w:val="24"/>
                <w:highlight w:val="none"/>
                <w:lang w:val="en-US" w:eastAsia="zh-CN"/>
              </w:rPr>
              <w:t>各调查点位的监测布点图详见附图。</w:t>
            </w:r>
          </w:p>
          <w:p w14:paraId="4A3B2927">
            <w:pPr>
              <w:keepNext/>
              <w:keepLines/>
              <w:widowControl w:val="0"/>
              <w:numPr>
                <w:ilvl w:val="0"/>
                <w:numId w:val="0"/>
              </w:numPr>
              <w:tabs>
                <w:tab w:val="left" w:pos="0"/>
              </w:tabs>
              <w:adjustRightInd w:val="0"/>
              <w:snapToGrid w:val="0"/>
              <w:spacing w:line="360" w:lineRule="auto"/>
              <w:ind w:leftChars="0"/>
              <w:jc w:val="center"/>
              <w:outlineLvl w:val="4"/>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表3.1-2秋季调查站位</w:t>
            </w:r>
            <w:r>
              <w:rPr>
                <w:rFonts w:ascii="Times New Roman" w:hAnsi="Times New Roman" w:eastAsia="宋体" w:cs="Times New Roman"/>
                <w:b/>
                <w:bCs/>
                <w:color w:val="auto"/>
                <w:kern w:val="2"/>
                <w:sz w:val="21"/>
                <w:szCs w:val="21"/>
                <w:highlight w:val="none"/>
                <w:u w:val="none"/>
                <w:lang w:val="en-US" w:eastAsia="zh-CN" w:bidi="ar-SA"/>
              </w:rPr>
              <w:t>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48"/>
              <w:gridCol w:w="673"/>
              <w:gridCol w:w="1755"/>
              <w:gridCol w:w="1632"/>
              <w:gridCol w:w="465"/>
              <w:gridCol w:w="540"/>
              <w:gridCol w:w="1896"/>
              <w:gridCol w:w="713"/>
            </w:tblGrid>
            <w:tr w14:paraId="364D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76" w:type="pct"/>
                  <w:vMerge w:val="restart"/>
                  <w:noWrap w:val="0"/>
                  <w:vAlign w:val="center"/>
                </w:tcPr>
                <w:p w14:paraId="53DEDB4E">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序号</w:t>
                  </w:r>
                </w:p>
              </w:tc>
              <w:tc>
                <w:tcPr>
                  <w:tcW w:w="414" w:type="pct"/>
                  <w:vMerge w:val="restart"/>
                  <w:noWrap w:val="0"/>
                  <w:vAlign w:val="center"/>
                </w:tcPr>
                <w:p w14:paraId="65B3A8CC">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站位</w:t>
                  </w:r>
                </w:p>
              </w:tc>
              <w:tc>
                <w:tcPr>
                  <w:tcW w:w="2084" w:type="pct"/>
                  <w:gridSpan w:val="2"/>
                  <w:noWrap w:val="0"/>
                  <w:vAlign w:val="center"/>
                </w:tcPr>
                <w:p w14:paraId="315D05B3">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位置</w:t>
                  </w:r>
                </w:p>
              </w:tc>
              <w:tc>
                <w:tcPr>
                  <w:tcW w:w="2224" w:type="pct"/>
                  <w:gridSpan w:val="4"/>
                  <w:noWrap w:val="0"/>
                  <w:vAlign w:val="center"/>
                </w:tcPr>
                <w:p w14:paraId="3911E938">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调查监测内容</w:t>
                  </w:r>
                </w:p>
              </w:tc>
            </w:tr>
            <w:tr w14:paraId="1D4B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76" w:type="pct"/>
                  <w:vMerge w:val="continue"/>
                  <w:noWrap w:val="0"/>
                  <w:vAlign w:val="center"/>
                </w:tcPr>
                <w:p w14:paraId="61A86773">
                  <w:pPr>
                    <w:spacing w:line="240" w:lineRule="auto"/>
                    <w:ind w:firstLine="0" w:firstLineChars="0"/>
                    <w:jc w:val="center"/>
                    <w:rPr>
                      <w:rFonts w:ascii="Times New Roman" w:hAnsi="Times New Roman" w:eastAsia="宋体" w:cs="Times New Roman"/>
                      <w:b/>
                      <w:bCs/>
                      <w:color w:val="auto"/>
                      <w:sz w:val="21"/>
                      <w:szCs w:val="21"/>
                      <w:highlight w:val="none"/>
                      <w:u w:val="none"/>
                    </w:rPr>
                  </w:pPr>
                </w:p>
              </w:tc>
              <w:tc>
                <w:tcPr>
                  <w:tcW w:w="414" w:type="pct"/>
                  <w:vMerge w:val="continue"/>
                  <w:noWrap w:val="0"/>
                  <w:vAlign w:val="center"/>
                </w:tcPr>
                <w:p w14:paraId="13B85769">
                  <w:pPr>
                    <w:spacing w:line="240" w:lineRule="auto"/>
                    <w:ind w:firstLine="0" w:firstLineChars="0"/>
                    <w:jc w:val="center"/>
                    <w:rPr>
                      <w:rFonts w:ascii="Times New Roman" w:hAnsi="Times New Roman" w:eastAsia="宋体" w:cs="Times New Roman"/>
                      <w:b/>
                      <w:bCs/>
                      <w:color w:val="auto"/>
                      <w:sz w:val="21"/>
                      <w:szCs w:val="21"/>
                      <w:highlight w:val="none"/>
                      <w:u w:val="none"/>
                    </w:rPr>
                  </w:pPr>
                </w:p>
              </w:tc>
              <w:tc>
                <w:tcPr>
                  <w:tcW w:w="1080" w:type="pct"/>
                  <w:noWrap w:val="0"/>
                  <w:vAlign w:val="center"/>
                </w:tcPr>
                <w:p w14:paraId="2F4011AF">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经度</w:t>
                  </w:r>
                </w:p>
              </w:tc>
              <w:tc>
                <w:tcPr>
                  <w:tcW w:w="1004" w:type="pct"/>
                  <w:noWrap w:val="0"/>
                  <w:vAlign w:val="center"/>
                </w:tcPr>
                <w:p w14:paraId="434F18F1">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纬度</w:t>
                  </w:r>
                </w:p>
              </w:tc>
              <w:tc>
                <w:tcPr>
                  <w:tcW w:w="286" w:type="pct"/>
                  <w:noWrap w:val="0"/>
                  <w:vAlign w:val="center"/>
                </w:tcPr>
                <w:p w14:paraId="2921D252">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水质</w:t>
                  </w:r>
                </w:p>
              </w:tc>
              <w:tc>
                <w:tcPr>
                  <w:tcW w:w="332" w:type="pct"/>
                  <w:noWrap w:val="0"/>
                  <w:vAlign w:val="center"/>
                </w:tcPr>
                <w:p w14:paraId="53733856">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沉积物</w:t>
                  </w:r>
                </w:p>
              </w:tc>
              <w:tc>
                <w:tcPr>
                  <w:tcW w:w="1167" w:type="pct"/>
                  <w:noWrap w:val="0"/>
                  <w:vAlign w:val="center"/>
                </w:tcPr>
                <w:p w14:paraId="4BCE71E1">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叶绿素-a</w:t>
                  </w:r>
                  <w:r>
                    <w:rPr>
                      <w:rFonts w:hint="eastAsia" w:ascii="Times New Roman" w:hAnsi="Times New Roman" w:eastAsia="宋体" w:cs="Times New Roman"/>
                      <w:b/>
                      <w:bCs/>
                      <w:color w:val="auto"/>
                      <w:sz w:val="21"/>
                      <w:szCs w:val="21"/>
                      <w:highlight w:val="none"/>
                      <w:u w:val="none"/>
                    </w:rPr>
                    <w:t>、</w:t>
                  </w:r>
                  <w:r>
                    <w:rPr>
                      <w:rFonts w:ascii="Times New Roman" w:hAnsi="Times New Roman" w:eastAsia="宋体" w:cs="Times New Roman"/>
                      <w:b/>
                      <w:bCs/>
                      <w:color w:val="auto"/>
                      <w:sz w:val="21"/>
                      <w:szCs w:val="21"/>
                      <w:highlight w:val="none"/>
                      <w:u w:val="none"/>
                    </w:rPr>
                    <w:t>浮游植物</w:t>
                  </w:r>
                  <w:r>
                    <w:rPr>
                      <w:rFonts w:hint="eastAsia" w:ascii="Times New Roman" w:hAnsi="Times New Roman" w:eastAsia="宋体" w:cs="Times New Roman"/>
                      <w:b/>
                      <w:bCs/>
                      <w:color w:val="auto"/>
                      <w:sz w:val="21"/>
                      <w:szCs w:val="21"/>
                      <w:highlight w:val="none"/>
                      <w:u w:val="none"/>
                    </w:rPr>
                    <w:t>、</w:t>
                  </w:r>
                  <w:r>
                    <w:rPr>
                      <w:rFonts w:ascii="Times New Roman" w:hAnsi="Times New Roman" w:eastAsia="宋体" w:cs="Times New Roman"/>
                      <w:b/>
                      <w:bCs/>
                      <w:color w:val="auto"/>
                      <w:sz w:val="21"/>
                      <w:szCs w:val="21"/>
                      <w:highlight w:val="none"/>
                      <w:u w:val="none"/>
                    </w:rPr>
                    <w:t>浮游动</w:t>
                  </w:r>
                  <w:r>
                    <w:rPr>
                      <w:rFonts w:hint="eastAsia" w:ascii="Times New Roman" w:hAnsi="Times New Roman" w:eastAsia="宋体" w:cs="Times New Roman"/>
                      <w:b/>
                      <w:bCs/>
                      <w:color w:val="auto"/>
                      <w:sz w:val="21"/>
                      <w:szCs w:val="21"/>
                      <w:highlight w:val="none"/>
                      <w:u w:val="none"/>
                      <w:lang w:val="en-US" w:eastAsia="zh-CN"/>
                    </w:rPr>
                    <w:t>物</w:t>
                  </w:r>
                  <w:r>
                    <w:rPr>
                      <w:rFonts w:hint="eastAsia" w:ascii="Times New Roman" w:hAnsi="Times New Roman" w:eastAsia="宋体" w:cs="Times New Roman"/>
                      <w:b/>
                      <w:bCs/>
                      <w:color w:val="auto"/>
                      <w:sz w:val="21"/>
                      <w:szCs w:val="21"/>
                      <w:highlight w:val="none"/>
                      <w:u w:val="none"/>
                    </w:rPr>
                    <w:t>、</w:t>
                  </w:r>
                  <w:r>
                    <w:rPr>
                      <w:rFonts w:ascii="Times New Roman" w:hAnsi="Times New Roman" w:eastAsia="宋体" w:cs="Times New Roman"/>
                      <w:b/>
                      <w:bCs/>
                      <w:color w:val="auto"/>
                      <w:sz w:val="21"/>
                      <w:szCs w:val="21"/>
                      <w:highlight w:val="none"/>
                      <w:u w:val="none"/>
                    </w:rPr>
                    <w:t>底栖生物</w:t>
                  </w:r>
                  <w:r>
                    <w:rPr>
                      <w:rFonts w:hint="eastAsia" w:ascii="Times New Roman" w:hAnsi="Times New Roman" w:eastAsia="宋体" w:cs="Times New Roman"/>
                      <w:b/>
                      <w:bCs/>
                      <w:color w:val="auto"/>
                      <w:sz w:val="21"/>
                      <w:szCs w:val="21"/>
                      <w:highlight w:val="none"/>
                      <w:u w:val="none"/>
                    </w:rPr>
                    <w:t>、</w:t>
                  </w:r>
                  <w:r>
                    <w:rPr>
                      <w:rFonts w:ascii="Times New Roman" w:hAnsi="Times New Roman" w:eastAsia="宋体" w:cs="Times New Roman"/>
                      <w:b/>
                      <w:bCs/>
                      <w:color w:val="auto"/>
                      <w:sz w:val="21"/>
                      <w:szCs w:val="21"/>
                      <w:highlight w:val="none"/>
                      <w:u w:val="none"/>
                    </w:rPr>
                    <w:t>游泳动物</w:t>
                  </w:r>
                  <w:r>
                    <w:rPr>
                      <w:rFonts w:hint="eastAsia" w:ascii="Times New Roman" w:hAnsi="Times New Roman" w:eastAsia="宋体" w:cs="Times New Roman"/>
                      <w:b/>
                      <w:bCs/>
                      <w:color w:val="auto"/>
                      <w:sz w:val="21"/>
                      <w:szCs w:val="21"/>
                      <w:highlight w:val="none"/>
                      <w:u w:val="none"/>
                    </w:rPr>
                    <w:t>、</w:t>
                  </w:r>
                  <w:r>
                    <w:rPr>
                      <w:rFonts w:ascii="Times New Roman" w:hAnsi="Times New Roman" w:eastAsia="宋体" w:cs="Times New Roman"/>
                      <w:b/>
                      <w:bCs/>
                      <w:color w:val="auto"/>
                      <w:sz w:val="21"/>
                      <w:szCs w:val="21"/>
                      <w:highlight w:val="none"/>
                      <w:u w:val="none"/>
                    </w:rPr>
                    <w:t>鱼卵仔鱼</w:t>
                  </w:r>
                  <w:r>
                    <w:rPr>
                      <w:rFonts w:hint="eastAsia" w:ascii="Times New Roman" w:hAnsi="Times New Roman" w:eastAsia="宋体" w:cs="Times New Roman"/>
                      <w:b/>
                      <w:bCs/>
                      <w:color w:val="auto"/>
                      <w:sz w:val="21"/>
                      <w:szCs w:val="21"/>
                      <w:highlight w:val="none"/>
                      <w:u w:val="none"/>
                    </w:rPr>
                    <w:t>、生物质量</w:t>
                  </w:r>
                </w:p>
              </w:tc>
              <w:tc>
                <w:tcPr>
                  <w:tcW w:w="438" w:type="pct"/>
                  <w:noWrap w:val="0"/>
                  <w:vAlign w:val="center"/>
                </w:tcPr>
                <w:p w14:paraId="6477CB9C">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潮间带生物</w:t>
                  </w:r>
                </w:p>
              </w:tc>
            </w:tr>
            <w:tr w14:paraId="780D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71C66B76">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w:t>
                  </w:r>
                </w:p>
              </w:tc>
              <w:tc>
                <w:tcPr>
                  <w:tcW w:w="414" w:type="pct"/>
                  <w:noWrap w:val="0"/>
                  <w:vAlign w:val="center"/>
                </w:tcPr>
                <w:p w14:paraId="7408014F">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6#</w:t>
                  </w:r>
                </w:p>
              </w:tc>
              <w:tc>
                <w:tcPr>
                  <w:tcW w:w="1080" w:type="pct"/>
                  <w:noWrap w:val="0"/>
                  <w:vAlign w:val="center"/>
                </w:tcPr>
                <w:p w14:paraId="498FB7A7">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108°35′46.2</w:t>
                  </w:r>
                  <w:r>
                    <w:rPr>
                      <w:rFonts w:hint="eastAsia" w:ascii="Times New Roman" w:hAnsi="Times New Roman" w:eastAsia="宋体" w:cs="Times New Roman"/>
                      <w:color w:val="auto"/>
                      <w:sz w:val="21"/>
                      <w:szCs w:val="21"/>
                      <w:highlight w:val="none"/>
                      <w:u w:val="none"/>
                      <w:lang w:val="en-US" w:eastAsia="zh-CN"/>
                    </w:rPr>
                    <w:t>3</w:t>
                  </w:r>
                  <w:r>
                    <w:rPr>
                      <w:rFonts w:ascii="Times New Roman" w:hAnsi="Times New Roman" w:eastAsia="宋体" w:cs="Times New Roman"/>
                      <w:color w:val="auto"/>
                      <w:sz w:val="21"/>
                      <w:szCs w:val="21"/>
                      <w:highlight w:val="none"/>
                      <w:u w:val="none"/>
                    </w:rPr>
                    <w:t>"</w:t>
                  </w:r>
                </w:p>
              </w:tc>
              <w:tc>
                <w:tcPr>
                  <w:tcW w:w="1004" w:type="pct"/>
                  <w:noWrap w:val="0"/>
                  <w:vAlign w:val="center"/>
                </w:tcPr>
                <w:p w14:paraId="7A54BFE4">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21°50′47.0</w:t>
                  </w:r>
                  <w:r>
                    <w:rPr>
                      <w:rFonts w:hint="eastAsia" w:ascii="Times New Roman" w:hAnsi="Times New Roman" w:eastAsia="宋体" w:cs="Times New Roman"/>
                      <w:color w:val="auto"/>
                      <w:sz w:val="21"/>
                      <w:szCs w:val="21"/>
                      <w:highlight w:val="none"/>
                      <w:u w:val="none"/>
                      <w:lang w:val="en-US" w:eastAsia="zh-CN"/>
                    </w:rPr>
                    <w:t>7</w:t>
                  </w:r>
                  <w:r>
                    <w:rPr>
                      <w:rFonts w:ascii="Times New Roman" w:hAnsi="Times New Roman" w:eastAsia="宋体" w:cs="Times New Roman"/>
                      <w:color w:val="auto"/>
                      <w:sz w:val="21"/>
                      <w:szCs w:val="21"/>
                      <w:highlight w:val="none"/>
                      <w:u w:val="none"/>
                    </w:rPr>
                    <w:t>"</w:t>
                  </w:r>
                </w:p>
              </w:tc>
              <w:tc>
                <w:tcPr>
                  <w:tcW w:w="286" w:type="pct"/>
                  <w:noWrap w:val="0"/>
                  <w:vAlign w:val="center"/>
                </w:tcPr>
                <w:p w14:paraId="2AFEDF09">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6A5D6A29">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19650760">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33D08FDD">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6058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6E30EB7D">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w:t>
                  </w:r>
                </w:p>
              </w:tc>
              <w:tc>
                <w:tcPr>
                  <w:tcW w:w="414" w:type="pct"/>
                  <w:noWrap w:val="0"/>
                  <w:vAlign w:val="center"/>
                </w:tcPr>
                <w:p w14:paraId="18D67949">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9#</w:t>
                  </w:r>
                </w:p>
              </w:tc>
              <w:tc>
                <w:tcPr>
                  <w:tcW w:w="1080" w:type="pct"/>
                  <w:noWrap w:val="0"/>
                  <w:vAlign w:val="center"/>
                </w:tcPr>
                <w:p w14:paraId="627FDFED">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108°34′6.4</w:t>
                  </w:r>
                  <w:r>
                    <w:rPr>
                      <w:rFonts w:hint="eastAsia" w:ascii="Times New Roman" w:hAnsi="Times New Roman" w:eastAsia="宋体" w:cs="Times New Roman"/>
                      <w:color w:val="auto"/>
                      <w:sz w:val="21"/>
                      <w:szCs w:val="21"/>
                      <w:highlight w:val="none"/>
                      <w:u w:val="none"/>
                      <w:lang w:val="en-US" w:eastAsia="zh-CN"/>
                    </w:rPr>
                    <w:t>3</w:t>
                  </w:r>
                  <w:r>
                    <w:rPr>
                      <w:rFonts w:ascii="Times New Roman" w:hAnsi="Times New Roman" w:eastAsia="宋体" w:cs="Times New Roman"/>
                      <w:color w:val="auto"/>
                      <w:sz w:val="21"/>
                      <w:szCs w:val="21"/>
                      <w:highlight w:val="none"/>
                      <w:u w:val="none"/>
                    </w:rPr>
                    <w:t>"</w:t>
                  </w:r>
                </w:p>
              </w:tc>
              <w:tc>
                <w:tcPr>
                  <w:tcW w:w="1004" w:type="pct"/>
                  <w:noWrap w:val="0"/>
                  <w:vAlign w:val="center"/>
                </w:tcPr>
                <w:p w14:paraId="463B3269">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21°49′21.</w:t>
                  </w:r>
                  <w:r>
                    <w:rPr>
                      <w:rFonts w:hint="eastAsia" w:ascii="Times New Roman" w:hAnsi="Times New Roman" w:eastAsia="宋体" w:cs="Times New Roman"/>
                      <w:color w:val="auto"/>
                      <w:sz w:val="21"/>
                      <w:szCs w:val="21"/>
                      <w:highlight w:val="none"/>
                      <w:u w:val="none"/>
                      <w:lang w:val="en-US" w:eastAsia="zh-CN"/>
                    </w:rPr>
                    <w:t>07</w:t>
                  </w:r>
                  <w:r>
                    <w:rPr>
                      <w:rFonts w:ascii="Times New Roman" w:hAnsi="Times New Roman" w:eastAsia="宋体" w:cs="Times New Roman"/>
                      <w:color w:val="auto"/>
                      <w:sz w:val="21"/>
                      <w:szCs w:val="21"/>
                      <w:highlight w:val="none"/>
                      <w:u w:val="none"/>
                    </w:rPr>
                    <w:t>"</w:t>
                  </w:r>
                </w:p>
              </w:tc>
              <w:tc>
                <w:tcPr>
                  <w:tcW w:w="286" w:type="pct"/>
                  <w:noWrap w:val="0"/>
                  <w:vAlign w:val="center"/>
                </w:tcPr>
                <w:p w14:paraId="632ADD5B">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0355F184">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1167" w:type="pct"/>
                  <w:noWrap w:val="0"/>
                  <w:vAlign w:val="center"/>
                </w:tcPr>
                <w:p w14:paraId="4FA62ECE">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38" w:type="pct"/>
                  <w:noWrap w:val="0"/>
                  <w:vAlign w:val="center"/>
                </w:tcPr>
                <w:p w14:paraId="3B1BA2BC">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2520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4B03F876">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3</w:t>
                  </w:r>
                </w:p>
              </w:tc>
              <w:tc>
                <w:tcPr>
                  <w:tcW w:w="414" w:type="pct"/>
                  <w:noWrap w:val="0"/>
                  <w:vAlign w:val="center"/>
                </w:tcPr>
                <w:p w14:paraId="30F3AC5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11#</w:t>
                  </w:r>
                </w:p>
              </w:tc>
              <w:tc>
                <w:tcPr>
                  <w:tcW w:w="1080" w:type="pct"/>
                  <w:noWrap w:val="0"/>
                  <w:vAlign w:val="center"/>
                </w:tcPr>
                <w:p w14:paraId="1172F1A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108°32′53.0</w:t>
                  </w:r>
                  <w:r>
                    <w:rPr>
                      <w:rFonts w:hint="eastAsia" w:ascii="Times New Roman" w:hAnsi="Times New Roman" w:eastAsia="宋体" w:cs="Times New Roman"/>
                      <w:color w:val="auto"/>
                      <w:sz w:val="21"/>
                      <w:szCs w:val="21"/>
                      <w:highlight w:val="none"/>
                      <w:u w:val="none"/>
                      <w:lang w:val="en-US" w:eastAsia="zh-CN"/>
                    </w:rPr>
                    <w:t>8</w:t>
                  </w:r>
                  <w:r>
                    <w:rPr>
                      <w:rFonts w:ascii="Times New Roman" w:hAnsi="Times New Roman" w:eastAsia="宋体" w:cs="Times New Roman"/>
                      <w:color w:val="auto"/>
                      <w:sz w:val="21"/>
                      <w:szCs w:val="21"/>
                      <w:highlight w:val="none"/>
                      <w:u w:val="none"/>
                    </w:rPr>
                    <w:t>"</w:t>
                  </w:r>
                </w:p>
              </w:tc>
              <w:tc>
                <w:tcPr>
                  <w:tcW w:w="1004" w:type="pct"/>
                  <w:noWrap w:val="0"/>
                  <w:vAlign w:val="center"/>
                </w:tcPr>
                <w:p w14:paraId="34ED0BEB">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21°47′31.0</w:t>
                  </w:r>
                  <w:r>
                    <w:rPr>
                      <w:rFonts w:hint="eastAsia" w:ascii="Times New Roman" w:hAnsi="Times New Roman" w:eastAsia="宋体" w:cs="Times New Roman"/>
                      <w:color w:val="auto"/>
                      <w:sz w:val="21"/>
                      <w:szCs w:val="21"/>
                      <w:highlight w:val="none"/>
                      <w:u w:val="none"/>
                      <w:lang w:val="en-US" w:eastAsia="zh-CN"/>
                    </w:rPr>
                    <w:t>6</w:t>
                  </w:r>
                  <w:r>
                    <w:rPr>
                      <w:rFonts w:ascii="Times New Roman" w:hAnsi="Times New Roman" w:eastAsia="宋体" w:cs="Times New Roman"/>
                      <w:color w:val="auto"/>
                      <w:sz w:val="21"/>
                      <w:szCs w:val="21"/>
                      <w:highlight w:val="none"/>
                      <w:u w:val="none"/>
                    </w:rPr>
                    <w:t>"</w:t>
                  </w:r>
                </w:p>
              </w:tc>
              <w:tc>
                <w:tcPr>
                  <w:tcW w:w="286" w:type="pct"/>
                  <w:noWrap w:val="0"/>
                  <w:vAlign w:val="center"/>
                </w:tcPr>
                <w:p w14:paraId="61EF26B3">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22DF19C6">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1167" w:type="pct"/>
                  <w:noWrap w:val="0"/>
                  <w:vAlign w:val="center"/>
                </w:tcPr>
                <w:p w14:paraId="5B2E6C22">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38" w:type="pct"/>
                  <w:noWrap w:val="0"/>
                  <w:vAlign w:val="center"/>
                </w:tcPr>
                <w:p w14:paraId="10B96555">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5CA7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6A2842D7">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4</w:t>
                  </w:r>
                </w:p>
              </w:tc>
              <w:tc>
                <w:tcPr>
                  <w:tcW w:w="414" w:type="pct"/>
                  <w:noWrap w:val="0"/>
                  <w:vAlign w:val="center"/>
                </w:tcPr>
                <w:p w14:paraId="781B5CDF">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14#</w:t>
                  </w:r>
                </w:p>
              </w:tc>
              <w:tc>
                <w:tcPr>
                  <w:tcW w:w="1080" w:type="pct"/>
                  <w:noWrap w:val="0"/>
                  <w:vAlign w:val="center"/>
                </w:tcPr>
                <w:p w14:paraId="07E62655">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108°33′38.</w:t>
                  </w:r>
                  <w:r>
                    <w:rPr>
                      <w:rFonts w:hint="eastAsia" w:ascii="Times New Roman" w:hAnsi="Times New Roman" w:eastAsia="宋体" w:cs="Times New Roman"/>
                      <w:color w:val="auto"/>
                      <w:sz w:val="21"/>
                      <w:szCs w:val="21"/>
                      <w:highlight w:val="none"/>
                      <w:u w:val="none"/>
                      <w:lang w:val="en-US" w:eastAsia="zh-CN"/>
                    </w:rPr>
                    <w:t>52</w:t>
                  </w:r>
                  <w:r>
                    <w:rPr>
                      <w:rFonts w:ascii="Times New Roman" w:hAnsi="Times New Roman" w:eastAsia="宋体" w:cs="Times New Roman"/>
                      <w:color w:val="auto"/>
                      <w:sz w:val="21"/>
                      <w:szCs w:val="21"/>
                      <w:highlight w:val="none"/>
                      <w:u w:val="none"/>
                    </w:rPr>
                    <w:t>"</w:t>
                  </w:r>
                </w:p>
              </w:tc>
              <w:tc>
                <w:tcPr>
                  <w:tcW w:w="1004" w:type="pct"/>
                  <w:noWrap w:val="0"/>
                  <w:vAlign w:val="center"/>
                </w:tcPr>
                <w:p w14:paraId="432AE857">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21°45′55.6</w:t>
                  </w:r>
                  <w:r>
                    <w:rPr>
                      <w:rFonts w:hint="eastAsia" w:ascii="Times New Roman" w:hAnsi="Times New Roman" w:eastAsia="宋体" w:cs="Times New Roman"/>
                      <w:color w:val="auto"/>
                      <w:sz w:val="21"/>
                      <w:szCs w:val="21"/>
                      <w:highlight w:val="none"/>
                      <w:u w:val="none"/>
                      <w:lang w:val="en-US" w:eastAsia="zh-CN"/>
                    </w:rPr>
                    <w:t>4</w:t>
                  </w:r>
                  <w:r>
                    <w:rPr>
                      <w:rFonts w:ascii="Times New Roman" w:hAnsi="Times New Roman" w:eastAsia="宋体" w:cs="Times New Roman"/>
                      <w:color w:val="auto"/>
                      <w:sz w:val="21"/>
                      <w:szCs w:val="21"/>
                      <w:highlight w:val="none"/>
                      <w:u w:val="none"/>
                    </w:rPr>
                    <w:t>"</w:t>
                  </w:r>
                </w:p>
              </w:tc>
              <w:tc>
                <w:tcPr>
                  <w:tcW w:w="286" w:type="pct"/>
                  <w:noWrap w:val="0"/>
                  <w:vAlign w:val="center"/>
                </w:tcPr>
                <w:p w14:paraId="60AC3F31">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2E2EA4A7">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6886195E">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61BC0171">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20F6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2FAC375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5</w:t>
                  </w:r>
                </w:p>
              </w:tc>
              <w:tc>
                <w:tcPr>
                  <w:tcW w:w="414" w:type="pct"/>
                  <w:noWrap w:val="0"/>
                  <w:vAlign w:val="center"/>
                </w:tcPr>
                <w:p w14:paraId="5E3261A2">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16#</w:t>
                  </w:r>
                </w:p>
              </w:tc>
              <w:tc>
                <w:tcPr>
                  <w:tcW w:w="1080" w:type="pct"/>
                  <w:noWrap w:val="0"/>
                  <w:vAlign w:val="center"/>
                </w:tcPr>
                <w:p w14:paraId="21A0A2A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108°33′1</w:t>
                  </w:r>
                  <w:r>
                    <w:rPr>
                      <w:rFonts w:hint="eastAsia" w:ascii="Times New Roman" w:hAnsi="Times New Roman" w:eastAsia="宋体" w:cs="Times New Roman"/>
                      <w:color w:val="auto"/>
                      <w:sz w:val="21"/>
                      <w:szCs w:val="21"/>
                      <w:highlight w:val="none"/>
                      <w:u w:val="none"/>
                      <w:lang w:val="en-US" w:eastAsia="zh-CN"/>
                    </w:rPr>
                    <w:t>4.01</w:t>
                  </w:r>
                  <w:r>
                    <w:rPr>
                      <w:rFonts w:ascii="Times New Roman" w:hAnsi="Times New Roman" w:eastAsia="宋体" w:cs="Times New Roman"/>
                      <w:color w:val="auto"/>
                      <w:sz w:val="21"/>
                      <w:szCs w:val="21"/>
                      <w:highlight w:val="none"/>
                      <w:u w:val="none"/>
                    </w:rPr>
                    <w:t>"</w:t>
                  </w:r>
                </w:p>
              </w:tc>
              <w:tc>
                <w:tcPr>
                  <w:tcW w:w="1004" w:type="pct"/>
                  <w:noWrap w:val="0"/>
                  <w:vAlign w:val="center"/>
                </w:tcPr>
                <w:p w14:paraId="06A2F352">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21°45′14.4</w:t>
                  </w:r>
                  <w:r>
                    <w:rPr>
                      <w:rFonts w:hint="eastAsia" w:ascii="Times New Roman" w:hAnsi="Times New Roman" w:eastAsia="宋体" w:cs="Times New Roman"/>
                      <w:color w:val="auto"/>
                      <w:sz w:val="21"/>
                      <w:szCs w:val="21"/>
                      <w:highlight w:val="none"/>
                      <w:u w:val="none"/>
                      <w:lang w:val="en-US" w:eastAsia="zh-CN"/>
                    </w:rPr>
                    <w:t>8</w:t>
                  </w:r>
                  <w:r>
                    <w:rPr>
                      <w:rFonts w:ascii="Times New Roman" w:hAnsi="Times New Roman" w:eastAsia="宋体" w:cs="Times New Roman"/>
                      <w:color w:val="auto"/>
                      <w:sz w:val="21"/>
                      <w:szCs w:val="21"/>
                      <w:highlight w:val="none"/>
                      <w:u w:val="none"/>
                    </w:rPr>
                    <w:t>"</w:t>
                  </w:r>
                </w:p>
              </w:tc>
              <w:tc>
                <w:tcPr>
                  <w:tcW w:w="286" w:type="pct"/>
                  <w:noWrap w:val="0"/>
                  <w:vAlign w:val="center"/>
                </w:tcPr>
                <w:p w14:paraId="7CB77C0F">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59DB1158">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1167" w:type="pct"/>
                  <w:noWrap w:val="0"/>
                  <w:vAlign w:val="center"/>
                </w:tcPr>
                <w:p w14:paraId="6A9542EC">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38" w:type="pct"/>
                  <w:noWrap w:val="0"/>
                  <w:vAlign w:val="center"/>
                </w:tcPr>
                <w:p w14:paraId="1DC69764">
                  <w:pPr>
                    <w:spacing w:line="240" w:lineRule="auto"/>
                    <w:ind w:firstLine="0" w:firstLineChars="0"/>
                    <w:jc w:val="center"/>
                    <w:rPr>
                      <w:rFonts w:ascii="Times New Roman" w:hAnsi="Times New Roman" w:eastAsia="宋体" w:cs="Times New Roman"/>
                      <w:b/>
                      <w:bCs/>
                      <w:color w:val="auto"/>
                      <w:sz w:val="21"/>
                      <w:szCs w:val="21"/>
                      <w:highlight w:val="none"/>
                      <w:u w:val="none"/>
                    </w:rPr>
                  </w:pPr>
                </w:p>
              </w:tc>
            </w:tr>
            <w:tr w14:paraId="44F4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27D0098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6</w:t>
                  </w:r>
                </w:p>
              </w:tc>
              <w:tc>
                <w:tcPr>
                  <w:tcW w:w="414" w:type="pct"/>
                  <w:noWrap w:val="0"/>
                  <w:vAlign w:val="center"/>
                </w:tcPr>
                <w:p w14:paraId="5A3B646A">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w:t>
                  </w:r>
                </w:p>
              </w:tc>
              <w:tc>
                <w:tcPr>
                  <w:tcW w:w="1080" w:type="pct"/>
                  <w:noWrap w:val="0"/>
                  <w:vAlign w:val="center"/>
                </w:tcPr>
                <w:p w14:paraId="6B327BD8">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108°33′51.7</w:t>
                  </w:r>
                  <w:r>
                    <w:rPr>
                      <w:rFonts w:hint="eastAsia" w:ascii="Times New Roman" w:hAnsi="Times New Roman" w:eastAsia="宋体" w:cs="Times New Roman"/>
                      <w:color w:val="auto"/>
                      <w:sz w:val="21"/>
                      <w:szCs w:val="21"/>
                      <w:highlight w:val="none"/>
                      <w:u w:val="none"/>
                      <w:lang w:val="en-US" w:eastAsia="zh-CN"/>
                    </w:rPr>
                    <w:t>9</w:t>
                  </w:r>
                  <w:r>
                    <w:rPr>
                      <w:rFonts w:ascii="Times New Roman" w:hAnsi="Times New Roman" w:eastAsia="宋体" w:cs="Times New Roman"/>
                      <w:color w:val="auto"/>
                      <w:sz w:val="21"/>
                      <w:szCs w:val="21"/>
                      <w:highlight w:val="none"/>
                      <w:u w:val="none"/>
                    </w:rPr>
                    <w:t>"</w:t>
                  </w:r>
                </w:p>
              </w:tc>
              <w:tc>
                <w:tcPr>
                  <w:tcW w:w="1004" w:type="pct"/>
                  <w:noWrap w:val="0"/>
                  <w:vAlign w:val="center"/>
                </w:tcPr>
                <w:p w14:paraId="185E74F0">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21°44′12.3</w:t>
                  </w:r>
                  <w:r>
                    <w:rPr>
                      <w:rFonts w:hint="eastAsia" w:ascii="Times New Roman" w:hAnsi="Times New Roman" w:eastAsia="宋体" w:cs="Times New Roman"/>
                      <w:color w:val="auto"/>
                      <w:sz w:val="21"/>
                      <w:szCs w:val="21"/>
                      <w:highlight w:val="none"/>
                      <w:u w:val="none"/>
                      <w:lang w:val="en-US" w:eastAsia="zh-CN"/>
                    </w:rPr>
                    <w:t>3</w:t>
                  </w:r>
                  <w:r>
                    <w:rPr>
                      <w:rFonts w:ascii="Times New Roman" w:hAnsi="Times New Roman" w:eastAsia="宋体" w:cs="Times New Roman"/>
                      <w:color w:val="auto"/>
                      <w:sz w:val="21"/>
                      <w:szCs w:val="21"/>
                      <w:highlight w:val="none"/>
                      <w:u w:val="none"/>
                    </w:rPr>
                    <w:t>"</w:t>
                  </w:r>
                </w:p>
              </w:tc>
              <w:tc>
                <w:tcPr>
                  <w:tcW w:w="286" w:type="pct"/>
                  <w:noWrap w:val="0"/>
                  <w:vAlign w:val="center"/>
                </w:tcPr>
                <w:p w14:paraId="765AAD35">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5E6D89A1">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1167" w:type="pct"/>
                  <w:noWrap w:val="0"/>
                  <w:vAlign w:val="center"/>
                </w:tcPr>
                <w:p w14:paraId="7DF8BB5F">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38" w:type="pct"/>
                  <w:noWrap w:val="0"/>
                  <w:vAlign w:val="center"/>
                </w:tcPr>
                <w:p w14:paraId="261D12CC">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439E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2DCB35CF">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7</w:t>
                  </w:r>
                </w:p>
              </w:tc>
              <w:tc>
                <w:tcPr>
                  <w:tcW w:w="414" w:type="pct"/>
                  <w:noWrap w:val="0"/>
                  <w:vAlign w:val="center"/>
                </w:tcPr>
                <w:p w14:paraId="3644DDA7">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22#</w:t>
                  </w:r>
                </w:p>
              </w:tc>
              <w:tc>
                <w:tcPr>
                  <w:tcW w:w="1080" w:type="pct"/>
                  <w:noWrap w:val="0"/>
                  <w:vAlign w:val="center"/>
                </w:tcPr>
                <w:p w14:paraId="42218A7A">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108°35′29.</w:t>
                  </w:r>
                  <w:r>
                    <w:rPr>
                      <w:rFonts w:hint="eastAsia" w:ascii="Times New Roman" w:hAnsi="Times New Roman" w:eastAsia="宋体" w:cs="Times New Roman"/>
                      <w:color w:val="auto"/>
                      <w:sz w:val="21"/>
                      <w:szCs w:val="21"/>
                      <w:highlight w:val="none"/>
                      <w:u w:val="none"/>
                      <w:lang w:val="en-US" w:eastAsia="zh-CN"/>
                    </w:rPr>
                    <w:t>80</w:t>
                  </w:r>
                  <w:r>
                    <w:rPr>
                      <w:rFonts w:ascii="Times New Roman" w:hAnsi="Times New Roman" w:eastAsia="宋体" w:cs="Times New Roman"/>
                      <w:color w:val="auto"/>
                      <w:sz w:val="21"/>
                      <w:szCs w:val="21"/>
                      <w:highlight w:val="none"/>
                      <w:u w:val="none"/>
                    </w:rPr>
                    <w:t>"</w:t>
                  </w:r>
                </w:p>
              </w:tc>
              <w:tc>
                <w:tcPr>
                  <w:tcW w:w="1004" w:type="pct"/>
                  <w:noWrap w:val="0"/>
                  <w:vAlign w:val="center"/>
                </w:tcPr>
                <w:p w14:paraId="11D7201A">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21°41′</w:t>
                  </w:r>
                  <w:r>
                    <w:rPr>
                      <w:rFonts w:hint="eastAsia" w:ascii="Times New Roman" w:hAnsi="Times New Roman" w:eastAsia="宋体" w:cs="Times New Roman"/>
                      <w:color w:val="auto"/>
                      <w:sz w:val="21"/>
                      <w:szCs w:val="21"/>
                      <w:highlight w:val="none"/>
                      <w:u w:val="none"/>
                      <w:lang w:val="en-US" w:eastAsia="zh-CN"/>
                    </w:rPr>
                    <w:t>50.21</w:t>
                  </w:r>
                  <w:r>
                    <w:rPr>
                      <w:rFonts w:ascii="Times New Roman" w:hAnsi="Times New Roman" w:eastAsia="宋体" w:cs="Times New Roman"/>
                      <w:color w:val="auto"/>
                      <w:sz w:val="21"/>
                      <w:szCs w:val="21"/>
                      <w:highlight w:val="none"/>
                      <w:u w:val="none"/>
                    </w:rPr>
                    <w:t>"</w:t>
                  </w:r>
                </w:p>
              </w:tc>
              <w:tc>
                <w:tcPr>
                  <w:tcW w:w="286" w:type="pct"/>
                  <w:noWrap w:val="0"/>
                  <w:vAlign w:val="center"/>
                </w:tcPr>
                <w:p w14:paraId="04A567D7">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697375AA">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1167" w:type="pct"/>
                  <w:noWrap w:val="0"/>
                  <w:vAlign w:val="center"/>
                </w:tcPr>
                <w:p w14:paraId="71BC2561">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38" w:type="pct"/>
                  <w:noWrap w:val="0"/>
                  <w:vAlign w:val="center"/>
                </w:tcPr>
                <w:p w14:paraId="2F29BCF7">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4821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3B9E4DE9">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8</w:t>
                  </w:r>
                </w:p>
              </w:tc>
              <w:tc>
                <w:tcPr>
                  <w:tcW w:w="414" w:type="pct"/>
                  <w:noWrap w:val="0"/>
                  <w:vAlign w:val="center"/>
                </w:tcPr>
                <w:p w14:paraId="0589B360">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23#</w:t>
                  </w:r>
                </w:p>
              </w:tc>
              <w:tc>
                <w:tcPr>
                  <w:tcW w:w="1080" w:type="pct"/>
                  <w:noWrap w:val="0"/>
                  <w:vAlign w:val="center"/>
                </w:tcPr>
                <w:p w14:paraId="3ABD29ED">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108°35′7.</w:t>
                  </w:r>
                  <w:r>
                    <w:rPr>
                      <w:rFonts w:hint="eastAsia" w:ascii="Times New Roman" w:hAnsi="Times New Roman" w:eastAsia="宋体" w:cs="Times New Roman"/>
                      <w:color w:val="auto"/>
                      <w:sz w:val="21"/>
                      <w:szCs w:val="21"/>
                      <w:highlight w:val="none"/>
                      <w:u w:val="none"/>
                      <w:lang w:val="en-US" w:eastAsia="zh-CN"/>
                    </w:rPr>
                    <w:t>17</w:t>
                  </w:r>
                  <w:r>
                    <w:rPr>
                      <w:rFonts w:ascii="Times New Roman" w:hAnsi="Times New Roman" w:eastAsia="宋体" w:cs="Times New Roman"/>
                      <w:color w:val="auto"/>
                      <w:sz w:val="21"/>
                      <w:szCs w:val="21"/>
                      <w:highlight w:val="none"/>
                      <w:u w:val="none"/>
                    </w:rPr>
                    <w:t>"</w:t>
                  </w:r>
                </w:p>
              </w:tc>
              <w:tc>
                <w:tcPr>
                  <w:tcW w:w="1004" w:type="pct"/>
                  <w:noWrap w:val="0"/>
                  <w:vAlign w:val="center"/>
                </w:tcPr>
                <w:p w14:paraId="1D0C15F5">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21°39′1.</w:t>
                  </w:r>
                  <w:r>
                    <w:rPr>
                      <w:rFonts w:hint="eastAsia" w:ascii="Times New Roman" w:hAnsi="Times New Roman" w:eastAsia="宋体" w:cs="Times New Roman"/>
                      <w:color w:val="auto"/>
                      <w:sz w:val="21"/>
                      <w:szCs w:val="21"/>
                      <w:highlight w:val="none"/>
                      <w:u w:val="none"/>
                      <w:lang w:val="en-US" w:eastAsia="zh-CN"/>
                    </w:rPr>
                    <w:t>64</w:t>
                  </w:r>
                  <w:r>
                    <w:rPr>
                      <w:rFonts w:ascii="Times New Roman" w:hAnsi="Times New Roman" w:eastAsia="宋体" w:cs="Times New Roman"/>
                      <w:color w:val="auto"/>
                      <w:sz w:val="21"/>
                      <w:szCs w:val="21"/>
                      <w:highlight w:val="none"/>
                      <w:u w:val="none"/>
                    </w:rPr>
                    <w:t>"</w:t>
                  </w:r>
                </w:p>
              </w:tc>
              <w:tc>
                <w:tcPr>
                  <w:tcW w:w="286" w:type="pct"/>
                  <w:noWrap w:val="0"/>
                  <w:vAlign w:val="center"/>
                </w:tcPr>
                <w:p w14:paraId="0906D7EA">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385346E4">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1167" w:type="pct"/>
                  <w:noWrap w:val="0"/>
                  <w:vAlign w:val="center"/>
                </w:tcPr>
                <w:p w14:paraId="2144AA5E">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38" w:type="pct"/>
                  <w:noWrap w:val="0"/>
                  <w:vAlign w:val="center"/>
                </w:tcPr>
                <w:p w14:paraId="46F933C1">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07027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276B77BB">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9</w:t>
                  </w:r>
                </w:p>
              </w:tc>
              <w:tc>
                <w:tcPr>
                  <w:tcW w:w="414" w:type="pct"/>
                  <w:noWrap w:val="0"/>
                  <w:vAlign w:val="center"/>
                </w:tcPr>
                <w:p w14:paraId="73FCC75E">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24#</w:t>
                  </w:r>
                </w:p>
              </w:tc>
              <w:tc>
                <w:tcPr>
                  <w:tcW w:w="1080" w:type="pct"/>
                  <w:noWrap w:val="0"/>
                  <w:vAlign w:val="center"/>
                </w:tcPr>
                <w:p w14:paraId="4E9C5974">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rPr>
                    <w:t>108°35′</w:t>
                  </w:r>
                  <w:r>
                    <w:rPr>
                      <w:rFonts w:hint="eastAsia" w:ascii="Times New Roman" w:hAnsi="Times New Roman" w:eastAsia="宋体" w:cs="Times New Roman"/>
                      <w:color w:val="auto"/>
                      <w:sz w:val="21"/>
                      <w:szCs w:val="21"/>
                      <w:highlight w:val="none"/>
                      <w:u w:val="none"/>
                      <w:lang w:val="en-US" w:eastAsia="zh-CN"/>
                    </w:rPr>
                    <w:t>22.04</w:t>
                  </w:r>
                </w:p>
              </w:tc>
              <w:tc>
                <w:tcPr>
                  <w:tcW w:w="1004" w:type="pct"/>
                  <w:noWrap w:val="0"/>
                  <w:vAlign w:val="center"/>
                </w:tcPr>
                <w:p w14:paraId="761A0BE7">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21°36′4</w:t>
                  </w:r>
                  <w:r>
                    <w:rPr>
                      <w:rFonts w:hint="eastAsia" w:ascii="Times New Roman" w:hAnsi="Times New Roman" w:eastAsia="宋体" w:cs="Times New Roman"/>
                      <w:color w:val="auto"/>
                      <w:sz w:val="21"/>
                      <w:szCs w:val="21"/>
                      <w:highlight w:val="none"/>
                      <w:u w:val="none"/>
                      <w:lang w:val="en-US" w:eastAsia="zh-CN"/>
                    </w:rPr>
                    <w:t>0</w:t>
                  </w:r>
                  <w:r>
                    <w:rPr>
                      <w:rFonts w:ascii="Times New Roman" w:hAnsi="Times New Roman" w:eastAsia="宋体" w:cs="Times New Roman"/>
                      <w:color w:val="auto"/>
                      <w:sz w:val="21"/>
                      <w:szCs w:val="21"/>
                      <w:highlight w:val="none"/>
                      <w:u w:val="none"/>
                    </w:rPr>
                    <w:t>.9</w:t>
                  </w:r>
                  <w:r>
                    <w:rPr>
                      <w:rFonts w:hint="eastAsia" w:ascii="Times New Roman" w:hAnsi="Times New Roman" w:eastAsia="宋体" w:cs="Times New Roman"/>
                      <w:color w:val="auto"/>
                      <w:sz w:val="21"/>
                      <w:szCs w:val="21"/>
                      <w:highlight w:val="none"/>
                      <w:u w:val="none"/>
                      <w:lang w:val="en-US" w:eastAsia="zh-CN"/>
                    </w:rPr>
                    <w:t>0</w:t>
                  </w:r>
                  <w:r>
                    <w:rPr>
                      <w:rFonts w:ascii="Times New Roman" w:hAnsi="Times New Roman" w:eastAsia="宋体" w:cs="Times New Roman"/>
                      <w:color w:val="auto"/>
                      <w:sz w:val="21"/>
                      <w:szCs w:val="21"/>
                      <w:highlight w:val="none"/>
                      <w:u w:val="none"/>
                    </w:rPr>
                    <w:t>"</w:t>
                  </w:r>
                </w:p>
              </w:tc>
              <w:tc>
                <w:tcPr>
                  <w:tcW w:w="286" w:type="pct"/>
                  <w:noWrap w:val="0"/>
                  <w:vAlign w:val="center"/>
                </w:tcPr>
                <w:p w14:paraId="010E37B9">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40E03C32">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4E1275D4">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138D51FB">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44DD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2D2E1D0B">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w:t>
                  </w:r>
                </w:p>
              </w:tc>
              <w:tc>
                <w:tcPr>
                  <w:tcW w:w="414" w:type="pct"/>
                  <w:noWrap w:val="0"/>
                  <w:vAlign w:val="center"/>
                </w:tcPr>
                <w:p w14:paraId="241E7BA3">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26#</w:t>
                  </w:r>
                </w:p>
              </w:tc>
              <w:tc>
                <w:tcPr>
                  <w:tcW w:w="1080" w:type="pct"/>
                  <w:noWrap w:val="0"/>
                  <w:vAlign w:val="center"/>
                </w:tcPr>
                <w:p w14:paraId="59578319">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108°39′</w:t>
                  </w:r>
                  <w:r>
                    <w:rPr>
                      <w:rFonts w:hint="eastAsia" w:ascii="Times New Roman" w:hAnsi="Times New Roman" w:eastAsia="宋体" w:cs="Times New Roman"/>
                      <w:color w:val="auto"/>
                      <w:sz w:val="21"/>
                      <w:szCs w:val="21"/>
                      <w:highlight w:val="none"/>
                      <w:u w:val="none"/>
                      <w:lang w:val="en-US" w:eastAsia="zh-CN"/>
                    </w:rPr>
                    <w:t>4.81</w:t>
                  </w:r>
                  <w:r>
                    <w:rPr>
                      <w:rFonts w:ascii="Times New Roman" w:hAnsi="Times New Roman" w:eastAsia="宋体" w:cs="Times New Roman"/>
                      <w:color w:val="auto"/>
                      <w:sz w:val="21"/>
                      <w:szCs w:val="21"/>
                      <w:highlight w:val="none"/>
                      <w:u w:val="none"/>
                    </w:rPr>
                    <w:t>"</w:t>
                  </w:r>
                </w:p>
              </w:tc>
              <w:tc>
                <w:tcPr>
                  <w:tcW w:w="1004" w:type="pct"/>
                  <w:noWrap w:val="0"/>
                  <w:vAlign w:val="center"/>
                </w:tcPr>
                <w:p w14:paraId="1142A1A5">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21°4</w:t>
                  </w:r>
                  <w:r>
                    <w:rPr>
                      <w:rFonts w:hint="eastAsia" w:ascii="Times New Roman" w:hAnsi="Times New Roman" w:eastAsia="宋体" w:cs="Times New Roman"/>
                      <w:color w:val="auto"/>
                      <w:sz w:val="21"/>
                      <w:szCs w:val="21"/>
                      <w:highlight w:val="none"/>
                      <w:u w:val="none"/>
                      <w:lang w:val="en-US" w:eastAsia="zh-CN"/>
                    </w:rPr>
                    <w:t>7</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58.05</w:t>
                  </w:r>
                  <w:r>
                    <w:rPr>
                      <w:rFonts w:ascii="Times New Roman" w:hAnsi="Times New Roman" w:eastAsia="宋体" w:cs="Times New Roman"/>
                      <w:color w:val="auto"/>
                      <w:sz w:val="21"/>
                      <w:szCs w:val="21"/>
                      <w:highlight w:val="none"/>
                      <w:u w:val="none"/>
                    </w:rPr>
                    <w:t>"</w:t>
                  </w:r>
                </w:p>
              </w:tc>
              <w:tc>
                <w:tcPr>
                  <w:tcW w:w="286" w:type="pct"/>
                  <w:noWrap w:val="0"/>
                  <w:vAlign w:val="center"/>
                </w:tcPr>
                <w:p w14:paraId="011F6F65">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29C7A6A1">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1167" w:type="pct"/>
                  <w:noWrap w:val="0"/>
                  <w:vAlign w:val="center"/>
                </w:tcPr>
                <w:p w14:paraId="00672505">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38" w:type="pct"/>
                  <w:noWrap w:val="0"/>
                  <w:vAlign w:val="center"/>
                </w:tcPr>
                <w:p w14:paraId="6D4F7687">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166D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71B621C6">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11</w:t>
                  </w:r>
                </w:p>
              </w:tc>
              <w:tc>
                <w:tcPr>
                  <w:tcW w:w="414" w:type="pct"/>
                  <w:noWrap w:val="0"/>
                  <w:vAlign w:val="center"/>
                </w:tcPr>
                <w:p w14:paraId="2BC6C4D6">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27#</w:t>
                  </w:r>
                </w:p>
              </w:tc>
              <w:tc>
                <w:tcPr>
                  <w:tcW w:w="1080" w:type="pct"/>
                  <w:noWrap w:val="0"/>
                  <w:vAlign w:val="center"/>
                </w:tcPr>
                <w:p w14:paraId="73DBB86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108°39′13.</w:t>
                  </w:r>
                  <w:r>
                    <w:rPr>
                      <w:rFonts w:hint="eastAsia" w:ascii="Times New Roman" w:hAnsi="Times New Roman" w:eastAsia="宋体" w:cs="Times New Roman"/>
                      <w:color w:val="auto"/>
                      <w:sz w:val="21"/>
                      <w:szCs w:val="21"/>
                      <w:highlight w:val="none"/>
                      <w:u w:val="none"/>
                      <w:lang w:val="en-US" w:eastAsia="zh-CN"/>
                    </w:rPr>
                    <w:t>28</w:t>
                  </w:r>
                  <w:r>
                    <w:rPr>
                      <w:rFonts w:ascii="Times New Roman" w:hAnsi="Times New Roman" w:eastAsia="宋体" w:cs="Times New Roman"/>
                      <w:color w:val="auto"/>
                      <w:sz w:val="21"/>
                      <w:szCs w:val="21"/>
                      <w:highlight w:val="none"/>
                      <w:u w:val="none"/>
                    </w:rPr>
                    <w:t>"</w:t>
                  </w:r>
                </w:p>
              </w:tc>
              <w:tc>
                <w:tcPr>
                  <w:tcW w:w="1004" w:type="pct"/>
                  <w:noWrap w:val="0"/>
                  <w:vAlign w:val="center"/>
                </w:tcPr>
                <w:p w14:paraId="1BA6464E">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21°46′39.</w:t>
                  </w:r>
                  <w:r>
                    <w:rPr>
                      <w:rFonts w:hint="eastAsia" w:ascii="Times New Roman" w:hAnsi="Times New Roman" w:eastAsia="宋体" w:cs="Times New Roman"/>
                      <w:color w:val="auto"/>
                      <w:sz w:val="21"/>
                      <w:szCs w:val="21"/>
                      <w:highlight w:val="none"/>
                      <w:u w:val="none"/>
                      <w:lang w:val="en-US" w:eastAsia="zh-CN"/>
                    </w:rPr>
                    <w:t>42</w:t>
                  </w:r>
                  <w:r>
                    <w:rPr>
                      <w:rFonts w:ascii="Times New Roman" w:hAnsi="Times New Roman" w:eastAsia="宋体" w:cs="Times New Roman"/>
                      <w:color w:val="auto"/>
                      <w:sz w:val="21"/>
                      <w:szCs w:val="21"/>
                      <w:highlight w:val="none"/>
                      <w:u w:val="none"/>
                    </w:rPr>
                    <w:t>"</w:t>
                  </w:r>
                </w:p>
              </w:tc>
              <w:tc>
                <w:tcPr>
                  <w:tcW w:w="286" w:type="pct"/>
                  <w:noWrap w:val="0"/>
                  <w:vAlign w:val="center"/>
                </w:tcPr>
                <w:p w14:paraId="142D343E">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4425249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1167" w:type="pct"/>
                  <w:noWrap w:val="0"/>
                  <w:vAlign w:val="center"/>
                </w:tcPr>
                <w:p w14:paraId="19FDBA8D">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38" w:type="pct"/>
                  <w:noWrap w:val="0"/>
                  <w:vAlign w:val="center"/>
                </w:tcPr>
                <w:p w14:paraId="30200F45">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49A9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4BE6B211">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12</w:t>
                  </w:r>
                </w:p>
              </w:tc>
              <w:tc>
                <w:tcPr>
                  <w:tcW w:w="414" w:type="pct"/>
                  <w:noWrap w:val="0"/>
                  <w:vAlign w:val="center"/>
                </w:tcPr>
                <w:p w14:paraId="7A9879A7">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28#</w:t>
                  </w:r>
                </w:p>
              </w:tc>
              <w:tc>
                <w:tcPr>
                  <w:tcW w:w="1080" w:type="pct"/>
                  <w:noWrap w:val="0"/>
                  <w:vAlign w:val="center"/>
                </w:tcPr>
                <w:p w14:paraId="6B9920EB">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108°38′4</w:t>
                  </w:r>
                  <w:r>
                    <w:rPr>
                      <w:rFonts w:hint="eastAsia" w:ascii="Times New Roman" w:hAnsi="Times New Roman" w:eastAsia="宋体" w:cs="Times New Roman"/>
                      <w:color w:val="auto"/>
                      <w:sz w:val="21"/>
                      <w:szCs w:val="21"/>
                      <w:highlight w:val="none"/>
                      <w:u w:val="none"/>
                      <w:lang w:val="en-US" w:eastAsia="zh-CN"/>
                    </w:rPr>
                    <w:t>4.38</w:t>
                  </w:r>
                  <w:r>
                    <w:rPr>
                      <w:rFonts w:ascii="Times New Roman" w:hAnsi="Times New Roman" w:eastAsia="宋体" w:cs="Times New Roman"/>
                      <w:color w:val="auto"/>
                      <w:sz w:val="21"/>
                      <w:szCs w:val="21"/>
                      <w:highlight w:val="none"/>
                      <w:u w:val="none"/>
                    </w:rPr>
                    <w:t>"</w:t>
                  </w:r>
                </w:p>
              </w:tc>
              <w:tc>
                <w:tcPr>
                  <w:tcW w:w="1004" w:type="pct"/>
                  <w:noWrap w:val="0"/>
                  <w:vAlign w:val="center"/>
                </w:tcPr>
                <w:p w14:paraId="6A515F5D">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21°45′5</w:t>
                  </w:r>
                  <w:r>
                    <w:rPr>
                      <w:rFonts w:hint="eastAsia" w:ascii="Times New Roman" w:hAnsi="Times New Roman" w:eastAsia="宋体" w:cs="Times New Roman"/>
                      <w:color w:val="auto"/>
                      <w:sz w:val="21"/>
                      <w:szCs w:val="21"/>
                      <w:highlight w:val="none"/>
                      <w:u w:val="none"/>
                      <w:lang w:val="en-US" w:eastAsia="zh-CN"/>
                    </w:rPr>
                    <w:t>4.63</w:t>
                  </w:r>
                  <w:r>
                    <w:rPr>
                      <w:rFonts w:ascii="Times New Roman" w:hAnsi="Times New Roman" w:eastAsia="宋体" w:cs="Times New Roman"/>
                      <w:color w:val="auto"/>
                      <w:sz w:val="21"/>
                      <w:szCs w:val="21"/>
                      <w:highlight w:val="none"/>
                      <w:u w:val="none"/>
                    </w:rPr>
                    <w:t>"</w:t>
                  </w:r>
                </w:p>
              </w:tc>
              <w:tc>
                <w:tcPr>
                  <w:tcW w:w="286" w:type="pct"/>
                  <w:noWrap w:val="0"/>
                  <w:vAlign w:val="center"/>
                </w:tcPr>
                <w:p w14:paraId="772F2C26">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173D00B0">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1167" w:type="pct"/>
                  <w:noWrap w:val="0"/>
                  <w:vAlign w:val="center"/>
                </w:tcPr>
                <w:p w14:paraId="7D0684AF">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38" w:type="pct"/>
                  <w:noWrap w:val="0"/>
                  <w:vAlign w:val="center"/>
                </w:tcPr>
                <w:p w14:paraId="01C567C2">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0993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4F43AA82">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13</w:t>
                  </w:r>
                </w:p>
              </w:tc>
              <w:tc>
                <w:tcPr>
                  <w:tcW w:w="414" w:type="pct"/>
                  <w:noWrap w:val="0"/>
                  <w:vAlign w:val="center"/>
                </w:tcPr>
                <w:p w14:paraId="56BF9050">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29#</w:t>
                  </w:r>
                </w:p>
              </w:tc>
              <w:tc>
                <w:tcPr>
                  <w:tcW w:w="1080" w:type="pct"/>
                  <w:noWrap w:val="0"/>
                  <w:vAlign w:val="center"/>
                </w:tcPr>
                <w:p w14:paraId="36E7912E">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w:t>
                  </w:r>
                  <w:r>
                    <w:rPr>
                      <w:rFonts w:hint="eastAsia" w:ascii="Times New Roman" w:hAnsi="Times New Roman" w:eastAsia="宋体" w:cs="Times New Roman"/>
                      <w:color w:val="auto"/>
                      <w:sz w:val="21"/>
                      <w:szCs w:val="21"/>
                      <w:highlight w:val="none"/>
                      <w:u w:val="none"/>
                      <w:lang w:val="en-US" w:eastAsia="zh-CN"/>
                    </w:rPr>
                    <w:t>50</w:t>
                  </w:r>
                  <w:r>
                    <w:rPr>
                      <w:rFonts w:ascii="Times New Roman" w:hAnsi="Times New Roman" w:eastAsia="宋体" w:cs="Times New Roman"/>
                      <w:color w:val="auto"/>
                      <w:sz w:val="21"/>
                      <w:szCs w:val="21"/>
                      <w:highlight w:val="none"/>
                      <w:u w:val="none"/>
                    </w:rPr>
                    <w:t>′2</w:t>
                  </w:r>
                  <w:r>
                    <w:rPr>
                      <w:rFonts w:hint="eastAsia" w:ascii="Times New Roman" w:hAnsi="Times New Roman" w:eastAsia="宋体" w:cs="Times New Roman"/>
                      <w:color w:val="auto"/>
                      <w:sz w:val="21"/>
                      <w:szCs w:val="21"/>
                      <w:highlight w:val="none"/>
                      <w:u w:val="none"/>
                      <w:lang w:val="en-US" w:eastAsia="zh-CN"/>
                    </w:rPr>
                    <w:t>3.84</w:t>
                  </w:r>
                  <w:r>
                    <w:rPr>
                      <w:rFonts w:ascii="Times New Roman" w:hAnsi="Times New Roman" w:eastAsia="宋体" w:cs="Times New Roman"/>
                      <w:color w:val="auto"/>
                      <w:sz w:val="21"/>
                      <w:szCs w:val="21"/>
                      <w:highlight w:val="none"/>
                      <w:u w:val="none"/>
                    </w:rPr>
                    <w:t>"</w:t>
                  </w:r>
                </w:p>
              </w:tc>
              <w:tc>
                <w:tcPr>
                  <w:tcW w:w="1004" w:type="pct"/>
                  <w:noWrap w:val="0"/>
                  <w:vAlign w:val="center"/>
                </w:tcPr>
                <w:p w14:paraId="71EF66E2">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21°43′3</w:t>
                  </w:r>
                  <w:r>
                    <w:rPr>
                      <w:rFonts w:hint="eastAsia" w:ascii="Times New Roman" w:hAnsi="Times New Roman" w:eastAsia="宋体" w:cs="Times New Roman"/>
                      <w:color w:val="auto"/>
                      <w:sz w:val="21"/>
                      <w:szCs w:val="21"/>
                      <w:highlight w:val="none"/>
                      <w:u w:val="none"/>
                      <w:lang w:val="en-US" w:eastAsia="zh-CN"/>
                    </w:rPr>
                    <w:t>2.34</w:t>
                  </w:r>
                  <w:r>
                    <w:rPr>
                      <w:rFonts w:ascii="Times New Roman" w:hAnsi="Times New Roman" w:eastAsia="宋体" w:cs="Times New Roman"/>
                      <w:color w:val="auto"/>
                      <w:sz w:val="21"/>
                      <w:szCs w:val="21"/>
                      <w:highlight w:val="none"/>
                      <w:u w:val="none"/>
                    </w:rPr>
                    <w:t>"</w:t>
                  </w:r>
                </w:p>
              </w:tc>
              <w:tc>
                <w:tcPr>
                  <w:tcW w:w="286" w:type="pct"/>
                  <w:noWrap w:val="0"/>
                  <w:vAlign w:val="center"/>
                </w:tcPr>
                <w:p w14:paraId="12725455">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05A666A5">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632786A8">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270234F8">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35EC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6A9B58AD">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14</w:t>
                  </w:r>
                </w:p>
              </w:tc>
              <w:tc>
                <w:tcPr>
                  <w:tcW w:w="414" w:type="pct"/>
                  <w:noWrap w:val="0"/>
                  <w:vAlign w:val="center"/>
                </w:tcPr>
                <w:p w14:paraId="56044AED">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30#</w:t>
                  </w:r>
                </w:p>
              </w:tc>
              <w:tc>
                <w:tcPr>
                  <w:tcW w:w="1080" w:type="pct"/>
                  <w:noWrap w:val="0"/>
                  <w:vAlign w:val="center"/>
                </w:tcPr>
                <w:p w14:paraId="21342A40">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108°37′51.</w:t>
                  </w:r>
                  <w:r>
                    <w:rPr>
                      <w:rFonts w:hint="eastAsia" w:ascii="Times New Roman" w:hAnsi="Times New Roman" w:eastAsia="宋体" w:cs="Times New Roman"/>
                      <w:color w:val="auto"/>
                      <w:sz w:val="21"/>
                      <w:szCs w:val="21"/>
                      <w:highlight w:val="none"/>
                      <w:u w:val="none"/>
                      <w:lang w:val="en-US" w:eastAsia="zh-CN"/>
                    </w:rPr>
                    <w:t>91</w:t>
                  </w:r>
                  <w:r>
                    <w:rPr>
                      <w:rFonts w:ascii="Times New Roman" w:hAnsi="Times New Roman" w:eastAsia="宋体" w:cs="Times New Roman"/>
                      <w:color w:val="auto"/>
                      <w:sz w:val="21"/>
                      <w:szCs w:val="21"/>
                      <w:highlight w:val="none"/>
                      <w:u w:val="none"/>
                    </w:rPr>
                    <w:t>"</w:t>
                  </w:r>
                </w:p>
              </w:tc>
              <w:tc>
                <w:tcPr>
                  <w:tcW w:w="1004" w:type="pct"/>
                  <w:noWrap w:val="0"/>
                  <w:vAlign w:val="center"/>
                </w:tcPr>
                <w:p w14:paraId="3F40EDA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21°41′3</w:t>
                  </w:r>
                  <w:r>
                    <w:rPr>
                      <w:rFonts w:hint="eastAsia" w:ascii="Times New Roman" w:hAnsi="Times New Roman" w:eastAsia="宋体" w:cs="Times New Roman"/>
                      <w:color w:val="auto"/>
                      <w:sz w:val="21"/>
                      <w:szCs w:val="21"/>
                      <w:highlight w:val="none"/>
                      <w:u w:val="none"/>
                      <w:lang w:val="en-US" w:eastAsia="zh-CN"/>
                    </w:rPr>
                    <w:t>8.94</w:t>
                  </w:r>
                  <w:r>
                    <w:rPr>
                      <w:rFonts w:ascii="Times New Roman" w:hAnsi="Times New Roman" w:eastAsia="宋体" w:cs="Times New Roman"/>
                      <w:color w:val="auto"/>
                      <w:sz w:val="21"/>
                      <w:szCs w:val="21"/>
                      <w:highlight w:val="none"/>
                      <w:u w:val="none"/>
                    </w:rPr>
                    <w:t>"</w:t>
                  </w:r>
                </w:p>
              </w:tc>
              <w:tc>
                <w:tcPr>
                  <w:tcW w:w="286" w:type="pct"/>
                  <w:noWrap w:val="0"/>
                  <w:vAlign w:val="center"/>
                </w:tcPr>
                <w:p w14:paraId="3C0522E2">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6FD9F8F2">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1167" w:type="pct"/>
                  <w:noWrap w:val="0"/>
                  <w:vAlign w:val="center"/>
                </w:tcPr>
                <w:p w14:paraId="1AB00920">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38" w:type="pct"/>
                  <w:noWrap w:val="0"/>
                  <w:vAlign w:val="center"/>
                </w:tcPr>
                <w:p w14:paraId="7E28107D">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349C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42210B1F">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15</w:t>
                  </w:r>
                </w:p>
              </w:tc>
              <w:tc>
                <w:tcPr>
                  <w:tcW w:w="414" w:type="pct"/>
                  <w:noWrap w:val="0"/>
                  <w:vAlign w:val="center"/>
                </w:tcPr>
                <w:p w14:paraId="71E747DE">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31#</w:t>
                  </w:r>
                </w:p>
              </w:tc>
              <w:tc>
                <w:tcPr>
                  <w:tcW w:w="1080" w:type="pct"/>
                  <w:noWrap w:val="0"/>
                  <w:vAlign w:val="center"/>
                </w:tcPr>
                <w:p w14:paraId="3057A6F0">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108°37′11.</w:t>
                  </w:r>
                  <w:r>
                    <w:rPr>
                      <w:rFonts w:hint="eastAsia" w:ascii="Times New Roman" w:hAnsi="Times New Roman" w:eastAsia="宋体" w:cs="Times New Roman"/>
                      <w:color w:val="auto"/>
                      <w:sz w:val="21"/>
                      <w:szCs w:val="21"/>
                      <w:highlight w:val="none"/>
                      <w:u w:val="none"/>
                      <w:lang w:val="en-US" w:eastAsia="zh-CN"/>
                    </w:rPr>
                    <w:t>41</w:t>
                  </w:r>
                  <w:r>
                    <w:rPr>
                      <w:rFonts w:ascii="Times New Roman" w:hAnsi="Times New Roman" w:eastAsia="宋体" w:cs="Times New Roman"/>
                      <w:color w:val="auto"/>
                      <w:sz w:val="21"/>
                      <w:szCs w:val="21"/>
                      <w:highlight w:val="none"/>
                      <w:u w:val="none"/>
                    </w:rPr>
                    <w:t>"</w:t>
                  </w:r>
                </w:p>
              </w:tc>
              <w:tc>
                <w:tcPr>
                  <w:tcW w:w="1004" w:type="pct"/>
                  <w:noWrap w:val="0"/>
                  <w:vAlign w:val="center"/>
                </w:tcPr>
                <w:p w14:paraId="7FB7BD30">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21°39′</w:t>
                  </w:r>
                  <w:r>
                    <w:rPr>
                      <w:rFonts w:hint="eastAsia" w:ascii="Times New Roman" w:hAnsi="Times New Roman" w:eastAsia="宋体" w:cs="Times New Roman"/>
                      <w:color w:val="auto"/>
                      <w:sz w:val="21"/>
                      <w:szCs w:val="21"/>
                      <w:highlight w:val="none"/>
                      <w:u w:val="none"/>
                      <w:lang w:val="en-US" w:eastAsia="zh-CN"/>
                    </w:rPr>
                    <w:t>7.82</w:t>
                  </w:r>
                  <w:r>
                    <w:rPr>
                      <w:rFonts w:ascii="Times New Roman" w:hAnsi="Times New Roman" w:eastAsia="宋体" w:cs="Times New Roman"/>
                      <w:color w:val="auto"/>
                      <w:sz w:val="21"/>
                      <w:szCs w:val="21"/>
                      <w:highlight w:val="none"/>
                      <w:u w:val="none"/>
                    </w:rPr>
                    <w:t>"</w:t>
                  </w:r>
                </w:p>
              </w:tc>
              <w:tc>
                <w:tcPr>
                  <w:tcW w:w="286" w:type="pct"/>
                  <w:noWrap w:val="0"/>
                  <w:vAlign w:val="center"/>
                </w:tcPr>
                <w:p w14:paraId="44DCA4A2">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23349915">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1167" w:type="pct"/>
                  <w:noWrap w:val="0"/>
                  <w:vAlign w:val="center"/>
                </w:tcPr>
                <w:p w14:paraId="182A27F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38" w:type="pct"/>
                  <w:noWrap w:val="0"/>
                  <w:vAlign w:val="center"/>
                </w:tcPr>
                <w:p w14:paraId="5942BCF7">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724B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002C8F8D">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16</w:t>
                  </w:r>
                </w:p>
              </w:tc>
              <w:tc>
                <w:tcPr>
                  <w:tcW w:w="414" w:type="pct"/>
                  <w:noWrap w:val="0"/>
                  <w:vAlign w:val="center"/>
                </w:tcPr>
                <w:p w14:paraId="674706C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32#</w:t>
                  </w:r>
                </w:p>
              </w:tc>
              <w:tc>
                <w:tcPr>
                  <w:tcW w:w="1080" w:type="pct"/>
                  <w:noWrap w:val="0"/>
                  <w:vAlign w:val="center"/>
                </w:tcPr>
                <w:p w14:paraId="5F1B7704">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108°37′</w:t>
                  </w:r>
                  <w:r>
                    <w:rPr>
                      <w:rFonts w:hint="eastAsia" w:ascii="Times New Roman" w:hAnsi="Times New Roman" w:eastAsia="宋体" w:cs="Times New Roman"/>
                      <w:color w:val="auto"/>
                      <w:sz w:val="21"/>
                      <w:szCs w:val="21"/>
                      <w:highlight w:val="none"/>
                      <w:u w:val="none"/>
                      <w:lang w:val="en-US" w:eastAsia="zh-CN"/>
                    </w:rPr>
                    <w:t>5.37</w:t>
                  </w:r>
                  <w:r>
                    <w:rPr>
                      <w:rFonts w:ascii="Times New Roman" w:hAnsi="Times New Roman" w:eastAsia="宋体" w:cs="Times New Roman"/>
                      <w:color w:val="auto"/>
                      <w:sz w:val="21"/>
                      <w:szCs w:val="21"/>
                      <w:highlight w:val="none"/>
                      <w:u w:val="none"/>
                    </w:rPr>
                    <w:t>"</w:t>
                  </w:r>
                </w:p>
              </w:tc>
              <w:tc>
                <w:tcPr>
                  <w:tcW w:w="1004" w:type="pct"/>
                  <w:noWrap w:val="0"/>
                  <w:vAlign w:val="center"/>
                </w:tcPr>
                <w:p w14:paraId="29D68E32">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21°36′2</w:t>
                  </w:r>
                  <w:r>
                    <w:rPr>
                      <w:rFonts w:hint="eastAsia" w:ascii="Times New Roman" w:hAnsi="Times New Roman" w:eastAsia="宋体" w:cs="Times New Roman"/>
                      <w:color w:val="auto"/>
                      <w:sz w:val="21"/>
                      <w:szCs w:val="21"/>
                      <w:highlight w:val="none"/>
                      <w:u w:val="none"/>
                      <w:lang w:val="en-US" w:eastAsia="zh-CN"/>
                    </w:rPr>
                    <w:t>2.74</w:t>
                  </w:r>
                  <w:r>
                    <w:rPr>
                      <w:rFonts w:ascii="Times New Roman" w:hAnsi="Times New Roman" w:eastAsia="宋体" w:cs="Times New Roman"/>
                      <w:color w:val="auto"/>
                      <w:sz w:val="21"/>
                      <w:szCs w:val="21"/>
                      <w:highlight w:val="none"/>
                      <w:u w:val="none"/>
                    </w:rPr>
                    <w:t>"</w:t>
                  </w:r>
                </w:p>
              </w:tc>
              <w:tc>
                <w:tcPr>
                  <w:tcW w:w="286" w:type="pct"/>
                  <w:noWrap w:val="0"/>
                  <w:vAlign w:val="center"/>
                </w:tcPr>
                <w:p w14:paraId="5F8844D9">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7D963FEB">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5C9579D2">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2623F41C">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0441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01226B2E">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17</w:t>
                  </w:r>
                </w:p>
              </w:tc>
              <w:tc>
                <w:tcPr>
                  <w:tcW w:w="414" w:type="pct"/>
                  <w:noWrap w:val="0"/>
                  <w:vAlign w:val="center"/>
                </w:tcPr>
                <w:p w14:paraId="04DABB60">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35#</w:t>
                  </w:r>
                </w:p>
              </w:tc>
              <w:tc>
                <w:tcPr>
                  <w:tcW w:w="1080" w:type="pct"/>
                  <w:noWrap w:val="0"/>
                  <w:vAlign w:val="center"/>
                </w:tcPr>
                <w:p w14:paraId="1D990376">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108°39′1</w:t>
                  </w:r>
                  <w:r>
                    <w:rPr>
                      <w:rFonts w:hint="eastAsia" w:ascii="Times New Roman" w:hAnsi="Times New Roman" w:eastAsia="宋体" w:cs="Times New Roman"/>
                      <w:color w:val="auto"/>
                      <w:sz w:val="21"/>
                      <w:szCs w:val="21"/>
                      <w:highlight w:val="none"/>
                      <w:u w:val="none"/>
                      <w:lang w:val="en-US" w:eastAsia="zh-CN"/>
                    </w:rPr>
                    <w:t>9.10</w:t>
                  </w:r>
                  <w:r>
                    <w:rPr>
                      <w:rFonts w:ascii="Times New Roman" w:hAnsi="Times New Roman" w:eastAsia="宋体" w:cs="Times New Roman"/>
                      <w:color w:val="auto"/>
                      <w:sz w:val="21"/>
                      <w:szCs w:val="21"/>
                      <w:highlight w:val="none"/>
                      <w:u w:val="none"/>
                    </w:rPr>
                    <w:t>"</w:t>
                  </w:r>
                </w:p>
              </w:tc>
              <w:tc>
                <w:tcPr>
                  <w:tcW w:w="1004" w:type="pct"/>
                  <w:noWrap w:val="0"/>
                  <w:vAlign w:val="center"/>
                </w:tcPr>
                <w:p w14:paraId="72FC9E0A">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21°39′16.</w:t>
                  </w:r>
                  <w:r>
                    <w:rPr>
                      <w:rFonts w:hint="eastAsia" w:ascii="Times New Roman" w:hAnsi="Times New Roman" w:eastAsia="宋体" w:cs="Times New Roman"/>
                      <w:color w:val="auto"/>
                      <w:sz w:val="21"/>
                      <w:szCs w:val="21"/>
                      <w:highlight w:val="none"/>
                      <w:u w:val="none"/>
                      <w:lang w:val="en-US" w:eastAsia="zh-CN"/>
                    </w:rPr>
                    <w:t>09</w:t>
                  </w:r>
                  <w:r>
                    <w:rPr>
                      <w:rFonts w:ascii="Times New Roman" w:hAnsi="Times New Roman" w:eastAsia="宋体" w:cs="Times New Roman"/>
                      <w:color w:val="auto"/>
                      <w:sz w:val="21"/>
                      <w:szCs w:val="21"/>
                      <w:highlight w:val="none"/>
                      <w:u w:val="none"/>
                    </w:rPr>
                    <w:t>"</w:t>
                  </w:r>
                </w:p>
              </w:tc>
              <w:tc>
                <w:tcPr>
                  <w:tcW w:w="286" w:type="pct"/>
                  <w:noWrap w:val="0"/>
                  <w:vAlign w:val="center"/>
                </w:tcPr>
                <w:p w14:paraId="61D956EB">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24D6C70F">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1167" w:type="pct"/>
                  <w:noWrap w:val="0"/>
                  <w:vAlign w:val="center"/>
                </w:tcPr>
                <w:p w14:paraId="1EC1B883">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38" w:type="pct"/>
                  <w:noWrap w:val="0"/>
                  <w:vAlign w:val="center"/>
                </w:tcPr>
                <w:p w14:paraId="63E4C41C">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24B7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2F6AF7A6">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18</w:t>
                  </w:r>
                </w:p>
              </w:tc>
              <w:tc>
                <w:tcPr>
                  <w:tcW w:w="414" w:type="pct"/>
                  <w:noWrap w:val="0"/>
                  <w:vAlign w:val="center"/>
                </w:tcPr>
                <w:p w14:paraId="7AFFEED8">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36#</w:t>
                  </w:r>
                </w:p>
              </w:tc>
              <w:tc>
                <w:tcPr>
                  <w:tcW w:w="1080" w:type="pct"/>
                  <w:noWrap w:val="0"/>
                  <w:vAlign w:val="center"/>
                </w:tcPr>
                <w:p w14:paraId="4752B08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108°40′10.</w:t>
                  </w:r>
                  <w:r>
                    <w:rPr>
                      <w:rFonts w:hint="eastAsia" w:ascii="Times New Roman" w:hAnsi="Times New Roman" w:eastAsia="宋体" w:cs="Times New Roman"/>
                      <w:color w:val="auto"/>
                      <w:sz w:val="21"/>
                      <w:szCs w:val="21"/>
                      <w:highlight w:val="none"/>
                      <w:u w:val="none"/>
                      <w:lang w:val="en-US" w:eastAsia="zh-CN"/>
                    </w:rPr>
                    <w:t>97</w:t>
                  </w:r>
                  <w:r>
                    <w:rPr>
                      <w:rFonts w:ascii="Times New Roman" w:hAnsi="Times New Roman" w:eastAsia="宋体" w:cs="Times New Roman"/>
                      <w:color w:val="auto"/>
                      <w:sz w:val="21"/>
                      <w:szCs w:val="21"/>
                      <w:highlight w:val="none"/>
                      <w:u w:val="none"/>
                    </w:rPr>
                    <w:t>"</w:t>
                  </w:r>
                </w:p>
              </w:tc>
              <w:tc>
                <w:tcPr>
                  <w:tcW w:w="1004" w:type="pct"/>
                  <w:noWrap w:val="0"/>
                  <w:vAlign w:val="center"/>
                </w:tcPr>
                <w:p w14:paraId="0CB038B7">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21°36′25.</w:t>
                  </w:r>
                  <w:r>
                    <w:rPr>
                      <w:rFonts w:hint="eastAsia" w:ascii="Times New Roman" w:hAnsi="Times New Roman" w:eastAsia="宋体" w:cs="Times New Roman"/>
                      <w:color w:val="auto"/>
                      <w:sz w:val="21"/>
                      <w:szCs w:val="21"/>
                      <w:highlight w:val="none"/>
                      <w:u w:val="none"/>
                      <w:lang w:val="en-US" w:eastAsia="zh-CN"/>
                    </w:rPr>
                    <w:t>25</w:t>
                  </w:r>
                  <w:r>
                    <w:rPr>
                      <w:rFonts w:ascii="Times New Roman" w:hAnsi="Times New Roman" w:eastAsia="宋体" w:cs="Times New Roman"/>
                      <w:color w:val="auto"/>
                      <w:sz w:val="21"/>
                      <w:szCs w:val="21"/>
                      <w:highlight w:val="none"/>
                      <w:u w:val="none"/>
                    </w:rPr>
                    <w:t>"</w:t>
                  </w:r>
                </w:p>
              </w:tc>
              <w:tc>
                <w:tcPr>
                  <w:tcW w:w="286" w:type="pct"/>
                  <w:noWrap w:val="0"/>
                  <w:vAlign w:val="center"/>
                </w:tcPr>
                <w:p w14:paraId="5FDAEF02">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3028AB9D">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3AC5B97E">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14894EF8">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078E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1693FBF7">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19</w:t>
                  </w:r>
                </w:p>
              </w:tc>
              <w:tc>
                <w:tcPr>
                  <w:tcW w:w="414" w:type="pct"/>
                  <w:noWrap w:val="0"/>
                  <w:vAlign w:val="center"/>
                </w:tcPr>
                <w:p w14:paraId="7A18BD2B">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39#</w:t>
                  </w:r>
                </w:p>
              </w:tc>
              <w:tc>
                <w:tcPr>
                  <w:tcW w:w="1080" w:type="pct"/>
                  <w:noWrap w:val="0"/>
                  <w:vAlign w:val="center"/>
                </w:tcPr>
                <w:p w14:paraId="31712A26">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108°41′2</w:t>
                  </w:r>
                  <w:r>
                    <w:rPr>
                      <w:rFonts w:hint="eastAsia" w:ascii="Times New Roman" w:hAnsi="Times New Roman" w:eastAsia="宋体" w:cs="Times New Roman"/>
                      <w:color w:val="auto"/>
                      <w:sz w:val="21"/>
                      <w:szCs w:val="21"/>
                      <w:highlight w:val="none"/>
                      <w:u w:val="none"/>
                      <w:lang w:val="en-US" w:eastAsia="zh-CN"/>
                    </w:rPr>
                    <w:t>4.48</w:t>
                  </w:r>
                  <w:r>
                    <w:rPr>
                      <w:rFonts w:ascii="Times New Roman" w:hAnsi="Times New Roman" w:eastAsia="宋体" w:cs="Times New Roman"/>
                      <w:color w:val="auto"/>
                      <w:sz w:val="21"/>
                      <w:szCs w:val="21"/>
                      <w:highlight w:val="none"/>
                      <w:u w:val="none"/>
                    </w:rPr>
                    <w:t>"</w:t>
                  </w:r>
                </w:p>
              </w:tc>
              <w:tc>
                <w:tcPr>
                  <w:tcW w:w="1004" w:type="pct"/>
                  <w:noWrap w:val="0"/>
                  <w:vAlign w:val="center"/>
                </w:tcPr>
                <w:p w14:paraId="6890CEE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21°39′1</w:t>
                  </w:r>
                  <w:r>
                    <w:rPr>
                      <w:rFonts w:hint="eastAsia" w:ascii="Times New Roman" w:hAnsi="Times New Roman" w:eastAsia="宋体" w:cs="Times New Roman"/>
                      <w:color w:val="auto"/>
                      <w:sz w:val="21"/>
                      <w:szCs w:val="21"/>
                      <w:highlight w:val="none"/>
                      <w:u w:val="none"/>
                      <w:lang w:val="en-US" w:eastAsia="zh-CN"/>
                    </w:rPr>
                    <w:t>5.35</w:t>
                  </w:r>
                  <w:r>
                    <w:rPr>
                      <w:rFonts w:ascii="Times New Roman" w:hAnsi="Times New Roman" w:eastAsia="宋体" w:cs="Times New Roman"/>
                      <w:color w:val="auto"/>
                      <w:sz w:val="21"/>
                      <w:szCs w:val="21"/>
                      <w:highlight w:val="none"/>
                      <w:u w:val="none"/>
                    </w:rPr>
                    <w:t>"</w:t>
                  </w:r>
                </w:p>
              </w:tc>
              <w:tc>
                <w:tcPr>
                  <w:tcW w:w="286" w:type="pct"/>
                  <w:noWrap w:val="0"/>
                  <w:vAlign w:val="center"/>
                </w:tcPr>
                <w:p w14:paraId="6AAA5976">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16FCE8DA">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3397490E">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2D4FB832">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5443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14E43B31">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20</w:t>
                  </w:r>
                </w:p>
              </w:tc>
              <w:tc>
                <w:tcPr>
                  <w:tcW w:w="414" w:type="pct"/>
                  <w:noWrap w:val="0"/>
                  <w:vAlign w:val="center"/>
                </w:tcPr>
                <w:p w14:paraId="2A2CD21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40#</w:t>
                  </w:r>
                </w:p>
              </w:tc>
              <w:tc>
                <w:tcPr>
                  <w:tcW w:w="1080" w:type="pct"/>
                  <w:noWrap w:val="0"/>
                  <w:vAlign w:val="center"/>
                </w:tcPr>
                <w:p w14:paraId="02250F8F">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108°42′5</w:t>
                  </w:r>
                  <w:r>
                    <w:rPr>
                      <w:rFonts w:hint="eastAsia" w:ascii="Times New Roman" w:hAnsi="Times New Roman" w:eastAsia="宋体" w:cs="Times New Roman"/>
                      <w:color w:val="auto"/>
                      <w:sz w:val="21"/>
                      <w:szCs w:val="21"/>
                      <w:highlight w:val="none"/>
                      <w:u w:val="none"/>
                      <w:lang w:val="en-US" w:eastAsia="zh-CN"/>
                    </w:rPr>
                    <w:t>8</w:t>
                  </w:r>
                  <w:r>
                    <w:rPr>
                      <w:rFonts w:ascii="Times New Roman" w:hAnsi="Times New Roman" w:eastAsia="宋体" w:cs="Times New Roman"/>
                      <w:color w:val="auto"/>
                      <w:sz w:val="21"/>
                      <w:szCs w:val="21"/>
                      <w:highlight w:val="none"/>
                      <w:u w:val="none"/>
                    </w:rPr>
                    <w:t>.0</w:t>
                  </w:r>
                  <w:r>
                    <w:rPr>
                      <w:rFonts w:hint="eastAsia" w:ascii="Times New Roman" w:hAnsi="Times New Roman" w:eastAsia="宋体" w:cs="Times New Roman"/>
                      <w:color w:val="auto"/>
                      <w:sz w:val="21"/>
                      <w:szCs w:val="21"/>
                      <w:highlight w:val="none"/>
                      <w:u w:val="none"/>
                      <w:lang w:val="en-US" w:eastAsia="zh-CN"/>
                    </w:rPr>
                    <w:t>9</w:t>
                  </w:r>
                  <w:r>
                    <w:rPr>
                      <w:rFonts w:ascii="Times New Roman" w:hAnsi="Times New Roman" w:eastAsia="宋体" w:cs="Times New Roman"/>
                      <w:color w:val="auto"/>
                      <w:sz w:val="21"/>
                      <w:szCs w:val="21"/>
                      <w:highlight w:val="none"/>
                      <w:u w:val="none"/>
                    </w:rPr>
                    <w:t>"</w:t>
                  </w:r>
                </w:p>
              </w:tc>
              <w:tc>
                <w:tcPr>
                  <w:tcW w:w="1004" w:type="pct"/>
                  <w:noWrap w:val="0"/>
                  <w:vAlign w:val="center"/>
                </w:tcPr>
                <w:p w14:paraId="36640135">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21°36′3</w:t>
                  </w:r>
                  <w:r>
                    <w:rPr>
                      <w:rFonts w:hint="eastAsia" w:ascii="Times New Roman" w:hAnsi="Times New Roman" w:eastAsia="宋体" w:cs="Times New Roman"/>
                      <w:color w:val="auto"/>
                      <w:sz w:val="21"/>
                      <w:szCs w:val="21"/>
                      <w:highlight w:val="none"/>
                      <w:u w:val="none"/>
                      <w:lang w:val="en-US" w:eastAsia="zh-CN"/>
                    </w:rPr>
                    <w:t>2.05</w:t>
                  </w:r>
                  <w:r>
                    <w:rPr>
                      <w:rFonts w:ascii="Times New Roman" w:hAnsi="Times New Roman" w:eastAsia="宋体" w:cs="Times New Roman"/>
                      <w:color w:val="auto"/>
                      <w:sz w:val="21"/>
                      <w:szCs w:val="21"/>
                      <w:highlight w:val="none"/>
                      <w:u w:val="none"/>
                    </w:rPr>
                    <w:t>"</w:t>
                  </w:r>
                </w:p>
              </w:tc>
              <w:tc>
                <w:tcPr>
                  <w:tcW w:w="286" w:type="pct"/>
                  <w:noWrap w:val="0"/>
                  <w:vAlign w:val="center"/>
                </w:tcPr>
                <w:p w14:paraId="2C995D03">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332" w:type="pct"/>
                  <w:noWrap w:val="0"/>
                  <w:vAlign w:val="center"/>
                </w:tcPr>
                <w:p w14:paraId="40175AE1">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1167" w:type="pct"/>
                  <w:noWrap w:val="0"/>
                  <w:vAlign w:val="center"/>
                </w:tcPr>
                <w:p w14:paraId="207C2829">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38" w:type="pct"/>
                  <w:noWrap w:val="0"/>
                  <w:vAlign w:val="center"/>
                </w:tcPr>
                <w:p w14:paraId="4CC8E405">
                  <w:pPr>
                    <w:spacing w:line="240" w:lineRule="auto"/>
                    <w:ind w:firstLine="0" w:firstLineChars="0"/>
                    <w:jc w:val="center"/>
                    <w:rPr>
                      <w:rFonts w:ascii="Times New Roman" w:hAnsi="Times New Roman" w:eastAsia="宋体" w:cs="Times New Roman"/>
                      <w:color w:val="auto"/>
                      <w:sz w:val="21"/>
                      <w:szCs w:val="21"/>
                      <w:highlight w:val="none"/>
                      <w:u w:val="none"/>
                    </w:rPr>
                  </w:pPr>
                </w:p>
              </w:tc>
            </w:tr>
            <w:tr w14:paraId="45FA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55499A09">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21</w:t>
                  </w:r>
                </w:p>
              </w:tc>
              <w:tc>
                <w:tcPr>
                  <w:tcW w:w="414" w:type="pct"/>
                  <w:noWrap w:val="0"/>
                  <w:vAlign w:val="center"/>
                </w:tcPr>
                <w:p w14:paraId="73F0F9D9">
                  <w:pPr>
                    <w:widowControl/>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Z5</w:t>
                  </w:r>
                </w:p>
              </w:tc>
              <w:tc>
                <w:tcPr>
                  <w:tcW w:w="1080" w:type="pct"/>
                  <w:noWrap w:val="0"/>
                  <w:vAlign w:val="center"/>
                </w:tcPr>
                <w:p w14:paraId="71114442">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108°</w:t>
                  </w:r>
                  <w:r>
                    <w:rPr>
                      <w:rFonts w:hint="eastAsia" w:ascii="Times New Roman" w:hAnsi="Times New Roman" w:eastAsia="宋体" w:cs="Times New Roman"/>
                      <w:color w:val="auto"/>
                      <w:sz w:val="21"/>
                      <w:szCs w:val="21"/>
                      <w:highlight w:val="none"/>
                      <w:u w:val="none"/>
                      <w:lang w:val="en-US" w:eastAsia="zh-CN"/>
                    </w:rPr>
                    <w:t>3</w:t>
                  </w:r>
                  <w:r>
                    <w:rPr>
                      <w:rFonts w:ascii="Times New Roman" w:hAnsi="Times New Roman" w:eastAsia="宋体" w:cs="Times New Roman"/>
                      <w:color w:val="auto"/>
                      <w:sz w:val="21"/>
                      <w:szCs w:val="21"/>
                      <w:highlight w:val="none"/>
                      <w:u w:val="none"/>
                    </w:rPr>
                    <w:t>2′</w:t>
                  </w:r>
                  <w:r>
                    <w:rPr>
                      <w:rFonts w:hint="eastAsia" w:ascii="Times New Roman" w:hAnsi="Times New Roman" w:eastAsia="宋体" w:cs="Times New Roman"/>
                      <w:color w:val="auto"/>
                      <w:sz w:val="21"/>
                      <w:szCs w:val="21"/>
                      <w:highlight w:val="none"/>
                      <w:u w:val="none"/>
                      <w:lang w:val="en-US" w:eastAsia="zh-CN"/>
                    </w:rPr>
                    <w:t>3</w:t>
                  </w:r>
                  <w:r>
                    <w:rPr>
                      <w:rFonts w:ascii="Times New Roman" w:hAnsi="Times New Roman" w:eastAsia="宋体" w:cs="Times New Roman"/>
                      <w:color w:val="auto"/>
                      <w:sz w:val="21"/>
                      <w:szCs w:val="21"/>
                      <w:highlight w:val="none"/>
                      <w:u w:val="none"/>
                    </w:rPr>
                    <w:t>5</w:t>
                  </w:r>
                  <w:r>
                    <w:rPr>
                      <w:rFonts w:hint="eastAsia" w:ascii="Times New Roman" w:hAnsi="Times New Roman" w:eastAsia="宋体" w:cs="Times New Roman"/>
                      <w:color w:val="auto"/>
                      <w:sz w:val="21"/>
                      <w:szCs w:val="21"/>
                      <w:highlight w:val="none"/>
                      <w:u w:val="none"/>
                      <w:lang w:val="en-US" w:eastAsia="zh-CN"/>
                    </w:rPr>
                    <w:t>.12</w:t>
                  </w:r>
                  <w:r>
                    <w:rPr>
                      <w:rFonts w:ascii="Times New Roman" w:hAnsi="Times New Roman" w:eastAsia="宋体" w:cs="Times New Roman"/>
                      <w:color w:val="auto"/>
                      <w:sz w:val="21"/>
                      <w:szCs w:val="21"/>
                      <w:highlight w:val="none"/>
                      <w:u w:val="none"/>
                    </w:rPr>
                    <w:t>"</w:t>
                  </w:r>
                </w:p>
              </w:tc>
              <w:tc>
                <w:tcPr>
                  <w:tcW w:w="1004" w:type="pct"/>
                  <w:noWrap w:val="0"/>
                  <w:vAlign w:val="center"/>
                </w:tcPr>
                <w:p w14:paraId="360E54BB">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21°</w:t>
                  </w:r>
                  <w:r>
                    <w:rPr>
                      <w:rFonts w:hint="eastAsia" w:ascii="Times New Roman" w:hAnsi="Times New Roman" w:eastAsia="宋体" w:cs="Times New Roman"/>
                      <w:color w:val="auto"/>
                      <w:sz w:val="21"/>
                      <w:szCs w:val="21"/>
                      <w:highlight w:val="none"/>
                      <w:u w:val="none"/>
                      <w:lang w:val="en-US" w:eastAsia="zh-CN"/>
                    </w:rPr>
                    <w:t>45</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15.82</w:t>
                  </w:r>
                  <w:r>
                    <w:rPr>
                      <w:rFonts w:ascii="Times New Roman" w:hAnsi="Times New Roman" w:eastAsia="宋体" w:cs="Times New Roman"/>
                      <w:color w:val="auto"/>
                      <w:sz w:val="21"/>
                      <w:szCs w:val="21"/>
                      <w:highlight w:val="none"/>
                      <w:u w:val="none"/>
                    </w:rPr>
                    <w:t>"</w:t>
                  </w:r>
                </w:p>
              </w:tc>
              <w:tc>
                <w:tcPr>
                  <w:tcW w:w="286" w:type="pct"/>
                  <w:noWrap w:val="0"/>
                  <w:vAlign w:val="center"/>
                </w:tcPr>
                <w:p w14:paraId="2246D74B">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332" w:type="pct"/>
                  <w:noWrap w:val="0"/>
                  <w:vAlign w:val="center"/>
                </w:tcPr>
                <w:p w14:paraId="42C4AE91">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03A3B01D">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6FC33BE8">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r w14:paraId="5E9E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4540ECCE">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22</w:t>
                  </w:r>
                </w:p>
              </w:tc>
              <w:tc>
                <w:tcPr>
                  <w:tcW w:w="414" w:type="pct"/>
                  <w:noWrap w:val="0"/>
                  <w:vAlign w:val="center"/>
                </w:tcPr>
                <w:p w14:paraId="1A9933C5">
                  <w:pPr>
                    <w:widowControl/>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Z6</w:t>
                  </w:r>
                </w:p>
              </w:tc>
              <w:tc>
                <w:tcPr>
                  <w:tcW w:w="1080" w:type="pct"/>
                  <w:noWrap w:val="0"/>
                  <w:vAlign w:val="center"/>
                </w:tcPr>
                <w:p w14:paraId="20D6CE1B">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108°</w:t>
                  </w:r>
                  <w:r>
                    <w:rPr>
                      <w:rFonts w:hint="eastAsia" w:ascii="Times New Roman" w:hAnsi="Times New Roman" w:eastAsia="宋体" w:cs="Times New Roman"/>
                      <w:color w:val="auto"/>
                      <w:sz w:val="21"/>
                      <w:szCs w:val="21"/>
                      <w:highlight w:val="none"/>
                      <w:u w:val="none"/>
                      <w:lang w:val="en-US" w:eastAsia="zh-CN"/>
                    </w:rPr>
                    <w:t>3</w:t>
                  </w:r>
                  <w:r>
                    <w:rPr>
                      <w:rFonts w:ascii="Times New Roman" w:hAnsi="Times New Roman" w:eastAsia="宋体" w:cs="Times New Roman"/>
                      <w:color w:val="auto"/>
                      <w:sz w:val="21"/>
                      <w:szCs w:val="21"/>
                      <w:highlight w:val="none"/>
                      <w:u w:val="none"/>
                    </w:rPr>
                    <w:t>2′</w:t>
                  </w:r>
                  <w:r>
                    <w:rPr>
                      <w:rFonts w:hint="eastAsia" w:ascii="Times New Roman" w:hAnsi="Times New Roman" w:eastAsia="宋体" w:cs="Times New Roman"/>
                      <w:color w:val="auto"/>
                      <w:sz w:val="21"/>
                      <w:szCs w:val="21"/>
                      <w:highlight w:val="none"/>
                      <w:u w:val="none"/>
                      <w:lang w:val="en-US" w:eastAsia="zh-CN"/>
                    </w:rPr>
                    <w:t>34.84</w:t>
                  </w:r>
                  <w:r>
                    <w:rPr>
                      <w:rFonts w:ascii="Times New Roman" w:hAnsi="Times New Roman" w:eastAsia="宋体" w:cs="Times New Roman"/>
                      <w:color w:val="auto"/>
                      <w:sz w:val="21"/>
                      <w:szCs w:val="21"/>
                      <w:highlight w:val="none"/>
                      <w:u w:val="none"/>
                    </w:rPr>
                    <w:t>"</w:t>
                  </w:r>
                </w:p>
              </w:tc>
              <w:tc>
                <w:tcPr>
                  <w:tcW w:w="1004" w:type="pct"/>
                  <w:noWrap w:val="0"/>
                  <w:vAlign w:val="center"/>
                </w:tcPr>
                <w:p w14:paraId="26783809">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21°</w:t>
                  </w:r>
                  <w:r>
                    <w:rPr>
                      <w:rFonts w:hint="eastAsia" w:ascii="Times New Roman" w:hAnsi="Times New Roman" w:eastAsia="宋体" w:cs="Times New Roman"/>
                      <w:color w:val="auto"/>
                      <w:sz w:val="21"/>
                      <w:szCs w:val="21"/>
                      <w:highlight w:val="none"/>
                      <w:u w:val="none"/>
                      <w:lang w:val="en-US" w:eastAsia="zh-CN"/>
                    </w:rPr>
                    <w:t>45</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16.05</w:t>
                  </w:r>
                  <w:r>
                    <w:rPr>
                      <w:rFonts w:ascii="Times New Roman" w:hAnsi="Times New Roman" w:eastAsia="宋体" w:cs="Times New Roman"/>
                      <w:color w:val="auto"/>
                      <w:sz w:val="21"/>
                      <w:szCs w:val="21"/>
                      <w:highlight w:val="none"/>
                      <w:u w:val="none"/>
                    </w:rPr>
                    <w:t>"</w:t>
                  </w:r>
                </w:p>
              </w:tc>
              <w:tc>
                <w:tcPr>
                  <w:tcW w:w="286" w:type="pct"/>
                  <w:noWrap w:val="0"/>
                  <w:vAlign w:val="center"/>
                </w:tcPr>
                <w:p w14:paraId="79F4CC72">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332" w:type="pct"/>
                  <w:noWrap w:val="0"/>
                  <w:vAlign w:val="center"/>
                </w:tcPr>
                <w:p w14:paraId="75B2D7C1">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64D2A311">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62A06FDC">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r w14:paraId="5116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3DDE12F5">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23</w:t>
                  </w:r>
                </w:p>
              </w:tc>
              <w:tc>
                <w:tcPr>
                  <w:tcW w:w="414" w:type="pct"/>
                  <w:noWrap w:val="0"/>
                  <w:vAlign w:val="center"/>
                </w:tcPr>
                <w:p w14:paraId="27569E96">
                  <w:pPr>
                    <w:widowControl/>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Z10</w:t>
                  </w:r>
                </w:p>
              </w:tc>
              <w:tc>
                <w:tcPr>
                  <w:tcW w:w="1080" w:type="pct"/>
                  <w:noWrap w:val="0"/>
                  <w:vAlign w:val="center"/>
                </w:tcPr>
                <w:p w14:paraId="7F148F49">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108°</w:t>
                  </w:r>
                  <w:r>
                    <w:rPr>
                      <w:rFonts w:hint="eastAsia" w:ascii="Times New Roman" w:hAnsi="Times New Roman" w:eastAsia="宋体" w:cs="Times New Roman"/>
                      <w:color w:val="auto"/>
                      <w:sz w:val="21"/>
                      <w:szCs w:val="21"/>
                      <w:highlight w:val="none"/>
                      <w:u w:val="none"/>
                      <w:lang w:val="en-US" w:eastAsia="zh-CN"/>
                    </w:rPr>
                    <w:t>39</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2.9</w:t>
                  </w:r>
                  <w:r>
                    <w:rPr>
                      <w:rFonts w:ascii="Times New Roman" w:hAnsi="Times New Roman" w:eastAsia="宋体" w:cs="Times New Roman"/>
                      <w:color w:val="auto"/>
                      <w:sz w:val="21"/>
                      <w:szCs w:val="21"/>
                      <w:highlight w:val="none"/>
                      <w:u w:val="none"/>
                    </w:rPr>
                    <w:t>"</w:t>
                  </w:r>
                </w:p>
              </w:tc>
              <w:tc>
                <w:tcPr>
                  <w:tcW w:w="1004" w:type="pct"/>
                  <w:noWrap w:val="0"/>
                  <w:vAlign w:val="center"/>
                </w:tcPr>
                <w:p w14:paraId="25B0F6F4">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21°</w:t>
                  </w:r>
                  <w:r>
                    <w:rPr>
                      <w:rFonts w:hint="eastAsia" w:ascii="Times New Roman" w:hAnsi="Times New Roman" w:eastAsia="宋体" w:cs="Times New Roman"/>
                      <w:color w:val="auto"/>
                      <w:sz w:val="21"/>
                      <w:szCs w:val="21"/>
                      <w:highlight w:val="none"/>
                      <w:u w:val="none"/>
                      <w:lang w:val="en-US" w:eastAsia="zh-CN"/>
                    </w:rPr>
                    <w:t>47</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40.25</w:t>
                  </w:r>
                  <w:r>
                    <w:rPr>
                      <w:rFonts w:ascii="Times New Roman" w:hAnsi="Times New Roman" w:eastAsia="宋体" w:cs="Times New Roman"/>
                      <w:color w:val="auto"/>
                      <w:sz w:val="21"/>
                      <w:szCs w:val="21"/>
                      <w:highlight w:val="none"/>
                      <w:u w:val="none"/>
                    </w:rPr>
                    <w:t>"</w:t>
                  </w:r>
                </w:p>
              </w:tc>
              <w:tc>
                <w:tcPr>
                  <w:tcW w:w="286" w:type="pct"/>
                  <w:noWrap w:val="0"/>
                  <w:vAlign w:val="center"/>
                </w:tcPr>
                <w:p w14:paraId="77AEA7F9">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332" w:type="pct"/>
                  <w:noWrap w:val="0"/>
                  <w:vAlign w:val="center"/>
                </w:tcPr>
                <w:p w14:paraId="7CE240A4">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23B654FA">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48ACB41D">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r w14:paraId="6B01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6D53D11E">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24</w:t>
                  </w:r>
                </w:p>
              </w:tc>
              <w:tc>
                <w:tcPr>
                  <w:tcW w:w="414" w:type="pct"/>
                  <w:noWrap w:val="0"/>
                  <w:vAlign w:val="center"/>
                </w:tcPr>
                <w:p w14:paraId="61783E0B">
                  <w:pPr>
                    <w:widowControl/>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Z11</w:t>
                  </w:r>
                </w:p>
              </w:tc>
              <w:tc>
                <w:tcPr>
                  <w:tcW w:w="1080" w:type="pct"/>
                  <w:noWrap w:val="0"/>
                  <w:vAlign w:val="center"/>
                </w:tcPr>
                <w:p w14:paraId="0418F66A">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108°</w:t>
                  </w:r>
                  <w:r>
                    <w:rPr>
                      <w:rFonts w:hint="eastAsia" w:ascii="Times New Roman" w:hAnsi="Times New Roman" w:eastAsia="宋体" w:cs="Times New Roman"/>
                      <w:color w:val="auto"/>
                      <w:sz w:val="21"/>
                      <w:szCs w:val="21"/>
                      <w:highlight w:val="none"/>
                      <w:u w:val="none"/>
                      <w:lang w:val="en-US" w:eastAsia="zh-CN"/>
                    </w:rPr>
                    <w:t>39</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2.64</w:t>
                  </w:r>
                  <w:r>
                    <w:rPr>
                      <w:rFonts w:ascii="Times New Roman" w:hAnsi="Times New Roman" w:eastAsia="宋体" w:cs="Times New Roman"/>
                      <w:color w:val="auto"/>
                      <w:sz w:val="21"/>
                      <w:szCs w:val="21"/>
                      <w:highlight w:val="none"/>
                      <w:u w:val="none"/>
                    </w:rPr>
                    <w:t>"</w:t>
                  </w:r>
                </w:p>
              </w:tc>
              <w:tc>
                <w:tcPr>
                  <w:tcW w:w="1004" w:type="pct"/>
                  <w:noWrap w:val="0"/>
                  <w:vAlign w:val="center"/>
                </w:tcPr>
                <w:p w14:paraId="031C89CD">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21°</w:t>
                  </w:r>
                  <w:r>
                    <w:rPr>
                      <w:rFonts w:hint="eastAsia" w:ascii="Times New Roman" w:hAnsi="Times New Roman" w:eastAsia="宋体" w:cs="Times New Roman"/>
                      <w:color w:val="auto"/>
                      <w:sz w:val="21"/>
                      <w:szCs w:val="21"/>
                      <w:highlight w:val="none"/>
                      <w:u w:val="none"/>
                      <w:lang w:val="en-US" w:eastAsia="zh-CN"/>
                    </w:rPr>
                    <w:t>47</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40.18</w:t>
                  </w:r>
                  <w:r>
                    <w:rPr>
                      <w:rFonts w:ascii="Times New Roman" w:hAnsi="Times New Roman" w:eastAsia="宋体" w:cs="Times New Roman"/>
                      <w:color w:val="auto"/>
                      <w:sz w:val="21"/>
                      <w:szCs w:val="21"/>
                      <w:highlight w:val="none"/>
                      <w:u w:val="none"/>
                    </w:rPr>
                    <w:t>"</w:t>
                  </w:r>
                </w:p>
              </w:tc>
              <w:tc>
                <w:tcPr>
                  <w:tcW w:w="286" w:type="pct"/>
                  <w:noWrap w:val="0"/>
                  <w:vAlign w:val="center"/>
                </w:tcPr>
                <w:p w14:paraId="52EF59F1">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332" w:type="pct"/>
                  <w:noWrap w:val="0"/>
                  <w:vAlign w:val="center"/>
                </w:tcPr>
                <w:p w14:paraId="16F67B26">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326F92A7">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1379E2B3">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r w14:paraId="1B70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0D58D72E">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25</w:t>
                  </w:r>
                </w:p>
              </w:tc>
              <w:tc>
                <w:tcPr>
                  <w:tcW w:w="414" w:type="pct"/>
                  <w:noWrap w:val="0"/>
                  <w:vAlign w:val="center"/>
                </w:tcPr>
                <w:p w14:paraId="6A5F18AB">
                  <w:pPr>
                    <w:widowControl/>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Z12</w:t>
                  </w:r>
                </w:p>
              </w:tc>
              <w:tc>
                <w:tcPr>
                  <w:tcW w:w="1080" w:type="pct"/>
                  <w:noWrap w:val="0"/>
                  <w:vAlign w:val="center"/>
                </w:tcPr>
                <w:p w14:paraId="364439B9">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108°</w:t>
                  </w:r>
                  <w:r>
                    <w:rPr>
                      <w:rFonts w:hint="eastAsia" w:ascii="Times New Roman" w:hAnsi="Times New Roman" w:eastAsia="宋体" w:cs="Times New Roman"/>
                      <w:color w:val="auto"/>
                      <w:sz w:val="21"/>
                      <w:szCs w:val="21"/>
                      <w:highlight w:val="none"/>
                      <w:u w:val="none"/>
                      <w:lang w:val="en-US" w:eastAsia="zh-CN"/>
                    </w:rPr>
                    <w:t>39</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2.23</w:t>
                  </w:r>
                  <w:r>
                    <w:rPr>
                      <w:rFonts w:ascii="Times New Roman" w:hAnsi="Times New Roman" w:eastAsia="宋体" w:cs="Times New Roman"/>
                      <w:color w:val="auto"/>
                      <w:sz w:val="21"/>
                      <w:szCs w:val="21"/>
                      <w:highlight w:val="none"/>
                      <w:u w:val="none"/>
                    </w:rPr>
                    <w:t>"</w:t>
                  </w:r>
                </w:p>
              </w:tc>
              <w:tc>
                <w:tcPr>
                  <w:tcW w:w="1004" w:type="pct"/>
                  <w:noWrap w:val="0"/>
                  <w:vAlign w:val="center"/>
                </w:tcPr>
                <w:p w14:paraId="43D28DDB">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21°</w:t>
                  </w:r>
                  <w:r>
                    <w:rPr>
                      <w:rFonts w:hint="eastAsia" w:ascii="Times New Roman" w:hAnsi="Times New Roman" w:eastAsia="宋体" w:cs="Times New Roman"/>
                      <w:color w:val="auto"/>
                      <w:sz w:val="21"/>
                      <w:szCs w:val="21"/>
                      <w:highlight w:val="none"/>
                      <w:u w:val="none"/>
                      <w:lang w:val="en-US" w:eastAsia="zh-CN"/>
                    </w:rPr>
                    <w:t>47</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40.05</w:t>
                  </w:r>
                  <w:r>
                    <w:rPr>
                      <w:rFonts w:ascii="Times New Roman" w:hAnsi="Times New Roman" w:eastAsia="宋体" w:cs="Times New Roman"/>
                      <w:color w:val="auto"/>
                      <w:sz w:val="21"/>
                      <w:szCs w:val="21"/>
                      <w:highlight w:val="none"/>
                      <w:u w:val="none"/>
                    </w:rPr>
                    <w:t>"</w:t>
                  </w:r>
                </w:p>
              </w:tc>
              <w:tc>
                <w:tcPr>
                  <w:tcW w:w="286" w:type="pct"/>
                  <w:noWrap w:val="0"/>
                  <w:vAlign w:val="center"/>
                </w:tcPr>
                <w:p w14:paraId="4AEA5DF6">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332" w:type="pct"/>
                  <w:noWrap w:val="0"/>
                  <w:vAlign w:val="center"/>
                </w:tcPr>
                <w:p w14:paraId="487F78FF">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33AF4B70">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6F8B719B">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r w14:paraId="6E23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06ED1DA3">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26</w:t>
                  </w:r>
                </w:p>
              </w:tc>
              <w:tc>
                <w:tcPr>
                  <w:tcW w:w="414" w:type="pct"/>
                  <w:noWrap w:val="0"/>
                  <w:vAlign w:val="center"/>
                </w:tcPr>
                <w:p w14:paraId="54721A9E">
                  <w:pPr>
                    <w:widowControl/>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Z13</w:t>
                  </w:r>
                </w:p>
              </w:tc>
              <w:tc>
                <w:tcPr>
                  <w:tcW w:w="1080" w:type="pct"/>
                  <w:noWrap w:val="0"/>
                  <w:vAlign w:val="center"/>
                </w:tcPr>
                <w:p w14:paraId="6E32D4FC">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108°</w:t>
                  </w:r>
                  <w:r>
                    <w:rPr>
                      <w:rFonts w:hint="eastAsia" w:ascii="Times New Roman" w:hAnsi="Times New Roman" w:eastAsia="宋体" w:cs="Times New Roman"/>
                      <w:color w:val="auto"/>
                      <w:sz w:val="21"/>
                      <w:szCs w:val="21"/>
                      <w:highlight w:val="none"/>
                      <w:u w:val="none"/>
                      <w:lang w:val="en-US" w:eastAsia="zh-CN"/>
                    </w:rPr>
                    <w:t>38</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41.34</w:t>
                  </w:r>
                  <w:r>
                    <w:rPr>
                      <w:rFonts w:ascii="Times New Roman" w:hAnsi="Times New Roman" w:eastAsia="宋体" w:cs="Times New Roman"/>
                      <w:color w:val="auto"/>
                      <w:sz w:val="21"/>
                      <w:szCs w:val="21"/>
                      <w:highlight w:val="none"/>
                      <w:u w:val="none"/>
                    </w:rPr>
                    <w:t>"</w:t>
                  </w:r>
                </w:p>
              </w:tc>
              <w:tc>
                <w:tcPr>
                  <w:tcW w:w="1004" w:type="pct"/>
                  <w:noWrap w:val="0"/>
                  <w:vAlign w:val="center"/>
                </w:tcPr>
                <w:p w14:paraId="066C81BF">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21°</w:t>
                  </w:r>
                  <w:r>
                    <w:rPr>
                      <w:rFonts w:hint="eastAsia" w:ascii="Times New Roman" w:hAnsi="Times New Roman" w:eastAsia="宋体" w:cs="Times New Roman"/>
                      <w:color w:val="auto"/>
                      <w:sz w:val="21"/>
                      <w:szCs w:val="21"/>
                      <w:highlight w:val="none"/>
                      <w:u w:val="none"/>
                      <w:lang w:val="en-US" w:eastAsia="zh-CN"/>
                    </w:rPr>
                    <w:t>46</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37.02</w:t>
                  </w:r>
                  <w:r>
                    <w:rPr>
                      <w:rFonts w:ascii="Times New Roman" w:hAnsi="Times New Roman" w:eastAsia="宋体" w:cs="Times New Roman"/>
                      <w:color w:val="auto"/>
                      <w:sz w:val="21"/>
                      <w:szCs w:val="21"/>
                      <w:highlight w:val="none"/>
                      <w:u w:val="none"/>
                    </w:rPr>
                    <w:t>"</w:t>
                  </w:r>
                </w:p>
              </w:tc>
              <w:tc>
                <w:tcPr>
                  <w:tcW w:w="286" w:type="pct"/>
                  <w:noWrap w:val="0"/>
                  <w:vAlign w:val="center"/>
                </w:tcPr>
                <w:p w14:paraId="4779732A">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332" w:type="pct"/>
                  <w:noWrap w:val="0"/>
                  <w:vAlign w:val="center"/>
                </w:tcPr>
                <w:p w14:paraId="16B3FB4A">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21D1C2F2">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4B2E6305">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r w14:paraId="30C2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5FD378D7">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27</w:t>
                  </w:r>
                </w:p>
              </w:tc>
              <w:tc>
                <w:tcPr>
                  <w:tcW w:w="414" w:type="pct"/>
                  <w:noWrap w:val="0"/>
                  <w:vAlign w:val="center"/>
                </w:tcPr>
                <w:p w14:paraId="278D4D5F">
                  <w:pPr>
                    <w:widowControl/>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Z14</w:t>
                  </w:r>
                </w:p>
              </w:tc>
              <w:tc>
                <w:tcPr>
                  <w:tcW w:w="1080" w:type="pct"/>
                  <w:noWrap w:val="0"/>
                  <w:vAlign w:val="center"/>
                </w:tcPr>
                <w:p w14:paraId="3C381C6B">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108°</w:t>
                  </w:r>
                  <w:r>
                    <w:rPr>
                      <w:rFonts w:hint="eastAsia" w:ascii="Times New Roman" w:hAnsi="Times New Roman" w:eastAsia="宋体" w:cs="Times New Roman"/>
                      <w:color w:val="auto"/>
                      <w:sz w:val="21"/>
                      <w:szCs w:val="21"/>
                      <w:highlight w:val="none"/>
                      <w:u w:val="none"/>
                      <w:lang w:val="en-US" w:eastAsia="zh-CN"/>
                    </w:rPr>
                    <w:t>38</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41.47</w:t>
                  </w:r>
                  <w:r>
                    <w:rPr>
                      <w:rFonts w:ascii="Times New Roman" w:hAnsi="Times New Roman" w:eastAsia="宋体" w:cs="Times New Roman"/>
                      <w:color w:val="auto"/>
                      <w:sz w:val="21"/>
                      <w:szCs w:val="21"/>
                      <w:highlight w:val="none"/>
                      <w:u w:val="none"/>
                    </w:rPr>
                    <w:t>"</w:t>
                  </w:r>
                </w:p>
              </w:tc>
              <w:tc>
                <w:tcPr>
                  <w:tcW w:w="1004" w:type="pct"/>
                  <w:noWrap w:val="0"/>
                  <w:vAlign w:val="center"/>
                </w:tcPr>
                <w:p w14:paraId="15E6FEAC">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21°</w:t>
                  </w:r>
                  <w:r>
                    <w:rPr>
                      <w:rFonts w:hint="eastAsia" w:ascii="Times New Roman" w:hAnsi="Times New Roman" w:eastAsia="宋体" w:cs="Times New Roman"/>
                      <w:color w:val="auto"/>
                      <w:sz w:val="21"/>
                      <w:szCs w:val="21"/>
                      <w:highlight w:val="none"/>
                      <w:u w:val="none"/>
                      <w:lang w:val="en-US" w:eastAsia="zh-CN"/>
                    </w:rPr>
                    <w:t>46</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36.54</w:t>
                  </w:r>
                  <w:r>
                    <w:rPr>
                      <w:rFonts w:ascii="Times New Roman" w:hAnsi="Times New Roman" w:eastAsia="宋体" w:cs="Times New Roman"/>
                      <w:color w:val="auto"/>
                      <w:sz w:val="21"/>
                      <w:szCs w:val="21"/>
                      <w:highlight w:val="none"/>
                      <w:u w:val="none"/>
                    </w:rPr>
                    <w:t>"</w:t>
                  </w:r>
                </w:p>
              </w:tc>
              <w:tc>
                <w:tcPr>
                  <w:tcW w:w="286" w:type="pct"/>
                  <w:noWrap w:val="0"/>
                  <w:vAlign w:val="center"/>
                </w:tcPr>
                <w:p w14:paraId="4EDF0228">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332" w:type="pct"/>
                  <w:noWrap w:val="0"/>
                  <w:vAlign w:val="center"/>
                </w:tcPr>
                <w:p w14:paraId="45079A04">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583242B0">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1E4509D2">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r w14:paraId="65C2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6" w:type="pct"/>
                  <w:noWrap w:val="0"/>
                  <w:vAlign w:val="center"/>
                </w:tcPr>
                <w:p w14:paraId="40792B97">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28</w:t>
                  </w:r>
                </w:p>
              </w:tc>
              <w:tc>
                <w:tcPr>
                  <w:tcW w:w="414" w:type="pct"/>
                  <w:noWrap w:val="0"/>
                  <w:vAlign w:val="center"/>
                </w:tcPr>
                <w:p w14:paraId="57523A61">
                  <w:pPr>
                    <w:widowControl/>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Z15</w:t>
                  </w:r>
                </w:p>
              </w:tc>
              <w:tc>
                <w:tcPr>
                  <w:tcW w:w="1080" w:type="pct"/>
                  <w:noWrap w:val="0"/>
                  <w:vAlign w:val="center"/>
                </w:tcPr>
                <w:p w14:paraId="2A91FBFD">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108°</w:t>
                  </w:r>
                  <w:r>
                    <w:rPr>
                      <w:rFonts w:hint="eastAsia" w:ascii="Times New Roman" w:hAnsi="Times New Roman" w:eastAsia="宋体" w:cs="Times New Roman"/>
                      <w:color w:val="auto"/>
                      <w:sz w:val="21"/>
                      <w:szCs w:val="21"/>
                      <w:highlight w:val="none"/>
                      <w:u w:val="none"/>
                      <w:lang w:val="en-US" w:eastAsia="zh-CN"/>
                    </w:rPr>
                    <w:t>38</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41.83</w:t>
                  </w:r>
                  <w:r>
                    <w:rPr>
                      <w:rFonts w:ascii="Times New Roman" w:hAnsi="Times New Roman" w:eastAsia="宋体" w:cs="Times New Roman"/>
                      <w:color w:val="auto"/>
                      <w:sz w:val="21"/>
                      <w:szCs w:val="21"/>
                      <w:highlight w:val="none"/>
                      <w:u w:val="none"/>
                    </w:rPr>
                    <w:t>"</w:t>
                  </w:r>
                </w:p>
              </w:tc>
              <w:tc>
                <w:tcPr>
                  <w:tcW w:w="1004" w:type="pct"/>
                  <w:noWrap w:val="0"/>
                  <w:vAlign w:val="center"/>
                </w:tcPr>
                <w:p w14:paraId="662876A7">
                  <w:pPr>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sz w:val="21"/>
                      <w:szCs w:val="21"/>
                      <w:highlight w:val="none"/>
                      <w:u w:val="none"/>
                    </w:rPr>
                    <w:t>21°</w:t>
                  </w:r>
                  <w:r>
                    <w:rPr>
                      <w:rFonts w:hint="eastAsia" w:ascii="Times New Roman" w:hAnsi="Times New Roman" w:eastAsia="宋体" w:cs="Times New Roman"/>
                      <w:color w:val="auto"/>
                      <w:sz w:val="21"/>
                      <w:szCs w:val="21"/>
                      <w:highlight w:val="none"/>
                      <w:u w:val="none"/>
                      <w:lang w:val="en-US" w:eastAsia="zh-CN"/>
                    </w:rPr>
                    <w:t>46</w:t>
                  </w:r>
                  <w:r>
                    <w:rPr>
                      <w:rFonts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36.28</w:t>
                  </w:r>
                  <w:r>
                    <w:rPr>
                      <w:rFonts w:ascii="Times New Roman" w:hAnsi="Times New Roman" w:eastAsia="宋体" w:cs="Times New Roman"/>
                      <w:color w:val="auto"/>
                      <w:sz w:val="21"/>
                      <w:szCs w:val="21"/>
                      <w:highlight w:val="none"/>
                      <w:u w:val="none"/>
                    </w:rPr>
                    <w:t>"</w:t>
                  </w:r>
                </w:p>
              </w:tc>
              <w:tc>
                <w:tcPr>
                  <w:tcW w:w="286" w:type="pct"/>
                  <w:noWrap w:val="0"/>
                  <w:vAlign w:val="center"/>
                </w:tcPr>
                <w:p w14:paraId="53B4BE3E">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332" w:type="pct"/>
                  <w:noWrap w:val="0"/>
                  <w:vAlign w:val="center"/>
                </w:tcPr>
                <w:p w14:paraId="0C11B023">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1167" w:type="pct"/>
                  <w:noWrap w:val="0"/>
                  <w:vAlign w:val="center"/>
                </w:tcPr>
                <w:p w14:paraId="6280E111">
                  <w:pPr>
                    <w:spacing w:line="240" w:lineRule="auto"/>
                    <w:ind w:firstLine="0" w:firstLineChars="0"/>
                    <w:jc w:val="center"/>
                    <w:rPr>
                      <w:rFonts w:ascii="Times New Roman" w:hAnsi="Times New Roman" w:eastAsia="宋体" w:cs="Times New Roman"/>
                      <w:color w:val="auto"/>
                      <w:sz w:val="21"/>
                      <w:szCs w:val="21"/>
                      <w:highlight w:val="none"/>
                      <w:u w:val="none"/>
                    </w:rPr>
                  </w:pPr>
                </w:p>
              </w:tc>
              <w:tc>
                <w:tcPr>
                  <w:tcW w:w="438" w:type="pct"/>
                  <w:noWrap w:val="0"/>
                  <w:vAlign w:val="center"/>
                </w:tcPr>
                <w:p w14:paraId="528ABE46">
                  <w:pPr>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bl>
          <w:p w14:paraId="03D3ADD9">
            <w:pPr>
              <w:numPr>
                <w:ilvl w:val="0"/>
                <w:numId w:val="11"/>
              </w:numPr>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监测项目</w:t>
            </w:r>
          </w:p>
          <w:p w14:paraId="216FDBBD">
            <w:pPr>
              <w:widowControl/>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eastAsia="zh-CN"/>
              </w:rPr>
              <w:t>调查监测内容包括海水水质、海洋沉积物及海洋生物生态等，详见下表。</w:t>
            </w:r>
          </w:p>
          <w:p w14:paraId="4C15A140">
            <w:pPr>
              <w:keepNext/>
              <w:keepLines/>
              <w:widowControl w:val="0"/>
              <w:numPr>
                <w:ilvl w:val="0"/>
                <w:numId w:val="0"/>
              </w:numPr>
              <w:tabs>
                <w:tab w:val="left" w:pos="0"/>
              </w:tabs>
              <w:bidi w:val="0"/>
              <w:adjustRightInd w:val="0"/>
              <w:snapToGrid w:val="0"/>
              <w:spacing w:line="360" w:lineRule="auto"/>
              <w:ind w:leftChars="0"/>
              <w:jc w:val="center"/>
              <w:outlineLvl w:val="4"/>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表3.1-3监测项目</w:t>
            </w:r>
            <w:r>
              <w:rPr>
                <w:rFonts w:ascii="Times New Roman" w:hAnsi="Times New Roman" w:eastAsia="宋体" w:cs="Times New Roman"/>
                <w:b/>
                <w:bCs/>
                <w:color w:val="auto"/>
                <w:kern w:val="2"/>
                <w:sz w:val="21"/>
                <w:szCs w:val="21"/>
                <w:highlight w:val="none"/>
                <w:lang w:val="en-US" w:eastAsia="zh-CN" w:bidi="ar-SA"/>
              </w:rPr>
              <w:t>一览表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417"/>
              <w:gridCol w:w="5467"/>
              <w:gridCol w:w="744"/>
            </w:tblGrid>
            <w:tr w14:paraId="26D6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6" w:type="pct"/>
                  <w:noWrap w:val="0"/>
                  <w:vAlign w:val="center"/>
                </w:tcPr>
                <w:p w14:paraId="719405B1">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序号</w:t>
                  </w:r>
                </w:p>
              </w:tc>
              <w:tc>
                <w:tcPr>
                  <w:tcW w:w="872" w:type="pct"/>
                  <w:noWrap w:val="0"/>
                  <w:vAlign w:val="center"/>
                </w:tcPr>
                <w:p w14:paraId="5505C42F">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监测类别</w:t>
                  </w:r>
                </w:p>
              </w:tc>
              <w:tc>
                <w:tcPr>
                  <w:tcW w:w="3364" w:type="pct"/>
                  <w:noWrap w:val="0"/>
                  <w:vAlign w:val="center"/>
                </w:tcPr>
                <w:p w14:paraId="44E19522">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监测项目</w:t>
                  </w:r>
                </w:p>
              </w:tc>
              <w:tc>
                <w:tcPr>
                  <w:tcW w:w="457" w:type="pct"/>
                  <w:noWrap w:val="0"/>
                  <w:vAlign w:val="center"/>
                </w:tcPr>
                <w:p w14:paraId="42002465">
                  <w:pPr>
                    <w:spacing w:line="240" w:lineRule="auto"/>
                    <w:ind w:firstLine="0" w:firstLineChars="0"/>
                    <w:jc w:val="center"/>
                    <w:rPr>
                      <w:rFonts w:hint="eastAsia"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数量</w:t>
                  </w:r>
                </w:p>
              </w:tc>
            </w:tr>
            <w:tr w14:paraId="7FF4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14:paraId="2E2325DF">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秋季</w:t>
                  </w:r>
                </w:p>
              </w:tc>
            </w:tr>
            <w:tr w14:paraId="1CD4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14:paraId="1DF37FBF">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1</w:t>
                  </w:r>
                </w:p>
              </w:tc>
              <w:tc>
                <w:tcPr>
                  <w:tcW w:w="872" w:type="pct"/>
                  <w:noWrap w:val="0"/>
                  <w:vAlign w:val="center"/>
                </w:tcPr>
                <w:p w14:paraId="1C6992C9">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水质</w:t>
                  </w:r>
                </w:p>
              </w:tc>
              <w:tc>
                <w:tcPr>
                  <w:tcW w:w="3364" w:type="pct"/>
                  <w:noWrap w:val="0"/>
                  <w:vAlign w:val="center"/>
                </w:tcPr>
                <w:p w14:paraId="0D3B536F">
                  <w:pPr>
                    <w:spacing w:line="240" w:lineRule="auto"/>
                    <w:ind w:firstLine="0" w:firstLineChars="0"/>
                    <w:rPr>
                      <w:rFonts w:hint="eastAsia"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水温、盐度、悬浮物、透明度、pH、溶解氧、化学需氧量、硝酸盐、亚硝酸盐、氨</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铵盐</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活性磷酸盐</w:t>
                  </w:r>
                  <w:r>
                    <w:rPr>
                      <w:rFonts w:hint="eastAsia" w:ascii="Times New Roman" w:hAnsi="Times New Roman" w:eastAsia="宋体" w:cs="Times New Roman"/>
                      <w:color w:val="auto"/>
                      <w:sz w:val="21"/>
                      <w:szCs w:val="21"/>
                      <w:highlight w:val="none"/>
                      <w:u w:val="none"/>
                    </w:rPr>
                    <w:t>、活性硅酸盐、汞、铜、锌、铅、镉、</w:t>
                  </w:r>
                  <w:r>
                    <w:rPr>
                      <w:rFonts w:hint="eastAsia" w:ascii="Times New Roman" w:hAnsi="Times New Roman" w:eastAsia="宋体" w:cs="Times New Roman"/>
                      <w:color w:val="auto"/>
                      <w:sz w:val="21"/>
                      <w:szCs w:val="21"/>
                      <w:highlight w:val="none"/>
                      <w:u w:val="none"/>
                      <w:lang w:val="en-US" w:eastAsia="zh-CN"/>
                    </w:rPr>
                    <w:t>总</w:t>
                  </w:r>
                  <w:r>
                    <w:rPr>
                      <w:rFonts w:hint="eastAsia" w:ascii="Times New Roman" w:hAnsi="Times New Roman" w:eastAsia="宋体" w:cs="Times New Roman"/>
                      <w:color w:val="auto"/>
                      <w:sz w:val="21"/>
                      <w:szCs w:val="21"/>
                      <w:highlight w:val="none"/>
                      <w:u w:val="none"/>
                    </w:rPr>
                    <w:t>铬、砷、油类、TOC</w:t>
                  </w:r>
                </w:p>
              </w:tc>
              <w:tc>
                <w:tcPr>
                  <w:tcW w:w="457" w:type="pct"/>
                  <w:noWrap w:val="0"/>
                  <w:vAlign w:val="center"/>
                </w:tcPr>
                <w:p w14:paraId="73543BDE">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21</w:t>
                  </w:r>
                </w:p>
              </w:tc>
            </w:tr>
            <w:tr w14:paraId="4983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14:paraId="787DBD14">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w:t>
                  </w:r>
                </w:p>
              </w:tc>
              <w:tc>
                <w:tcPr>
                  <w:tcW w:w="872" w:type="pct"/>
                  <w:noWrap w:val="0"/>
                  <w:vAlign w:val="center"/>
                </w:tcPr>
                <w:p w14:paraId="38F33AC6">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沉积物</w:t>
                  </w:r>
                </w:p>
              </w:tc>
              <w:tc>
                <w:tcPr>
                  <w:tcW w:w="3364" w:type="pct"/>
                  <w:noWrap w:val="0"/>
                  <w:vAlign w:val="center"/>
                </w:tcPr>
                <w:p w14:paraId="5047D6F0">
                  <w:pPr>
                    <w:spacing w:line="240" w:lineRule="auto"/>
                    <w:ind w:firstLine="0" w:firstLineChars="0"/>
                    <w:jc w:val="center"/>
                    <w:rPr>
                      <w:rFonts w:hint="eastAsia"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Eh、硫化物、有机碳、总汞、铜、铅、锌、镉、铬、砷、油类、粒度</w:t>
                  </w:r>
                </w:p>
              </w:tc>
              <w:tc>
                <w:tcPr>
                  <w:tcW w:w="457" w:type="pct"/>
                  <w:noWrap w:val="0"/>
                  <w:vAlign w:val="center"/>
                </w:tcPr>
                <w:p w14:paraId="798DCB53">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12</w:t>
                  </w:r>
                </w:p>
              </w:tc>
            </w:tr>
            <w:tr w14:paraId="2BFB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14:paraId="35DDCAC9">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3</w:t>
                  </w:r>
                </w:p>
              </w:tc>
              <w:tc>
                <w:tcPr>
                  <w:tcW w:w="872" w:type="pct"/>
                  <w:noWrap w:val="0"/>
                  <w:vAlign w:val="center"/>
                </w:tcPr>
                <w:p w14:paraId="732B0ACE">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海洋生态</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rPr>
                    <w:t>生物生态和生物资源</w:t>
                  </w:r>
                </w:p>
              </w:tc>
              <w:tc>
                <w:tcPr>
                  <w:tcW w:w="3364" w:type="pct"/>
                  <w:noWrap w:val="0"/>
                  <w:vAlign w:val="center"/>
                </w:tcPr>
                <w:p w14:paraId="206368F5">
                  <w:pPr>
                    <w:spacing w:line="240" w:lineRule="auto"/>
                    <w:ind w:firstLine="0" w:firstLineChars="0"/>
                    <w:jc w:val="center"/>
                    <w:rPr>
                      <w:rFonts w:hint="eastAsia"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叶绿素</w:t>
                  </w:r>
                  <w:r>
                    <w:rPr>
                      <w:rFonts w:hint="eastAsia" w:ascii="Times New Roman" w:hAnsi="Times New Roman" w:eastAsia="宋体" w:cs="Times New Roman"/>
                      <w:color w:val="auto"/>
                      <w:sz w:val="21"/>
                      <w:szCs w:val="21"/>
                      <w:highlight w:val="none"/>
                      <w:u w:val="none"/>
                      <w:lang w:val="en-US" w:eastAsia="zh-CN"/>
                    </w:rPr>
                    <w:t>-</w:t>
                  </w:r>
                  <w:r>
                    <w:rPr>
                      <w:rFonts w:ascii="Times New Roman" w:hAnsi="Times New Roman" w:eastAsia="宋体" w:cs="Times New Roman"/>
                      <w:color w:val="auto"/>
                      <w:sz w:val="21"/>
                      <w:szCs w:val="21"/>
                      <w:highlight w:val="none"/>
                      <w:u w:val="none"/>
                    </w:rPr>
                    <w:t>a、浮游植物、浮游动物、底栖生物</w:t>
                  </w:r>
                  <w:r>
                    <w:rPr>
                      <w:rFonts w:hint="eastAsia" w:ascii="Times New Roman" w:hAnsi="Times New Roman" w:eastAsia="宋体" w:cs="Times New Roman"/>
                      <w:color w:val="auto"/>
                      <w:sz w:val="21"/>
                      <w:szCs w:val="21"/>
                      <w:highlight w:val="none"/>
                      <w:u w:val="none"/>
                    </w:rPr>
                    <w:t>、潮间带生物、游泳动物、</w:t>
                  </w:r>
                  <w:r>
                    <w:rPr>
                      <w:rFonts w:ascii="Times New Roman" w:hAnsi="Times New Roman" w:eastAsia="宋体" w:cs="Times New Roman"/>
                      <w:color w:val="auto"/>
                      <w:sz w:val="21"/>
                      <w:szCs w:val="21"/>
                      <w:highlight w:val="none"/>
                      <w:u w:val="none"/>
                    </w:rPr>
                    <w:t>鱼卵仔鱼</w:t>
                  </w:r>
                </w:p>
              </w:tc>
              <w:tc>
                <w:tcPr>
                  <w:tcW w:w="457" w:type="pct"/>
                  <w:noWrap w:val="0"/>
                  <w:vAlign w:val="center"/>
                </w:tcPr>
                <w:p w14:paraId="44C5DE59">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7</w:t>
                  </w:r>
                </w:p>
              </w:tc>
            </w:tr>
            <w:tr w14:paraId="44ED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14:paraId="21C10B56">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4</w:t>
                  </w:r>
                </w:p>
              </w:tc>
              <w:tc>
                <w:tcPr>
                  <w:tcW w:w="872" w:type="pct"/>
                  <w:noWrap w:val="0"/>
                  <w:vAlign w:val="center"/>
                </w:tcPr>
                <w:p w14:paraId="7C22C62C">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海洋生态</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rPr>
                    <w:t>生物质量</w:t>
                  </w:r>
                </w:p>
              </w:tc>
              <w:tc>
                <w:tcPr>
                  <w:tcW w:w="3364" w:type="pct"/>
                  <w:noWrap w:val="0"/>
                  <w:vAlign w:val="center"/>
                </w:tcPr>
                <w:p w14:paraId="11C47F33">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ascii="Times New Roman" w:hAnsi="Times New Roman" w:eastAsia="宋体" w:cs="Times New Roman"/>
                      <w:color w:val="auto"/>
                      <w:sz w:val="21"/>
                      <w:szCs w:val="21"/>
                      <w:highlight w:val="none"/>
                      <w:u w:val="none"/>
                    </w:rPr>
                    <w:t>铜、锌、铅、镉、总汞、砷、</w:t>
                  </w:r>
                  <w:r>
                    <w:rPr>
                      <w:rFonts w:hint="eastAsia" w:ascii="Times New Roman" w:hAnsi="Times New Roman" w:eastAsia="宋体" w:cs="Times New Roman"/>
                      <w:color w:val="auto"/>
                      <w:sz w:val="21"/>
                      <w:szCs w:val="21"/>
                      <w:highlight w:val="none"/>
                      <w:u w:val="none"/>
                      <w:lang w:val="en-US" w:eastAsia="zh-CN"/>
                    </w:rPr>
                    <w:t>石油烃</w:t>
                  </w:r>
                </w:p>
              </w:tc>
              <w:tc>
                <w:tcPr>
                  <w:tcW w:w="457" w:type="pct"/>
                  <w:noWrap w:val="0"/>
                  <w:vAlign w:val="center"/>
                </w:tcPr>
                <w:p w14:paraId="6446A4A1">
                  <w:pPr>
                    <w:spacing w:line="240" w:lineRule="auto"/>
                    <w:ind w:firstLine="0" w:firstLineChars="0"/>
                    <w:jc w:val="center"/>
                    <w:rPr>
                      <w:rFonts w:hint="eastAsia"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7</w:t>
                  </w:r>
                </w:p>
              </w:tc>
            </w:tr>
          </w:tbl>
          <w:p w14:paraId="4E5EEC79">
            <w:pPr>
              <w:numPr>
                <w:ilvl w:val="0"/>
                <w:numId w:val="11"/>
              </w:numPr>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检测方法</w:t>
            </w:r>
          </w:p>
          <w:p w14:paraId="79B1E5FA">
            <w:pPr>
              <w:widowControl/>
              <w:spacing w:line="360" w:lineRule="auto"/>
              <w:ind w:firstLine="480" w:firstLineChars="200"/>
              <w:rPr>
                <w:rFonts w:hint="eastAsia" w:ascii="Times New Roman" w:hAnsi="Times New Roman" w:eastAsia="宋体" w:cs="Times New Roman"/>
                <w:color w:val="auto"/>
                <w:sz w:val="24"/>
                <w:highlight w:val="none"/>
                <w:u w:val="none"/>
                <w:lang w:eastAsia="zh-CN"/>
              </w:rPr>
            </w:pPr>
            <w:r>
              <w:rPr>
                <w:rFonts w:hint="eastAsia" w:ascii="Times New Roman" w:hAnsi="Times New Roman" w:eastAsia="宋体" w:cs="Times New Roman"/>
                <w:color w:val="auto"/>
                <w:sz w:val="24"/>
                <w:highlight w:val="none"/>
                <w:u w:val="none"/>
                <w:lang w:eastAsia="zh-CN"/>
              </w:rPr>
              <w:t>样品的采集、贮存、运输及分析均按《海洋监测规范》（GB17378－2007）和《海洋调查规范》（GB12763－2007）执行。水质调查项目及分析方法、检出限见下表。</w:t>
            </w:r>
          </w:p>
          <w:p w14:paraId="2CB3DCE5">
            <w:pPr>
              <w:keepNext/>
              <w:keepLines/>
              <w:widowControl w:val="0"/>
              <w:numPr>
                <w:ilvl w:val="0"/>
                <w:numId w:val="0"/>
              </w:numPr>
              <w:tabs>
                <w:tab w:val="left" w:pos="0"/>
              </w:tabs>
              <w:bidi w:val="0"/>
              <w:adjustRightInd w:val="0"/>
              <w:snapToGrid w:val="0"/>
              <w:spacing w:line="360" w:lineRule="auto"/>
              <w:ind w:leftChars="0"/>
              <w:jc w:val="center"/>
              <w:outlineLvl w:val="4"/>
              <w:rPr>
                <w:rFonts w:hint="default"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表3.1-4</w:t>
            </w:r>
            <w:r>
              <w:rPr>
                <w:rFonts w:hint="default" w:ascii="Times New Roman" w:hAnsi="Times New Roman" w:eastAsia="宋体" w:cs="Times New Roman"/>
                <w:b/>
                <w:bCs/>
                <w:color w:val="auto"/>
                <w:kern w:val="2"/>
                <w:sz w:val="21"/>
                <w:szCs w:val="21"/>
                <w:highlight w:val="none"/>
                <w:u w:val="none"/>
                <w:lang w:val="en-US" w:eastAsia="zh-CN" w:bidi="ar-SA"/>
              </w:rPr>
              <w:t>海水水质各监测项目分析方法、仪器及检出限</w:t>
            </w:r>
          </w:p>
          <w:tbl>
            <w:tblPr>
              <w:tblStyle w:val="45"/>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57" w:type="dxa"/>
                <w:bottom w:w="0" w:type="dxa"/>
                <w:right w:w="57" w:type="dxa"/>
              </w:tblCellMar>
            </w:tblPr>
            <w:tblGrid>
              <w:gridCol w:w="370"/>
              <w:gridCol w:w="1014"/>
              <w:gridCol w:w="3642"/>
              <w:gridCol w:w="1911"/>
              <w:gridCol w:w="1188"/>
            </w:tblGrid>
            <w:tr w14:paraId="09ADA4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502" w:hRule="atLeast"/>
                <w:tblHeader/>
                <w:jc w:val="center"/>
              </w:trPr>
              <w:tc>
                <w:tcPr>
                  <w:tcW w:w="228" w:type="pct"/>
                  <w:noWrap w:val="0"/>
                  <w:vAlign w:val="center"/>
                </w:tcPr>
                <w:p w14:paraId="367C01E7">
                  <w:pPr>
                    <w:adjustRightInd/>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序号</w:t>
                  </w:r>
                </w:p>
              </w:tc>
              <w:tc>
                <w:tcPr>
                  <w:tcW w:w="624" w:type="pct"/>
                  <w:noWrap w:val="0"/>
                  <w:vAlign w:val="center"/>
                </w:tcPr>
                <w:p w14:paraId="118273CD">
                  <w:pPr>
                    <w:adjustRightInd/>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监测项目</w:t>
                  </w:r>
                </w:p>
              </w:tc>
              <w:tc>
                <w:tcPr>
                  <w:tcW w:w="2241" w:type="pct"/>
                  <w:noWrap w:val="0"/>
                  <w:vAlign w:val="center"/>
                </w:tcPr>
                <w:p w14:paraId="0B032A62">
                  <w:pPr>
                    <w:adjustRightInd/>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分析方法</w:t>
                  </w:r>
                </w:p>
              </w:tc>
              <w:tc>
                <w:tcPr>
                  <w:tcW w:w="1176" w:type="pct"/>
                  <w:noWrap w:val="0"/>
                  <w:vAlign w:val="center"/>
                </w:tcPr>
                <w:p w14:paraId="2787B8EB">
                  <w:pPr>
                    <w:adjustRightInd/>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使用仪器</w:t>
                  </w:r>
                </w:p>
              </w:tc>
              <w:tc>
                <w:tcPr>
                  <w:tcW w:w="729" w:type="pct"/>
                  <w:noWrap w:val="0"/>
                  <w:vAlign w:val="center"/>
                </w:tcPr>
                <w:p w14:paraId="228AEF99">
                  <w:pPr>
                    <w:adjustRightInd/>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检出限</w:t>
                  </w:r>
                </w:p>
              </w:tc>
            </w:tr>
            <w:tr w14:paraId="6EF2A51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5000" w:type="pct"/>
                  <w:gridSpan w:val="5"/>
                  <w:noWrap w:val="0"/>
                  <w:vAlign w:val="center"/>
                </w:tcPr>
                <w:p w14:paraId="4327AC50">
                  <w:pPr>
                    <w:adjustRightInd/>
                    <w:spacing w:line="240" w:lineRule="auto"/>
                    <w:ind w:firstLine="0" w:firstLineChars="0"/>
                    <w:jc w:val="center"/>
                    <w:rPr>
                      <w:rFonts w:hint="eastAsia"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秋季</w:t>
                  </w:r>
                </w:p>
              </w:tc>
            </w:tr>
            <w:tr w14:paraId="7AD82C1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267" w:hRule="atLeast"/>
                <w:jc w:val="center"/>
              </w:trPr>
              <w:tc>
                <w:tcPr>
                  <w:tcW w:w="228" w:type="pct"/>
                  <w:vMerge w:val="restart"/>
                  <w:noWrap w:val="0"/>
                  <w:vAlign w:val="center"/>
                </w:tcPr>
                <w:p w14:paraId="03200134">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w:t>
                  </w:r>
                </w:p>
              </w:tc>
              <w:tc>
                <w:tcPr>
                  <w:tcW w:w="624" w:type="pct"/>
                  <w:vMerge w:val="restart"/>
                  <w:noWrap w:val="0"/>
                  <w:vAlign w:val="center"/>
                </w:tcPr>
                <w:p w14:paraId="4D24251F">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水温</w:t>
                  </w:r>
                </w:p>
              </w:tc>
              <w:tc>
                <w:tcPr>
                  <w:tcW w:w="2241" w:type="pct"/>
                  <w:noWrap w:val="0"/>
                  <w:vAlign w:val="center"/>
                </w:tcPr>
                <w:p w14:paraId="3750D91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w:t>
                  </w:r>
                  <w:r>
                    <w:rPr>
                      <w:rFonts w:hint="eastAsia" w:ascii="Times New Roman" w:hAnsi="Times New Roman" w:eastAsia="宋体" w:cs="Times New Roman"/>
                      <w:color w:val="auto"/>
                      <w:sz w:val="21"/>
                      <w:szCs w:val="21"/>
                      <w:highlight w:val="none"/>
                      <w:u w:val="none"/>
                      <w:lang w:val="en-US" w:eastAsia="zh-CN"/>
                    </w:rPr>
                    <w:t>监测规</w:t>
                  </w:r>
                  <w:r>
                    <w:rPr>
                      <w:rFonts w:ascii="Times New Roman" w:hAnsi="Times New Roman" w:eastAsia="宋体" w:cs="Times New Roman"/>
                      <w:color w:val="auto"/>
                      <w:sz w:val="21"/>
                      <w:szCs w:val="21"/>
                      <w:highlight w:val="none"/>
                      <w:u w:val="none"/>
                    </w:rPr>
                    <w:t>范 第</w:t>
                  </w:r>
                  <w:r>
                    <w:rPr>
                      <w:rFonts w:hint="eastAsia" w:ascii="Times New Roman" w:hAnsi="Times New Roman" w:eastAsia="宋体" w:cs="Times New Roman"/>
                      <w:color w:val="auto"/>
                      <w:sz w:val="21"/>
                      <w:szCs w:val="21"/>
                      <w:highlight w:val="none"/>
                      <w:u w:val="none"/>
                      <w:lang w:val="en-US" w:eastAsia="zh-CN"/>
                    </w:rPr>
                    <w:t>4</w:t>
                  </w:r>
                  <w:r>
                    <w:rPr>
                      <w:rFonts w:ascii="Times New Roman" w:hAnsi="Times New Roman" w:eastAsia="宋体" w:cs="Times New Roman"/>
                      <w:color w:val="auto"/>
                      <w:sz w:val="21"/>
                      <w:szCs w:val="21"/>
                      <w:highlight w:val="none"/>
                      <w:u w:val="none"/>
                    </w:rPr>
                    <w:t>部分</w:t>
                  </w:r>
                  <w:r>
                    <w:rPr>
                      <w:rFonts w:hint="eastAsia" w:ascii="Times New Roman" w:hAnsi="Times New Roman" w:eastAsia="宋体" w:cs="Times New Roman"/>
                      <w:color w:val="auto"/>
                      <w:sz w:val="21"/>
                      <w:szCs w:val="21"/>
                      <w:highlight w:val="none"/>
                      <w:u w:val="none"/>
                      <w:lang w:eastAsia="zh-CN"/>
                    </w:rPr>
                    <w:t>：</w:t>
                  </w:r>
                  <w:r>
                    <w:rPr>
                      <w:rFonts w:ascii="Times New Roman" w:hAnsi="Times New Roman" w:eastAsia="宋体" w:cs="Times New Roman"/>
                      <w:color w:val="auto"/>
                      <w:sz w:val="21"/>
                      <w:szCs w:val="21"/>
                      <w:highlight w:val="none"/>
                      <w:u w:val="none"/>
                    </w:rPr>
                    <w:t>海水</w:t>
                  </w:r>
                  <w:r>
                    <w:rPr>
                      <w:rFonts w:hint="eastAsia" w:ascii="Times New Roman" w:hAnsi="Times New Roman" w:eastAsia="宋体" w:cs="Times New Roman"/>
                      <w:color w:val="auto"/>
                      <w:sz w:val="21"/>
                      <w:szCs w:val="21"/>
                      <w:highlight w:val="none"/>
                      <w:u w:val="none"/>
                      <w:lang w:val="en-US" w:eastAsia="zh-CN"/>
                    </w:rPr>
                    <w:t>分析</w:t>
                  </w:r>
                  <w:r>
                    <w:rPr>
                      <w:rFonts w:ascii="Times New Roman" w:hAnsi="Times New Roman" w:eastAsia="宋体" w:cs="Times New Roman"/>
                      <w:color w:val="auto"/>
                      <w:sz w:val="21"/>
                      <w:szCs w:val="21"/>
                      <w:highlight w:val="none"/>
                      <w:u w:val="none"/>
                    </w:rPr>
                    <w:t>》GB/T 1</w:t>
                  </w:r>
                  <w:r>
                    <w:rPr>
                      <w:rFonts w:hint="eastAsia" w:ascii="Times New Roman" w:hAnsi="Times New Roman" w:eastAsia="宋体" w:cs="Times New Roman"/>
                      <w:color w:val="auto"/>
                      <w:sz w:val="21"/>
                      <w:szCs w:val="21"/>
                      <w:highlight w:val="none"/>
                      <w:u w:val="none"/>
                      <w:lang w:val="en-US" w:eastAsia="zh-CN"/>
                    </w:rPr>
                    <w:t>7378.4</w:t>
                  </w:r>
                  <w:r>
                    <w:rPr>
                      <w:rFonts w:ascii="Times New Roman" w:hAnsi="Times New Roman" w:eastAsia="宋体" w:cs="Times New Roman"/>
                      <w:color w:val="auto"/>
                      <w:sz w:val="21"/>
                      <w:szCs w:val="21"/>
                      <w:highlight w:val="none"/>
                      <w:u w:val="none"/>
                    </w:rPr>
                    <w:t>.2-2007</w:t>
                  </w:r>
                  <w:r>
                    <w:rPr>
                      <w:rFonts w:hint="eastAsia" w:ascii="Times New Roman" w:hAnsi="Times New Roman" w:eastAsia="宋体" w:cs="Times New Roman"/>
                      <w:color w:val="auto"/>
                      <w:sz w:val="21"/>
                      <w:szCs w:val="21"/>
                      <w:highlight w:val="none"/>
                      <w:u w:val="none"/>
                      <w:lang w:val="en-US" w:eastAsia="zh-CN"/>
                    </w:rPr>
                    <w:t>/25.1 表层水温表法</w:t>
                  </w:r>
                </w:p>
              </w:tc>
              <w:tc>
                <w:tcPr>
                  <w:tcW w:w="1176" w:type="pct"/>
                  <w:noWrap w:val="0"/>
                  <w:vAlign w:val="center"/>
                </w:tcPr>
                <w:p w14:paraId="72BE5EC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表层水温表</w:t>
                  </w:r>
                </w:p>
              </w:tc>
              <w:tc>
                <w:tcPr>
                  <w:tcW w:w="729" w:type="pct"/>
                  <w:noWrap w:val="0"/>
                  <w:vAlign w:val="center"/>
                </w:tcPr>
                <w:p w14:paraId="1E4AD857">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r w14:paraId="773FF49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267" w:hRule="atLeast"/>
                <w:jc w:val="center"/>
              </w:trPr>
              <w:tc>
                <w:tcPr>
                  <w:tcW w:w="228" w:type="pct"/>
                  <w:vMerge w:val="continue"/>
                  <w:noWrap w:val="0"/>
                  <w:vAlign w:val="center"/>
                </w:tcPr>
                <w:p w14:paraId="1B42607C">
                  <w:pPr>
                    <w:adjustRightInd/>
                    <w:spacing w:line="240" w:lineRule="auto"/>
                    <w:ind w:firstLine="0" w:firstLineChars="0"/>
                    <w:jc w:val="center"/>
                    <w:rPr>
                      <w:rFonts w:ascii="Times New Roman" w:hAnsi="Times New Roman" w:eastAsia="宋体" w:cs="Times New Roman"/>
                      <w:color w:val="auto"/>
                      <w:szCs w:val="24"/>
                      <w:highlight w:val="none"/>
                      <w:u w:val="none"/>
                    </w:rPr>
                  </w:pPr>
                </w:p>
              </w:tc>
              <w:tc>
                <w:tcPr>
                  <w:tcW w:w="624" w:type="pct"/>
                  <w:vMerge w:val="continue"/>
                  <w:noWrap w:val="0"/>
                  <w:vAlign w:val="center"/>
                </w:tcPr>
                <w:p w14:paraId="2C6066FE">
                  <w:pPr>
                    <w:adjustRightInd/>
                    <w:spacing w:line="240" w:lineRule="auto"/>
                    <w:ind w:firstLine="0" w:firstLineChars="0"/>
                    <w:jc w:val="center"/>
                    <w:rPr>
                      <w:rFonts w:ascii="Times New Roman" w:hAnsi="Times New Roman" w:eastAsia="宋体" w:cs="Times New Roman"/>
                      <w:color w:val="auto"/>
                      <w:szCs w:val="24"/>
                      <w:highlight w:val="none"/>
                      <w:u w:val="none"/>
                    </w:rPr>
                  </w:pPr>
                </w:p>
              </w:tc>
              <w:tc>
                <w:tcPr>
                  <w:tcW w:w="2241" w:type="pct"/>
                  <w:noWrap w:val="0"/>
                  <w:vAlign w:val="center"/>
                </w:tcPr>
                <w:p w14:paraId="7D235BC0">
                  <w:pPr>
                    <w:adjustRightInd/>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ascii="Times New Roman" w:hAnsi="Times New Roman" w:eastAsia="宋体" w:cs="Times New Roman"/>
                      <w:color w:val="auto"/>
                      <w:sz w:val="21"/>
                      <w:szCs w:val="21"/>
                      <w:highlight w:val="none"/>
                      <w:u w:val="none"/>
                    </w:rPr>
                    <w:t>《海洋调查规范 第2部分</w:t>
                  </w:r>
                  <w:r>
                    <w:rPr>
                      <w:rFonts w:hint="eastAsia" w:ascii="Times New Roman" w:hAnsi="Times New Roman" w:eastAsia="宋体" w:cs="Times New Roman"/>
                      <w:color w:val="auto"/>
                      <w:sz w:val="21"/>
                      <w:szCs w:val="21"/>
                      <w:highlight w:val="none"/>
                      <w:u w:val="none"/>
                      <w:lang w:eastAsia="zh-CN"/>
                    </w:rPr>
                    <w:t>：</w:t>
                  </w:r>
                  <w:r>
                    <w:rPr>
                      <w:rFonts w:ascii="Times New Roman" w:hAnsi="Times New Roman" w:eastAsia="宋体" w:cs="Times New Roman"/>
                      <w:color w:val="auto"/>
                      <w:sz w:val="21"/>
                      <w:szCs w:val="21"/>
                      <w:highlight w:val="none"/>
                      <w:u w:val="none"/>
                    </w:rPr>
                    <w:t>海洋水文观测》GB/T 12763.2-2007</w:t>
                  </w:r>
                  <w:r>
                    <w:rPr>
                      <w:rFonts w:hint="eastAsia" w:ascii="Times New Roman" w:hAnsi="Times New Roman" w:eastAsia="宋体" w:cs="Times New Roman"/>
                      <w:color w:val="auto"/>
                      <w:sz w:val="21"/>
                      <w:szCs w:val="21"/>
                      <w:highlight w:val="none"/>
                      <w:u w:val="none"/>
                      <w:lang w:val="en-US" w:eastAsia="zh-CN"/>
                    </w:rPr>
                    <w:t>/5.2.1 温盐深仪（CTD）定点测温</w:t>
                  </w:r>
                </w:p>
              </w:tc>
              <w:tc>
                <w:tcPr>
                  <w:tcW w:w="1176" w:type="pct"/>
                  <w:noWrap w:val="0"/>
                  <w:vAlign w:val="center"/>
                </w:tcPr>
                <w:p w14:paraId="6C72549E">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温盐深仪（CTD）</w:t>
                  </w:r>
                </w:p>
              </w:tc>
              <w:tc>
                <w:tcPr>
                  <w:tcW w:w="729" w:type="pct"/>
                  <w:noWrap w:val="0"/>
                  <w:vAlign w:val="center"/>
                </w:tcPr>
                <w:p w14:paraId="1E422A81">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r w14:paraId="431A005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626B7472">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w:t>
                  </w:r>
                </w:p>
              </w:tc>
              <w:tc>
                <w:tcPr>
                  <w:tcW w:w="624" w:type="pct"/>
                  <w:noWrap w:val="0"/>
                  <w:vAlign w:val="center"/>
                </w:tcPr>
                <w:p w14:paraId="3F40522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盐度</w:t>
                  </w:r>
                </w:p>
              </w:tc>
              <w:tc>
                <w:tcPr>
                  <w:tcW w:w="2241" w:type="pct"/>
                  <w:noWrap w:val="0"/>
                  <w:vAlign w:val="center"/>
                </w:tcPr>
                <w:p w14:paraId="084365B7">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29.1盐度计法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1855AE0F">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HY</w:t>
                  </w:r>
                  <w:r>
                    <w:rPr>
                      <w:rFonts w:ascii="Times New Roman" w:hAnsi="Times New Roman" w:eastAsia="宋体" w:cs="Times New Roman"/>
                      <w:color w:val="auto"/>
                      <w:sz w:val="21"/>
                      <w:szCs w:val="21"/>
                      <w:highlight w:val="none"/>
                      <w:u w:val="none"/>
                    </w:rPr>
                    <w:t>SYA2-2实验室盐度计</w:t>
                  </w:r>
                </w:p>
              </w:tc>
              <w:tc>
                <w:tcPr>
                  <w:tcW w:w="729" w:type="pct"/>
                  <w:noWrap w:val="0"/>
                  <w:vAlign w:val="center"/>
                </w:tcPr>
                <w:p w14:paraId="466F0EC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w:t>
                  </w:r>
                </w:p>
              </w:tc>
            </w:tr>
            <w:tr w14:paraId="78BA9EA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7AF5EB09">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3</w:t>
                  </w:r>
                </w:p>
              </w:tc>
              <w:tc>
                <w:tcPr>
                  <w:tcW w:w="624" w:type="pct"/>
                  <w:noWrap w:val="0"/>
                  <w:vAlign w:val="center"/>
                </w:tcPr>
                <w:p w14:paraId="487F14A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pH</w:t>
                  </w:r>
                </w:p>
              </w:tc>
              <w:tc>
                <w:tcPr>
                  <w:tcW w:w="2241" w:type="pct"/>
                  <w:noWrap w:val="0"/>
                  <w:vAlign w:val="center"/>
                </w:tcPr>
                <w:p w14:paraId="1AD29F9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26 pH-pH计法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6383FF4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pHS-3C型pH计</w:t>
                  </w:r>
                </w:p>
              </w:tc>
              <w:tc>
                <w:tcPr>
                  <w:tcW w:w="729" w:type="pct"/>
                  <w:noWrap w:val="0"/>
                  <w:vAlign w:val="center"/>
                </w:tcPr>
                <w:p w14:paraId="6820253A">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r w14:paraId="435E7BD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5AD93E6B">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4</w:t>
                  </w:r>
                </w:p>
              </w:tc>
              <w:tc>
                <w:tcPr>
                  <w:tcW w:w="624" w:type="pct"/>
                  <w:noWrap w:val="0"/>
                  <w:vAlign w:val="center"/>
                </w:tcPr>
                <w:p w14:paraId="1CB80BC9">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溶解氧</w:t>
                  </w:r>
                </w:p>
              </w:tc>
              <w:tc>
                <w:tcPr>
                  <w:tcW w:w="2241" w:type="pct"/>
                  <w:noWrap w:val="0"/>
                  <w:vAlign w:val="center"/>
                </w:tcPr>
                <w:p w14:paraId="52614BBA">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31 碘量法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7C20FEAF">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电子滴定器</w:t>
                  </w:r>
                </w:p>
              </w:tc>
              <w:tc>
                <w:tcPr>
                  <w:tcW w:w="729" w:type="pct"/>
                  <w:noWrap w:val="0"/>
                  <w:vAlign w:val="center"/>
                </w:tcPr>
                <w:p w14:paraId="0206372E">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0.042 mg/L</w:t>
                  </w:r>
                </w:p>
              </w:tc>
            </w:tr>
            <w:tr w14:paraId="702304D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6EBCCE6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5</w:t>
                  </w:r>
                </w:p>
              </w:tc>
              <w:tc>
                <w:tcPr>
                  <w:tcW w:w="624" w:type="pct"/>
                  <w:noWrap w:val="0"/>
                  <w:vAlign w:val="center"/>
                </w:tcPr>
                <w:p w14:paraId="24413EB9">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化学需氧量</w:t>
                  </w:r>
                </w:p>
              </w:tc>
              <w:tc>
                <w:tcPr>
                  <w:tcW w:w="2241" w:type="pct"/>
                  <w:noWrap w:val="0"/>
                  <w:vAlign w:val="center"/>
                </w:tcPr>
                <w:p w14:paraId="2B619EDE">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32 碱性高锰酸钾法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62C0E6EF">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电子滴定器</w:t>
                  </w:r>
                </w:p>
              </w:tc>
              <w:tc>
                <w:tcPr>
                  <w:tcW w:w="729" w:type="pct"/>
                  <w:noWrap w:val="0"/>
                  <w:vAlign w:val="center"/>
                </w:tcPr>
                <w:p w14:paraId="1112A748">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0.15 mg/L</w:t>
                  </w:r>
                </w:p>
              </w:tc>
            </w:tr>
            <w:tr w14:paraId="1CE994D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0978F24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6</w:t>
                  </w:r>
                </w:p>
              </w:tc>
              <w:tc>
                <w:tcPr>
                  <w:tcW w:w="624" w:type="pct"/>
                  <w:noWrap w:val="0"/>
                  <w:vAlign w:val="center"/>
                </w:tcPr>
                <w:p w14:paraId="3EE71021">
                  <w:pPr>
                    <w:adjustRightInd/>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活性磷酸盐</w:t>
                  </w:r>
                </w:p>
              </w:tc>
              <w:tc>
                <w:tcPr>
                  <w:tcW w:w="2241" w:type="pct"/>
                  <w:noWrap w:val="0"/>
                  <w:vAlign w:val="center"/>
                </w:tcPr>
                <w:p w14:paraId="378DB2F0">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p>
                <w:p w14:paraId="5FACDCF8">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39.1 磷钼蓝分光光度法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7603590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UV-8000S紫外可见分光光度计</w:t>
                  </w:r>
                </w:p>
              </w:tc>
              <w:tc>
                <w:tcPr>
                  <w:tcW w:w="729" w:type="pct"/>
                  <w:noWrap w:val="0"/>
                  <w:vAlign w:val="center"/>
                </w:tcPr>
                <w:p w14:paraId="4775597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0.62 μg/L</w:t>
                  </w:r>
                </w:p>
              </w:tc>
            </w:tr>
            <w:tr w14:paraId="6B61EFF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1012" w:hRule="atLeast"/>
                <w:jc w:val="center"/>
              </w:trPr>
              <w:tc>
                <w:tcPr>
                  <w:tcW w:w="228" w:type="pct"/>
                  <w:noWrap w:val="0"/>
                  <w:vAlign w:val="center"/>
                </w:tcPr>
                <w:p w14:paraId="5598DBAA">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7</w:t>
                  </w:r>
                </w:p>
              </w:tc>
              <w:tc>
                <w:tcPr>
                  <w:tcW w:w="624" w:type="pct"/>
                  <w:noWrap w:val="0"/>
                  <w:vAlign w:val="center"/>
                </w:tcPr>
                <w:p w14:paraId="218F84E7">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亚硝酸盐</w:t>
                  </w:r>
                </w:p>
              </w:tc>
              <w:tc>
                <w:tcPr>
                  <w:tcW w:w="2241" w:type="pct"/>
                  <w:noWrap w:val="0"/>
                  <w:vAlign w:val="center"/>
                </w:tcPr>
                <w:p w14:paraId="6515224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《海洋监测技术规程 第1部分：海水》HY/T147.1-2013</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7 流动分析法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67DC3A12">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SAN</w:t>
                  </w:r>
                  <w:r>
                    <w:rPr>
                      <w:rFonts w:ascii="Times New Roman" w:hAnsi="Times New Roman" w:eastAsia="宋体" w:cs="Times New Roman"/>
                      <w:color w:val="auto"/>
                      <w:sz w:val="21"/>
                      <w:szCs w:val="21"/>
                      <w:highlight w:val="none"/>
                      <w:u w:val="none"/>
                    </w:rPr>
                    <w:t>连续流动分析仪</w:t>
                  </w:r>
                </w:p>
              </w:tc>
              <w:tc>
                <w:tcPr>
                  <w:tcW w:w="729" w:type="pct"/>
                  <w:noWrap w:val="0"/>
                  <w:vAlign w:val="center"/>
                </w:tcPr>
                <w:p w14:paraId="10D06E6F">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0.35 μg/L</w:t>
                  </w:r>
                </w:p>
              </w:tc>
            </w:tr>
            <w:tr w14:paraId="744A182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249" w:hRule="atLeast"/>
                <w:jc w:val="center"/>
              </w:trPr>
              <w:tc>
                <w:tcPr>
                  <w:tcW w:w="228" w:type="pct"/>
                  <w:noWrap w:val="0"/>
                  <w:vAlign w:val="center"/>
                </w:tcPr>
                <w:p w14:paraId="48A1EEDD">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8</w:t>
                  </w:r>
                </w:p>
              </w:tc>
              <w:tc>
                <w:tcPr>
                  <w:tcW w:w="624" w:type="pct"/>
                  <w:noWrap w:val="0"/>
                  <w:vAlign w:val="center"/>
                </w:tcPr>
                <w:p w14:paraId="23DEB7B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硝酸盐</w:t>
                  </w:r>
                </w:p>
              </w:tc>
              <w:tc>
                <w:tcPr>
                  <w:tcW w:w="2241" w:type="pct"/>
                  <w:noWrap w:val="0"/>
                  <w:vAlign w:val="center"/>
                </w:tcPr>
                <w:p w14:paraId="1E9BB400">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《海洋监测技术规程 第1部分：海水》HY/T147.1-2013</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8 流动分析法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55D369D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SAN</w:t>
                  </w:r>
                  <w:r>
                    <w:rPr>
                      <w:rFonts w:ascii="Times New Roman" w:hAnsi="Times New Roman" w:eastAsia="宋体" w:cs="Times New Roman"/>
                      <w:color w:val="auto"/>
                      <w:sz w:val="21"/>
                      <w:szCs w:val="21"/>
                      <w:highlight w:val="none"/>
                      <w:u w:val="none"/>
                    </w:rPr>
                    <w:t>连续流动分析仪</w:t>
                  </w:r>
                </w:p>
              </w:tc>
              <w:tc>
                <w:tcPr>
                  <w:tcW w:w="729" w:type="pct"/>
                  <w:noWrap w:val="0"/>
                  <w:vAlign w:val="center"/>
                </w:tcPr>
                <w:p w14:paraId="3FB5026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rPr>
                    <w:t>0.60 μg/L</w:t>
                  </w:r>
                </w:p>
              </w:tc>
            </w:tr>
            <w:tr w14:paraId="5607705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637" w:hRule="atLeast"/>
                <w:jc w:val="center"/>
              </w:trPr>
              <w:tc>
                <w:tcPr>
                  <w:tcW w:w="228" w:type="pct"/>
                  <w:noWrap w:val="0"/>
                  <w:vAlign w:val="center"/>
                </w:tcPr>
                <w:p w14:paraId="53DAB84A">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9</w:t>
                  </w:r>
                </w:p>
              </w:tc>
              <w:tc>
                <w:tcPr>
                  <w:tcW w:w="624" w:type="pct"/>
                  <w:noWrap w:val="0"/>
                  <w:vAlign w:val="center"/>
                </w:tcPr>
                <w:p w14:paraId="6C211FF4">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氨（铵盐）</w:t>
                  </w:r>
                </w:p>
              </w:tc>
              <w:tc>
                <w:tcPr>
                  <w:tcW w:w="2241" w:type="pct"/>
                  <w:noWrap w:val="0"/>
                  <w:vAlign w:val="center"/>
                </w:tcPr>
                <w:p w14:paraId="00CB4532">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36.2 次溴酸盐氧化法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1AFD5CD4">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UV-8000S紫外可见分光光度计</w:t>
                  </w:r>
                </w:p>
              </w:tc>
              <w:tc>
                <w:tcPr>
                  <w:tcW w:w="729" w:type="pct"/>
                  <w:noWrap w:val="0"/>
                  <w:vAlign w:val="center"/>
                </w:tcPr>
                <w:p w14:paraId="40858D39">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rPr>
                    <w:t>0.42 μg/L</w:t>
                  </w:r>
                </w:p>
              </w:tc>
            </w:tr>
            <w:tr w14:paraId="664D89B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480" w:hRule="atLeast"/>
                <w:jc w:val="center"/>
              </w:trPr>
              <w:tc>
                <w:tcPr>
                  <w:tcW w:w="228" w:type="pct"/>
                  <w:noWrap w:val="0"/>
                  <w:vAlign w:val="center"/>
                </w:tcPr>
                <w:p w14:paraId="2D78987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w:t>
                  </w:r>
                </w:p>
              </w:tc>
              <w:tc>
                <w:tcPr>
                  <w:tcW w:w="624" w:type="pct"/>
                  <w:noWrap w:val="0"/>
                  <w:vAlign w:val="center"/>
                </w:tcPr>
                <w:p w14:paraId="6C1FA569">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石油类</w:t>
                  </w:r>
                </w:p>
              </w:tc>
              <w:tc>
                <w:tcPr>
                  <w:tcW w:w="2241" w:type="pct"/>
                  <w:noWrap w:val="0"/>
                  <w:vAlign w:val="center"/>
                </w:tcPr>
                <w:p w14:paraId="1A89C43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13.2紫外分光光度法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4A0D1DC7">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UV-8000S紫外可见分光光度计</w:t>
                  </w:r>
                </w:p>
              </w:tc>
              <w:tc>
                <w:tcPr>
                  <w:tcW w:w="729" w:type="pct"/>
                  <w:noWrap w:val="0"/>
                  <w:vAlign w:val="center"/>
                </w:tcPr>
                <w:p w14:paraId="43A8838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3.5 μg/L</w:t>
                  </w:r>
                </w:p>
              </w:tc>
            </w:tr>
            <w:tr w14:paraId="10E1F2E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6641C26D">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11</w:t>
                  </w:r>
                </w:p>
              </w:tc>
              <w:tc>
                <w:tcPr>
                  <w:tcW w:w="624" w:type="pct"/>
                  <w:noWrap w:val="0"/>
                  <w:vAlign w:val="center"/>
                </w:tcPr>
                <w:p w14:paraId="6BE4948E">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悬浮物</w:t>
                  </w:r>
                </w:p>
              </w:tc>
              <w:tc>
                <w:tcPr>
                  <w:tcW w:w="2241" w:type="pct"/>
                  <w:noWrap w:val="0"/>
                  <w:vAlign w:val="center"/>
                </w:tcPr>
                <w:p w14:paraId="63BE03D1">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27 悬浮物</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重量法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7951FF7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电子天平</w:t>
                  </w:r>
                </w:p>
              </w:tc>
              <w:tc>
                <w:tcPr>
                  <w:tcW w:w="729" w:type="pct"/>
                  <w:noWrap w:val="0"/>
                  <w:vAlign w:val="center"/>
                </w:tcPr>
                <w:p w14:paraId="15CE2AB1">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2.0 mg/L</w:t>
                  </w:r>
                </w:p>
              </w:tc>
            </w:tr>
            <w:tr w14:paraId="742339C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35671EA9">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12</w:t>
                  </w:r>
                </w:p>
              </w:tc>
              <w:tc>
                <w:tcPr>
                  <w:tcW w:w="624" w:type="pct"/>
                  <w:noWrap w:val="0"/>
                  <w:vAlign w:val="center"/>
                </w:tcPr>
                <w:p w14:paraId="35F1D5AB">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透明度</w:t>
                  </w:r>
                </w:p>
              </w:tc>
              <w:tc>
                <w:tcPr>
                  <w:tcW w:w="2241" w:type="pct"/>
                  <w:noWrap w:val="0"/>
                  <w:vAlign w:val="center"/>
                </w:tcPr>
                <w:p w14:paraId="46CEB6FC">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w:t>
                  </w:r>
                  <w:r>
                    <w:rPr>
                      <w:rFonts w:hint="eastAsia" w:ascii="Times New Roman" w:hAnsi="Times New Roman" w:eastAsia="宋体" w:cs="Times New Roman"/>
                      <w:color w:val="auto"/>
                      <w:kern w:val="0"/>
                      <w:sz w:val="21"/>
                      <w:szCs w:val="21"/>
                      <w:highlight w:val="none"/>
                      <w:u w:val="none"/>
                      <w:lang w:val="en-US" w:eastAsia="zh-CN"/>
                    </w:rPr>
                    <w:t>调查</w:t>
                  </w:r>
                  <w:r>
                    <w:rPr>
                      <w:rFonts w:ascii="Times New Roman" w:hAnsi="Times New Roman" w:eastAsia="宋体" w:cs="Times New Roman"/>
                      <w:color w:val="auto"/>
                      <w:kern w:val="0"/>
                      <w:sz w:val="21"/>
                      <w:szCs w:val="21"/>
                      <w:highlight w:val="none"/>
                      <w:u w:val="none"/>
                    </w:rPr>
                    <w:t>规范 第</w:t>
                  </w:r>
                  <w:r>
                    <w:rPr>
                      <w:rFonts w:hint="eastAsia" w:ascii="Times New Roman" w:hAnsi="Times New Roman" w:eastAsia="宋体" w:cs="Times New Roman"/>
                      <w:color w:val="auto"/>
                      <w:kern w:val="0"/>
                      <w:sz w:val="21"/>
                      <w:szCs w:val="21"/>
                      <w:highlight w:val="none"/>
                      <w:u w:val="none"/>
                      <w:lang w:val="en-US" w:eastAsia="zh-CN"/>
                    </w:rPr>
                    <w:t>2</w:t>
                  </w:r>
                  <w:r>
                    <w:rPr>
                      <w:rFonts w:ascii="Times New Roman" w:hAnsi="Times New Roman" w:eastAsia="宋体" w:cs="Times New Roman"/>
                      <w:color w:val="auto"/>
                      <w:kern w:val="0"/>
                      <w:sz w:val="21"/>
                      <w:szCs w:val="21"/>
                      <w:highlight w:val="none"/>
                      <w:u w:val="none"/>
                    </w:rPr>
                    <w:t>部分：</w:t>
                  </w:r>
                  <w:r>
                    <w:rPr>
                      <w:rFonts w:hint="eastAsia" w:ascii="Times New Roman" w:hAnsi="Times New Roman" w:eastAsia="宋体" w:cs="Times New Roman"/>
                      <w:color w:val="auto"/>
                      <w:kern w:val="0"/>
                      <w:sz w:val="21"/>
                      <w:szCs w:val="21"/>
                      <w:highlight w:val="none"/>
                      <w:u w:val="none"/>
                      <w:lang w:val="en-US" w:eastAsia="zh-CN"/>
                    </w:rPr>
                    <w:t>海洋水文观测</w:t>
                  </w:r>
                  <w:r>
                    <w:rPr>
                      <w:rFonts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sz w:val="21"/>
                      <w:szCs w:val="21"/>
                      <w:highlight w:val="none"/>
                      <w:u w:val="none"/>
                    </w:rPr>
                    <w:t>GB/T 12763.2-2007</w:t>
                  </w:r>
                  <w:r>
                    <w:rPr>
                      <w:rFonts w:ascii="Times New Roman" w:hAnsi="Times New Roman" w:eastAsia="宋体" w:cs="Times New Roman"/>
                      <w:color w:val="auto"/>
                      <w:kern w:val="0"/>
                      <w:sz w:val="21"/>
                      <w:szCs w:val="21"/>
                      <w:highlight w:val="none"/>
                      <w:u w:val="none"/>
                    </w:rPr>
                    <w:t>/</w:t>
                  </w:r>
                  <w:r>
                    <w:rPr>
                      <w:rFonts w:hint="eastAsia" w:ascii="Times New Roman" w:hAnsi="Times New Roman" w:eastAsia="宋体" w:cs="Times New Roman"/>
                      <w:color w:val="auto"/>
                      <w:kern w:val="0"/>
                      <w:sz w:val="21"/>
                      <w:szCs w:val="21"/>
                      <w:highlight w:val="none"/>
                      <w:u w:val="none"/>
                      <w:lang w:val="en-US" w:eastAsia="zh-CN"/>
                    </w:rPr>
                    <w:t>10.2.1海水透明度观测</w:t>
                  </w:r>
                </w:p>
              </w:tc>
              <w:tc>
                <w:tcPr>
                  <w:tcW w:w="1176" w:type="pct"/>
                  <w:noWrap w:val="0"/>
                  <w:vAlign w:val="center"/>
                </w:tcPr>
                <w:p w14:paraId="08D504D5">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lang w:val="en-US" w:eastAsia="zh-CN"/>
                    </w:rPr>
                    <w:t>白色</w:t>
                  </w:r>
                  <w:r>
                    <w:rPr>
                      <w:rFonts w:hint="eastAsia" w:ascii="Times New Roman" w:hAnsi="Times New Roman" w:eastAsia="宋体" w:cs="Times New Roman"/>
                      <w:color w:val="auto"/>
                      <w:kern w:val="0"/>
                      <w:sz w:val="21"/>
                      <w:szCs w:val="21"/>
                      <w:highlight w:val="none"/>
                      <w:u w:val="none"/>
                    </w:rPr>
                    <w:t>透明度盘</w:t>
                  </w:r>
                </w:p>
              </w:tc>
              <w:tc>
                <w:tcPr>
                  <w:tcW w:w="729" w:type="pct"/>
                  <w:noWrap w:val="0"/>
                  <w:vAlign w:val="center"/>
                </w:tcPr>
                <w:p w14:paraId="3E6D3D0D">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w:t>
                  </w:r>
                </w:p>
              </w:tc>
            </w:tr>
            <w:tr w14:paraId="5F9D2C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16E680E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13</w:t>
                  </w:r>
                </w:p>
              </w:tc>
              <w:tc>
                <w:tcPr>
                  <w:tcW w:w="624" w:type="pct"/>
                  <w:noWrap w:val="0"/>
                  <w:vAlign w:val="center"/>
                </w:tcPr>
                <w:p w14:paraId="578DE901">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活性硅酸盐</w:t>
                  </w:r>
                </w:p>
              </w:tc>
              <w:tc>
                <w:tcPr>
                  <w:tcW w:w="2241" w:type="pct"/>
                  <w:noWrap w:val="0"/>
                  <w:vAlign w:val="center"/>
                </w:tcPr>
                <w:p w14:paraId="458F51B3">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第4部分：海水分析》GB17378.4-2007/17.1</w:t>
                  </w:r>
                  <w:r>
                    <w:rPr>
                      <w:rFonts w:hint="eastAsia" w:ascii="Times New Roman" w:hAnsi="Times New Roman" w:eastAsia="宋体" w:cs="Times New Roman"/>
                      <w:color w:val="auto"/>
                      <w:kern w:val="0"/>
                      <w:sz w:val="21"/>
                      <w:szCs w:val="21"/>
                      <w:highlight w:val="none"/>
                      <w:u w:val="none"/>
                    </w:rPr>
                    <w:t>活性硅酸盐</w:t>
                  </w:r>
                  <w:r>
                    <w:rPr>
                      <w:rFonts w:ascii="Times New Roman" w:hAnsi="Times New Roman" w:eastAsia="宋体" w:cs="Times New Roman"/>
                      <w:color w:val="auto"/>
                      <w:kern w:val="0"/>
                      <w:sz w:val="21"/>
                      <w:szCs w:val="21"/>
                      <w:highlight w:val="none"/>
                      <w:u w:val="none"/>
                    </w:rPr>
                    <w:t>—</w:t>
                  </w:r>
                  <w:r>
                    <w:rPr>
                      <w:rFonts w:hint="eastAsia" w:ascii="Times New Roman" w:hAnsi="Times New Roman" w:eastAsia="宋体" w:cs="Times New Roman"/>
                      <w:color w:val="auto"/>
                      <w:kern w:val="0"/>
                      <w:sz w:val="21"/>
                      <w:szCs w:val="21"/>
                      <w:highlight w:val="none"/>
                      <w:u w:val="none"/>
                    </w:rPr>
                    <w:t>硅钼黄法</w:t>
                  </w:r>
                </w:p>
              </w:tc>
              <w:tc>
                <w:tcPr>
                  <w:tcW w:w="1176" w:type="pct"/>
                  <w:noWrap w:val="0"/>
                  <w:vAlign w:val="center"/>
                </w:tcPr>
                <w:p w14:paraId="072FE139">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UV-8000S紫外可见分光光度计</w:t>
                  </w:r>
                </w:p>
              </w:tc>
              <w:tc>
                <w:tcPr>
                  <w:tcW w:w="729" w:type="pct"/>
                  <w:noWrap w:val="0"/>
                  <w:vAlign w:val="center"/>
                </w:tcPr>
                <w:p w14:paraId="08342ABA">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lang w:val="en-US" w:eastAsia="zh-CN"/>
                    </w:rPr>
                    <w:t>2.8</w:t>
                  </w:r>
                  <w:r>
                    <w:rPr>
                      <w:rFonts w:ascii="Times New Roman" w:hAnsi="Times New Roman" w:eastAsia="宋体" w:cs="Times New Roman"/>
                      <w:color w:val="auto"/>
                      <w:kern w:val="0"/>
                      <w:sz w:val="21"/>
                      <w:szCs w:val="21"/>
                      <w:highlight w:val="none"/>
                      <w:u w:val="none"/>
                    </w:rPr>
                    <w:t xml:space="preserve"> μg/L</w:t>
                  </w:r>
                </w:p>
              </w:tc>
            </w:tr>
            <w:tr w14:paraId="3B05D0D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7EE0A578">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14</w:t>
                  </w:r>
                </w:p>
              </w:tc>
              <w:tc>
                <w:tcPr>
                  <w:tcW w:w="624" w:type="pct"/>
                  <w:noWrap w:val="0"/>
                  <w:vAlign w:val="center"/>
                </w:tcPr>
                <w:p w14:paraId="7F16E439">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总有机碳</w:t>
                  </w:r>
                </w:p>
              </w:tc>
              <w:tc>
                <w:tcPr>
                  <w:tcW w:w="2241" w:type="pct"/>
                  <w:noWrap w:val="0"/>
                  <w:vAlign w:val="center"/>
                </w:tcPr>
                <w:p w14:paraId="6DC3C9FB">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第4部分：海水分析》GB17378.4-2007/34.</w:t>
                  </w:r>
                  <w:r>
                    <w:rPr>
                      <w:rFonts w:hint="eastAsia" w:ascii="Times New Roman" w:hAnsi="Times New Roman" w:eastAsia="宋体" w:cs="Times New Roman"/>
                      <w:color w:val="auto"/>
                      <w:kern w:val="0"/>
                      <w:sz w:val="21"/>
                      <w:szCs w:val="21"/>
                      <w:highlight w:val="none"/>
                      <w:u w:val="none"/>
                      <w:lang w:val="en-US" w:eastAsia="zh-CN"/>
                    </w:rPr>
                    <w:t>1总有机碳仪器法</w:t>
                  </w:r>
                </w:p>
              </w:tc>
              <w:tc>
                <w:tcPr>
                  <w:tcW w:w="1176" w:type="pct"/>
                  <w:noWrap w:val="0"/>
                  <w:vAlign w:val="center"/>
                </w:tcPr>
                <w:p w14:paraId="33EE83BB">
                  <w:pPr>
                    <w:widowControl/>
                    <w:adjustRightInd/>
                    <w:spacing w:line="240" w:lineRule="auto"/>
                    <w:ind w:firstLine="0" w:firstLineChars="0"/>
                    <w:jc w:val="center"/>
                    <w:rPr>
                      <w:rFonts w:hint="default" w:ascii="Times New Roman" w:hAnsi="Times New Roman" w:eastAsia="宋体" w:cs="Times New Roman"/>
                      <w:color w:val="auto"/>
                      <w:kern w:val="0"/>
                      <w:sz w:val="21"/>
                      <w:szCs w:val="21"/>
                      <w:highlight w:val="none"/>
                      <w:u w:val="none"/>
                      <w:lang w:val="en-US" w:eastAsia="zh-CN"/>
                    </w:rPr>
                  </w:pPr>
                  <w:r>
                    <w:rPr>
                      <w:rFonts w:hint="eastAsia" w:ascii="Times New Roman" w:hAnsi="Times New Roman" w:eastAsia="宋体" w:cs="Times New Roman"/>
                      <w:color w:val="auto"/>
                      <w:kern w:val="0"/>
                      <w:sz w:val="21"/>
                      <w:szCs w:val="21"/>
                      <w:highlight w:val="none"/>
                      <w:u w:val="none"/>
                      <w:lang w:val="en-US" w:eastAsia="zh-CN"/>
                    </w:rPr>
                    <w:t>总有机碳分析仪</w:t>
                  </w:r>
                </w:p>
              </w:tc>
              <w:tc>
                <w:tcPr>
                  <w:tcW w:w="729" w:type="pct"/>
                  <w:noWrap w:val="0"/>
                  <w:vAlign w:val="center"/>
                </w:tcPr>
                <w:p w14:paraId="68521C66">
                  <w:pPr>
                    <w:adjustRightInd/>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0.03</w:t>
                  </w:r>
                  <w:r>
                    <w:rPr>
                      <w:rFonts w:ascii="Times New Roman" w:hAnsi="Times New Roman" w:eastAsia="宋体" w:cs="Times New Roman"/>
                      <w:color w:val="auto"/>
                      <w:sz w:val="21"/>
                      <w:szCs w:val="21"/>
                      <w:highlight w:val="none"/>
                      <w:u w:val="none"/>
                    </w:rPr>
                    <w:t xml:space="preserve"> mg/L</w:t>
                  </w:r>
                </w:p>
              </w:tc>
            </w:tr>
            <w:tr w14:paraId="681017B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19A6A081">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15</w:t>
                  </w:r>
                </w:p>
              </w:tc>
              <w:tc>
                <w:tcPr>
                  <w:tcW w:w="624" w:type="pct"/>
                  <w:noWrap w:val="0"/>
                  <w:vAlign w:val="center"/>
                </w:tcPr>
                <w:p w14:paraId="251EA99E">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铜</w:t>
                  </w:r>
                </w:p>
              </w:tc>
              <w:tc>
                <w:tcPr>
                  <w:tcW w:w="2241" w:type="pct"/>
                  <w:noWrap w:val="0"/>
                  <w:vAlign w:val="center"/>
                </w:tcPr>
                <w:p w14:paraId="7F313B9F">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《海洋监测规范第4部分：海水分析》GB17378.4-2007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6.2阳极溶出伏安法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34E68692">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797伏安极谱仪</w:t>
                  </w:r>
                </w:p>
              </w:tc>
              <w:tc>
                <w:tcPr>
                  <w:tcW w:w="729" w:type="pct"/>
                  <w:noWrap w:val="0"/>
                  <w:vAlign w:val="center"/>
                </w:tcPr>
                <w:p w14:paraId="61F03FC3">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0.6 μg/L</w:t>
                  </w:r>
                </w:p>
              </w:tc>
            </w:tr>
            <w:tr w14:paraId="00AE150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796A453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16</w:t>
                  </w:r>
                </w:p>
              </w:tc>
              <w:tc>
                <w:tcPr>
                  <w:tcW w:w="624" w:type="pct"/>
                  <w:noWrap w:val="0"/>
                  <w:vAlign w:val="center"/>
                </w:tcPr>
                <w:p w14:paraId="4EBB0621">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锌</w:t>
                  </w:r>
                </w:p>
              </w:tc>
              <w:tc>
                <w:tcPr>
                  <w:tcW w:w="2241" w:type="pct"/>
                  <w:noWrap w:val="0"/>
                  <w:vAlign w:val="center"/>
                </w:tcPr>
                <w:p w14:paraId="50D08202">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《海洋监测规范第4部分：海水分析》GB17378.4-2007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9.2阳极溶出伏安法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2866ED9B">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797伏安极谱仪</w:t>
                  </w:r>
                </w:p>
              </w:tc>
              <w:tc>
                <w:tcPr>
                  <w:tcW w:w="729" w:type="pct"/>
                  <w:noWrap w:val="0"/>
                  <w:vAlign w:val="center"/>
                </w:tcPr>
                <w:p w14:paraId="6223FDB6">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1.2 μg/L</w:t>
                  </w:r>
                </w:p>
              </w:tc>
            </w:tr>
            <w:tr w14:paraId="63F3117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1027" w:hRule="atLeast"/>
                <w:jc w:val="center"/>
              </w:trPr>
              <w:tc>
                <w:tcPr>
                  <w:tcW w:w="228" w:type="pct"/>
                  <w:noWrap w:val="0"/>
                  <w:vAlign w:val="center"/>
                </w:tcPr>
                <w:p w14:paraId="1B906FE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17</w:t>
                  </w:r>
                </w:p>
              </w:tc>
              <w:tc>
                <w:tcPr>
                  <w:tcW w:w="624" w:type="pct"/>
                  <w:noWrap w:val="0"/>
                  <w:vAlign w:val="center"/>
                </w:tcPr>
                <w:p w14:paraId="14CC7912">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总铬</w:t>
                  </w:r>
                </w:p>
              </w:tc>
              <w:tc>
                <w:tcPr>
                  <w:tcW w:w="2241" w:type="pct"/>
                  <w:noWrap w:val="0"/>
                  <w:vAlign w:val="center"/>
                </w:tcPr>
                <w:p w14:paraId="29E8A1F0">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《海洋监测规范第4部分：海水分析》GB17378.4-2007</w:t>
                  </w:r>
                </w:p>
                <w:p w14:paraId="514DDF23">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10.1无火焰原子吸收分光光度法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7687E357">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ZEEint700P原子吸收分光光度计</w:t>
                  </w:r>
                </w:p>
              </w:tc>
              <w:tc>
                <w:tcPr>
                  <w:tcW w:w="729" w:type="pct"/>
                  <w:noWrap w:val="0"/>
                  <w:vAlign w:val="center"/>
                </w:tcPr>
                <w:p w14:paraId="1BD18527">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0.4 μg/L</w:t>
                  </w:r>
                </w:p>
              </w:tc>
            </w:tr>
            <w:tr w14:paraId="289045D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6F95C660">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18</w:t>
                  </w:r>
                </w:p>
              </w:tc>
              <w:tc>
                <w:tcPr>
                  <w:tcW w:w="624" w:type="pct"/>
                  <w:noWrap w:val="0"/>
                  <w:vAlign w:val="center"/>
                </w:tcPr>
                <w:p w14:paraId="13A998C5">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汞</w:t>
                  </w:r>
                </w:p>
              </w:tc>
              <w:tc>
                <w:tcPr>
                  <w:tcW w:w="2241" w:type="pct"/>
                  <w:noWrap w:val="0"/>
                  <w:vAlign w:val="center"/>
                </w:tcPr>
                <w:p w14:paraId="674DF02C">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《海洋监测规范第4部分：海水分析》GB17378.4-2007/5.1原子荧光法</w:t>
                  </w:r>
                </w:p>
              </w:tc>
              <w:tc>
                <w:tcPr>
                  <w:tcW w:w="1176" w:type="pct"/>
                  <w:noWrap w:val="0"/>
                  <w:vAlign w:val="center"/>
                </w:tcPr>
                <w:p w14:paraId="268B4326">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AFS-9530</w:t>
                  </w:r>
                  <w:r>
                    <w:rPr>
                      <w:rFonts w:ascii="Times New Roman" w:hAnsi="Times New Roman" w:eastAsia="宋体" w:cs="Times New Roman"/>
                      <w:color w:val="auto"/>
                      <w:kern w:val="0"/>
                      <w:sz w:val="21"/>
                      <w:szCs w:val="21"/>
                      <w:highlight w:val="none"/>
                      <w:u w:val="none"/>
                    </w:rPr>
                    <w:t>原子荧光光度计</w:t>
                  </w:r>
                </w:p>
              </w:tc>
              <w:tc>
                <w:tcPr>
                  <w:tcW w:w="729" w:type="pct"/>
                  <w:noWrap w:val="0"/>
                  <w:vAlign w:val="center"/>
                </w:tcPr>
                <w:p w14:paraId="35BDE671">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0.007 μg/L</w:t>
                  </w:r>
                </w:p>
              </w:tc>
            </w:tr>
            <w:tr w14:paraId="585D239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3FF94E9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19</w:t>
                  </w:r>
                </w:p>
              </w:tc>
              <w:tc>
                <w:tcPr>
                  <w:tcW w:w="624" w:type="pct"/>
                  <w:noWrap w:val="0"/>
                  <w:vAlign w:val="center"/>
                </w:tcPr>
                <w:p w14:paraId="6B1E09F0">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镉</w:t>
                  </w:r>
                </w:p>
              </w:tc>
              <w:tc>
                <w:tcPr>
                  <w:tcW w:w="2241" w:type="pct"/>
                  <w:noWrap w:val="0"/>
                  <w:vAlign w:val="center"/>
                </w:tcPr>
                <w:p w14:paraId="7C0F5843">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《海洋监测规范第4部分：海水分析》GB17378.4-2007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8.2阳极溶出伏安法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3AC3EAD6">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797伏安极谱仪</w:t>
                  </w:r>
                </w:p>
              </w:tc>
              <w:tc>
                <w:tcPr>
                  <w:tcW w:w="729" w:type="pct"/>
                  <w:noWrap w:val="0"/>
                  <w:vAlign w:val="center"/>
                </w:tcPr>
                <w:p w14:paraId="17FC628C">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0.09 μg/L</w:t>
                  </w:r>
                </w:p>
              </w:tc>
            </w:tr>
            <w:tr w14:paraId="38B4DE3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167693B7">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20</w:t>
                  </w:r>
                </w:p>
              </w:tc>
              <w:tc>
                <w:tcPr>
                  <w:tcW w:w="624" w:type="pct"/>
                  <w:noWrap w:val="0"/>
                  <w:vAlign w:val="center"/>
                </w:tcPr>
                <w:p w14:paraId="058A4EDD">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铅</w:t>
                  </w:r>
                </w:p>
              </w:tc>
              <w:tc>
                <w:tcPr>
                  <w:tcW w:w="2241" w:type="pct"/>
                  <w:noWrap w:val="0"/>
                  <w:vAlign w:val="center"/>
                </w:tcPr>
                <w:p w14:paraId="32013090">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《海洋监测规范第4部分：海水分析》GB17378.4-2007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7.2阳极溶出伏安法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7D3274E8">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797伏安极谱仪</w:t>
                  </w:r>
                </w:p>
              </w:tc>
              <w:tc>
                <w:tcPr>
                  <w:tcW w:w="729" w:type="pct"/>
                  <w:noWrap w:val="0"/>
                  <w:vAlign w:val="center"/>
                </w:tcPr>
                <w:p w14:paraId="6790ABC7">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0.3 μg/L</w:t>
                  </w:r>
                </w:p>
              </w:tc>
            </w:tr>
            <w:tr w14:paraId="53240C5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cantSplit/>
                <w:trHeight w:val="397" w:hRule="atLeast"/>
                <w:jc w:val="center"/>
              </w:trPr>
              <w:tc>
                <w:tcPr>
                  <w:tcW w:w="228" w:type="pct"/>
                  <w:noWrap w:val="0"/>
                  <w:vAlign w:val="center"/>
                </w:tcPr>
                <w:p w14:paraId="2571619F">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21</w:t>
                  </w:r>
                </w:p>
              </w:tc>
              <w:tc>
                <w:tcPr>
                  <w:tcW w:w="624" w:type="pct"/>
                  <w:noWrap w:val="0"/>
                  <w:vAlign w:val="center"/>
                </w:tcPr>
                <w:p w14:paraId="5BC78269">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砷</w:t>
                  </w:r>
                </w:p>
              </w:tc>
              <w:tc>
                <w:tcPr>
                  <w:tcW w:w="2241" w:type="pct"/>
                  <w:noWrap w:val="0"/>
                  <w:vAlign w:val="center"/>
                </w:tcPr>
                <w:p w14:paraId="7DFBF864">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11.1 原子荧光法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26EC9667">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AFS-9530</w:t>
                  </w:r>
                  <w:r>
                    <w:rPr>
                      <w:rFonts w:ascii="Times New Roman" w:hAnsi="Times New Roman" w:eastAsia="宋体" w:cs="Times New Roman"/>
                      <w:color w:val="auto"/>
                      <w:kern w:val="0"/>
                      <w:sz w:val="21"/>
                      <w:szCs w:val="21"/>
                      <w:highlight w:val="none"/>
                      <w:u w:val="none"/>
                    </w:rPr>
                    <w:t>原子荧光光度计</w:t>
                  </w:r>
                </w:p>
              </w:tc>
              <w:tc>
                <w:tcPr>
                  <w:tcW w:w="729" w:type="pct"/>
                  <w:noWrap w:val="0"/>
                  <w:vAlign w:val="center"/>
                </w:tcPr>
                <w:p w14:paraId="296937D1">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0.5 μg/L</w:t>
                  </w:r>
                </w:p>
              </w:tc>
            </w:tr>
          </w:tbl>
          <w:p w14:paraId="538D465D">
            <w:pPr>
              <w:keepNext/>
              <w:keepLines/>
              <w:widowControl w:val="0"/>
              <w:numPr>
                <w:ilvl w:val="0"/>
                <w:numId w:val="0"/>
              </w:numPr>
              <w:tabs>
                <w:tab w:val="left" w:pos="0"/>
              </w:tabs>
              <w:bidi w:val="0"/>
              <w:adjustRightInd w:val="0"/>
              <w:snapToGrid w:val="0"/>
              <w:spacing w:line="360" w:lineRule="auto"/>
              <w:ind w:leftChars="0"/>
              <w:jc w:val="center"/>
              <w:outlineLvl w:val="4"/>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表3.1-5</w:t>
            </w:r>
            <w:r>
              <w:rPr>
                <w:rFonts w:hint="default" w:ascii="Times New Roman" w:hAnsi="Times New Roman" w:eastAsia="宋体" w:cs="Times New Roman"/>
                <w:b/>
                <w:bCs/>
                <w:color w:val="auto"/>
                <w:kern w:val="2"/>
                <w:sz w:val="21"/>
                <w:szCs w:val="21"/>
                <w:highlight w:val="none"/>
                <w:lang w:val="en-US" w:eastAsia="zh-CN" w:bidi="ar-SA"/>
              </w:rPr>
              <w:t>沉积物各</w:t>
            </w:r>
            <w:r>
              <w:rPr>
                <w:rFonts w:hint="eastAsia" w:ascii="Times New Roman" w:hAnsi="Times New Roman" w:eastAsia="宋体" w:cs="Times New Roman"/>
                <w:b/>
                <w:bCs/>
                <w:color w:val="auto"/>
                <w:kern w:val="2"/>
                <w:sz w:val="21"/>
                <w:szCs w:val="21"/>
                <w:highlight w:val="none"/>
                <w:lang w:val="en-US" w:eastAsia="zh-CN" w:bidi="ar-SA"/>
              </w:rPr>
              <w:t>检测项目分析</w:t>
            </w:r>
            <w:r>
              <w:rPr>
                <w:rFonts w:hint="default" w:ascii="Times New Roman" w:hAnsi="Times New Roman" w:eastAsia="宋体" w:cs="Times New Roman"/>
                <w:b/>
                <w:bCs/>
                <w:color w:val="auto"/>
                <w:kern w:val="2"/>
                <w:sz w:val="21"/>
                <w:szCs w:val="21"/>
                <w:highlight w:val="none"/>
                <w:lang w:val="en-US" w:eastAsia="zh-CN" w:bidi="ar-SA"/>
              </w:rPr>
              <w:t>方法、仪器及检出限</w:t>
            </w:r>
          </w:p>
          <w:tbl>
            <w:tblPr>
              <w:tblStyle w:val="45"/>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34"/>
              <w:gridCol w:w="986"/>
              <w:gridCol w:w="3323"/>
              <w:gridCol w:w="2210"/>
              <w:gridCol w:w="1153"/>
            </w:tblGrid>
            <w:tr w14:paraId="6248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blHeader/>
              </w:trPr>
              <w:tc>
                <w:tcPr>
                  <w:tcW w:w="268" w:type="pct"/>
                  <w:noWrap w:val="0"/>
                  <w:vAlign w:val="center"/>
                </w:tcPr>
                <w:p w14:paraId="4AFBB391">
                  <w:pPr>
                    <w:autoSpaceDE w:val="0"/>
                    <w:autoSpaceDN w:val="0"/>
                    <w:spacing w:line="240" w:lineRule="auto"/>
                    <w:ind w:firstLine="0" w:firstLineChars="0"/>
                    <w:jc w:val="center"/>
                    <w:rPr>
                      <w:rFonts w:ascii="Times New Roman" w:hAnsi="Times New Roman" w:eastAsia="宋体" w:cs="Times New Roman"/>
                      <w:b/>
                      <w:color w:val="auto"/>
                      <w:sz w:val="21"/>
                      <w:szCs w:val="21"/>
                      <w:highlight w:val="none"/>
                      <w:lang w:val="zh-CN"/>
                    </w:rPr>
                  </w:pPr>
                  <w:r>
                    <w:rPr>
                      <w:rFonts w:ascii="Times New Roman" w:hAnsi="Times New Roman" w:eastAsia="宋体" w:cs="Times New Roman"/>
                      <w:b/>
                      <w:color w:val="auto"/>
                      <w:sz w:val="21"/>
                      <w:szCs w:val="21"/>
                      <w:highlight w:val="none"/>
                      <w:lang w:val="zh-CN"/>
                    </w:rPr>
                    <w:t>序号</w:t>
                  </w:r>
                </w:p>
              </w:tc>
              <w:tc>
                <w:tcPr>
                  <w:tcW w:w="608" w:type="pct"/>
                  <w:noWrap w:val="0"/>
                  <w:vAlign w:val="center"/>
                </w:tcPr>
                <w:p w14:paraId="6A1637AE">
                  <w:pPr>
                    <w:autoSpaceDE w:val="0"/>
                    <w:autoSpaceDN w:val="0"/>
                    <w:spacing w:line="240" w:lineRule="auto"/>
                    <w:ind w:firstLine="0" w:firstLineChars="0"/>
                    <w:jc w:val="center"/>
                    <w:rPr>
                      <w:rFonts w:ascii="Times New Roman" w:hAnsi="Times New Roman" w:eastAsia="宋体" w:cs="Times New Roman"/>
                      <w:b/>
                      <w:color w:val="auto"/>
                      <w:sz w:val="21"/>
                      <w:szCs w:val="21"/>
                      <w:highlight w:val="none"/>
                      <w:lang w:val="zh-CN"/>
                    </w:rPr>
                  </w:pPr>
                  <w:r>
                    <w:rPr>
                      <w:rFonts w:ascii="Times New Roman" w:hAnsi="Times New Roman" w:eastAsia="宋体" w:cs="Times New Roman"/>
                      <w:b/>
                      <w:color w:val="auto"/>
                      <w:sz w:val="21"/>
                      <w:szCs w:val="21"/>
                      <w:highlight w:val="none"/>
                      <w:lang w:val="zh-CN"/>
                    </w:rPr>
                    <w:t>监测项目</w:t>
                  </w:r>
                </w:p>
              </w:tc>
              <w:tc>
                <w:tcPr>
                  <w:tcW w:w="2050" w:type="pct"/>
                  <w:noWrap w:val="0"/>
                  <w:vAlign w:val="center"/>
                </w:tcPr>
                <w:p w14:paraId="763DF1E9">
                  <w:pPr>
                    <w:autoSpaceDE w:val="0"/>
                    <w:autoSpaceDN w:val="0"/>
                    <w:spacing w:line="240" w:lineRule="auto"/>
                    <w:ind w:firstLine="0" w:firstLineChars="0"/>
                    <w:jc w:val="center"/>
                    <w:rPr>
                      <w:rFonts w:ascii="Times New Roman" w:hAnsi="Times New Roman" w:eastAsia="宋体" w:cs="Times New Roman"/>
                      <w:b/>
                      <w:color w:val="auto"/>
                      <w:sz w:val="21"/>
                      <w:szCs w:val="21"/>
                      <w:highlight w:val="none"/>
                      <w:lang w:val="zh-CN"/>
                    </w:rPr>
                  </w:pPr>
                  <w:r>
                    <w:rPr>
                      <w:rFonts w:ascii="Times New Roman" w:hAnsi="Times New Roman" w:eastAsia="宋体" w:cs="Times New Roman"/>
                      <w:b/>
                      <w:color w:val="auto"/>
                      <w:sz w:val="21"/>
                      <w:szCs w:val="21"/>
                      <w:highlight w:val="none"/>
                      <w:lang w:val="zh-CN"/>
                    </w:rPr>
                    <w:t>分析方法</w:t>
                  </w:r>
                </w:p>
              </w:tc>
              <w:tc>
                <w:tcPr>
                  <w:tcW w:w="1363" w:type="pct"/>
                  <w:noWrap w:val="0"/>
                  <w:vAlign w:val="center"/>
                </w:tcPr>
                <w:p w14:paraId="0F45C1C5">
                  <w:pPr>
                    <w:autoSpaceDE w:val="0"/>
                    <w:autoSpaceDN w:val="0"/>
                    <w:spacing w:line="240" w:lineRule="auto"/>
                    <w:ind w:firstLine="0" w:firstLineChars="0"/>
                    <w:jc w:val="center"/>
                    <w:rPr>
                      <w:rFonts w:ascii="Times New Roman" w:hAnsi="Times New Roman" w:eastAsia="宋体" w:cs="Times New Roman"/>
                      <w:b/>
                      <w:color w:val="auto"/>
                      <w:sz w:val="21"/>
                      <w:szCs w:val="21"/>
                      <w:highlight w:val="none"/>
                      <w:lang w:val="zh-CN"/>
                    </w:rPr>
                  </w:pPr>
                  <w:r>
                    <w:rPr>
                      <w:rFonts w:ascii="Times New Roman" w:hAnsi="Times New Roman" w:eastAsia="宋体" w:cs="Times New Roman"/>
                      <w:b/>
                      <w:color w:val="auto"/>
                      <w:kern w:val="0"/>
                      <w:sz w:val="21"/>
                      <w:szCs w:val="21"/>
                      <w:highlight w:val="none"/>
                    </w:rPr>
                    <w:t>分析仪器</w:t>
                  </w:r>
                </w:p>
              </w:tc>
              <w:tc>
                <w:tcPr>
                  <w:tcW w:w="708" w:type="pct"/>
                  <w:noWrap w:val="0"/>
                  <w:vAlign w:val="center"/>
                </w:tcPr>
                <w:p w14:paraId="6861C168">
                  <w:pPr>
                    <w:autoSpaceDE w:val="0"/>
                    <w:autoSpaceDN w:val="0"/>
                    <w:spacing w:line="240" w:lineRule="auto"/>
                    <w:ind w:firstLine="0" w:firstLineChars="0"/>
                    <w:jc w:val="center"/>
                    <w:rPr>
                      <w:rFonts w:ascii="Times New Roman" w:hAnsi="Times New Roman" w:eastAsia="宋体" w:cs="Times New Roman"/>
                      <w:b/>
                      <w:color w:val="auto"/>
                      <w:sz w:val="21"/>
                      <w:szCs w:val="21"/>
                      <w:highlight w:val="none"/>
                      <w:lang w:val="zh-CN"/>
                    </w:rPr>
                  </w:pPr>
                  <w:r>
                    <w:rPr>
                      <w:rFonts w:ascii="Times New Roman" w:hAnsi="Times New Roman" w:eastAsia="宋体" w:cs="Times New Roman"/>
                      <w:b/>
                      <w:color w:val="auto"/>
                      <w:sz w:val="21"/>
                      <w:szCs w:val="21"/>
                      <w:highlight w:val="none"/>
                      <w:lang w:val="zh-CN"/>
                    </w:rPr>
                    <w:t>检出限</w:t>
                  </w:r>
                </w:p>
              </w:tc>
            </w:tr>
            <w:tr w14:paraId="0945672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trPr>
              <w:tc>
                <w:tcPr>
                  <w:tcW w:w="5000" w:type="pct"/>
                  <w:gridSpan w:val="5"/>
                  <w:noWrap w:val="0"/>
                  <w:vAlign w:val="center"/>
                </w:tcPr>
                <w:p w14:paraId="170800A8">
                  <w:pPr>
                    <w:adjustRightInd/>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秋季（2024年10月）</w:t>
                  </w:r>
                </w:p>
              </w:tc>
            </w:tr>
            <w:tr w14:paraId="49ED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4D7EC375">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1</w:t>
                  </w:r>
                </w:p>
              </w:tc>
              <w:tc>
                <w:tcPr>
                  <w:tcW w:w="608" w:type="pct"/>
                  <w:noWrap w:val="0"/>
                  <w:vAlign w:val="center"/>
                </w:tcPr>
                <w:p w14:paraId="59B24353">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铜</w:t>
                  </w:r>
                </w:p>
              </w:tc>
              <w:tc>
                <w:tcPr>
                  <w:tcW w:w="2050" w:type="pct"/>
                  <w:noWrap w:val="0"/>
                  <w:vAlign w:val="center"/>
                </w:tcPr>
                <w:p w14:paraId="32259946">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p>
                <w:p w14:paraId="500954FB">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6.2火焰原子吸收分光光度法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2618845D">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kern w:val="0"/>
                      <w:sz w:val="21"/>
                      <w:szCs w:val="21"/>
                      <w:highlight w:val="none"/>
                      <w:lang w:bidi="ar"/>
                    </w:rPr>
                    <w:t>A3AFG-12</w:t>
                  </w:r>
                  <w:r>
                    <w:rPr>
                      <w:rFonts w:ascii="Times New Roman" w:hAnsi="Times New Roman" w:eastAsia="宋体" w:cs="Times New Roman"/>
                      <w:color w:val="auto"/>
                      <w:sz w:val="21"/>
                      <w:szCs w:val="21"/>
                      <w:highlight w:val="none"/>
                      <w:lang w:val="zh-CN"/>
                    </w:rPr>
                    <w:t>原子吸收分光光度计</w:t>
                  </w:r>
                </w:p>
              </w:tc>
              <w:tc>
                <w:tcPr>
                  <w:tcW w:w="708" w:type="pct"/>
                  <w:noWrap w:val="0"/>
                  <w:vAlign w:val="center"/>
                </w:tcPr>
                <w:p w14:paraId="17F31A0A">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2.0×10</w:t>
                  </w:r>
                  <w:r>
                    <w:rPr>
                      <w:rFonts w:ascii="Times New Roman" w:hAnsi="Times New Roman" w:eastAsia="宋体" w:cs="Times New Roman"/>
                      <w:color w:val="auto"/>
                      <w:kern w:val="0"/>
                      <w:sz w:val="21"/>
                      <w:szCs w:val="21"/>
                      <w:highlight w:val="none"/>
                      <w:vertAlign w:val="superscript"/>
                    </w:rPr>
                    <w:t>-6</w:t>
                  </w:r>
                </w:p>
              </w:tc>
            </w:tr>
            <w:tr w14:paraId="61A7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6977C289">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2</w:t>
                  </w:r>
                </w:p>
              </w:tc>
              <w:tc>
                <w:tcPr>
                  <w:tcW w:w="608" w:type="pct"/>
                  <w:noWrap w:val="0"/>
                  <w:vAlign w:val="center"/>
                </w:tcPr>
                <w:p w14:paraId="267D3AF8">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铅</w:t>
                  </w:r>
                </w:p>
              </w:tc>
              <w:tc>
                <w:tcPr>
                  <w:tcW w:w="2050" w:type="pct"/>
                  <w:noWrap w:val="0"/>
                  <w:vAlign w:val="center"/>
                </w:tcPr>
                <w:p w14:paraId="47806033">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p>
                <w:p w14:paraId="0AFE7099">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7.1无火焰原子吸收分光光度法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0F7BD088">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kern w:val="0"/>
                      <w:sz w:val="21"/>
                      <w:szCs w:val="21"/>
                      <w:highlight w:val="none"/>
                      <w:lang w:bidi="ar"/>
                    </w:rPr>
                    <w:t>A3AFG-12</w:t>
                  </w:r>
                  <w:r>
                    <w:rPr>
                      <w:rFonts w:ascii="Times New Roman" w:hAnsi="Times New Roman" w:eastAsia="宋体" w:cs="Times New Roman"/>
                      <w:color w:val="auto"/>
                      <w:sz w:val="21"/>
                      <w:szCs w:val="21"/>
                      <w:highlight w:val="none"/>
                      <w:lang w:val="zh-CN"/>
                    </w:rPr>
                    <w:t>原子吸收分光光度计</w:t>
                  </w:r>
                </w:p>
              </w:tc>
              <w:tc>
                <w:tcPr>
                  <w:tcW w:w="708" w:type="pct"/>
                  <w:noWrap w:val="0"/>
                  <w:vAlign w:val="center"/>
                </w:tcPr>
                <w:p w14:paraId="47F90FD1">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1.0×10</w:t>
                  </w:r>
                  <w:r>
                    <w:rPr>
                      <w:rFonts w:ascii="Times New Roman" w:hAnsi="Times New Roman" w:eastAsia="宋体" w:cs="Times New Roman"/>
                      <w:color w:val="auto"/>
                      <w:kern w:val="0"/>
                      <w:sz w:val="21"/>
                      <w:szCs w:val="21"/>
                      <w:highlight w:val="none"/>
                      <w:vertAlign w:val="superscript"/>
                    </w:rPr>
                    <w:t>-6</w:t>
                  </w:r>
                </w:p>
              </w:tc>
            </w:tr>
            <w:tr w14:paraId="1443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6FB5D3A1">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3</w:t>
                  </w:r>
                </w:p>
              </w:tc>
              <w:tc>
                <w:tcPr>
                  <w:tcW w:w="608" w:type="pct"/>
                  <w:noWrap w:val="0"/>
                  <w:vAlign w:val="center"/>
                </w:tcPr>
                <w:p w14:paraId="3247F16F">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锌</w:t>
                  </w:r>
                </w:p>
              </w:tc>
              <w:tc>
                <w:tcPr>
                  <w:tcW w:w="2050" w:type="pct"/>
                  <w:noWrap w:val="0"/>
                  <w:vAlign w:val="center"/>
                </w:tcPr>
                <w:p w14:paraId="6688C770">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p>
                <w:p w14:paraId="62263295">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9火焰原子吸收分光光度法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5E4D05A2">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kern w:val="0"/>
                      <w:sz w:val="21"/>
                      <w:szCs w:val="21"/>
                      <w:highlight w:val="none"/>
                      <w:lang w:bidi="ar"/>
                    </w:rPr>
                    <w:t>A3AFG-12</w:t>
                  </w:r>
                  <w:r>
                    <w:rPr>
                      <w:rFonts w:ascii="Times New Roman" w:hAnsi="Times New Roman" w:eastAsia="宋体" w:cs="Times New Roman"/>
                      <w:color w:val="auto"/>
                      <w:sz w:val="21"/>
                      <w:szCs w:val="21"/>
                      <w:highlight w:val="none"/>
                      <w:lang w:val="zh-CN"/>
                    </w:rPr>
                    <w:t>原子吸收分光光度计</w:t>
                  </w:r>
                </w:p>
              </w:tc>
              <w:tc>
                <w:tcPr>
                  <w:tcW w:w="708" w:type="pct"/>
                  <w:noWrap w:val="0"/>
                  <w:vAlign w:val="center"/>
                </w:tcPr>
                <w:p w14:paraId="623A6FB7">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6.0×10</w:t>
                  </w:r>
                  <w:r>
                    <w:rPr>
                      <w:rFonts w:ascii="Times New Roman" w:hAnsi="Times New Roman" w:eastAsia="宋体" w:cs="Times New Roman"/>
                      <w:color w:val="auto"/>
                      <w:kern w:val="0"/>
                      <w:sz w:val="21"/>
                      <w:szCs w:val="21"/>
                      <w:highlight w:val="none"/>
                      <w:vertAlign w:val="superscript"/>
                    </w:rPr>
                    <w:t>-6</w:t>
                  </w:r>
                </w:p>
              </w:tc>
            </w:tr>
            <w:tr w14:paraId="75D3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514EF9BB">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4</w:t>
                  </w:r>
                </w:p>
              </w:tc>
              <w:tc>
                <w:tcPr>
                  <w:tcW w:w="608" w:type="pct"/>
                  <w:noWrap w:val="0"/>
                  <w:vAlign w:val="center"/>
                </w:tcPr>
                <w:p w14:paraId="1DEFE12E">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镉</w:t>
                  </w:r>
                </w:p>
              </w:tc>
              <w:tc>
                <w:tcPr>
                  <w:tcW w:w="2050" w:type="pct"/>
                  <w:noWrap w:val="0"/>
                  <w:vAlign w:val="center"/>
                </w:tcPr>
                <w:p w14:paraId="61B7789B">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p>
                <w:p w14:paraId="0AC5B1A6">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8.1无火焰原子吸收分光光度法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2C863E94">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kern w:val="0"/>
                      <w:sz w:val="21"/>
                      <w:szCs w:val="21"/>
                      <w:highlight w:val="none"/>
                      <w:lang w:bidi="ar"/>
                    </w:rPr>
                    <w:t>A3AFG-12</w:t>
                  </w:r>
                  <w:r>
                    <w:rPr>
                      <w:rFonts w:ascii="Times New Roman" w:hAnsi="Times New Roman" w:eastAsia="宋体" w:cs="Times New Roman"/>
                      <w:color w:val="auto"/>
                      <w:sz w:val="21"/>
                      <w:szCs w:val="21"/>
                      <w:highlight w:val="none"/>
                      <w:lang w:val="zh-CN"/>
                    </w:rPr>
                    <w:t>原子吸收分光光度计</w:t>
                  </w:r>
                </w:p>
              </w:tc>
              <w:tc>
                <w:tcPr>
                  <w:tcW w:w="708" w:type="pct"/>
                  <w:noWrap w:val="0"/>
                  <w:vAlign w:val="center"/>
                </w:tcPr>
                <w:p w14:paraId="7C3C6C84">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0.04×10</w:t>
                  </w:r>
                  <w:r>
                    <w:rPr>
                      <w:rFonts w:ascii="Times New Roman" w:hAnsi="Times New Roman" w:eastAsia="宋体" w:cs="Times New Roman"/>
                      <w:color w:val="auto"/>
                      <w:kern w:val="0"/>
                      <w:sz w:val="21"/>
                      <w:szCs w:val="21"/>
                      <w:highlight w:val="none"/>
                      <w:vertAlign w:val="superscript"/>
                    </w:rPr>
                    <w:t>-6</w:t>
                  </w:r>
                </w:p>
              </w:tc>
            </w:tr>
            <w:tr w14:paraId="1B9E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04ACA2CF">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5</w:t>
                  </w:r>
                </w:p>
              </w:tc>
              <w:tc>
                <w:tcPr>
                  <w:tcW w:w="608" w:type="pct"/>
                  <w:noWrap w:val="0"/>
                  <w:vAlign w:val="center"/>
                </w:tcPr>
                <w:p w14:paraId="499D6C43">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总汞</w:t>
                  </w:r>
                </w:p>
              </w:tc>
              <w:tc>
                <w:tcPr>
                  <w:tcW w:w="2050" w:type="pct"/>
                  <w:noWrap w:val="0"/>
                  <w:vAlign w:val="center"/>
                </w:tcPr>
                <w:p w14:paraId="77447727">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5.1原子荧光法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282821FA">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bidi="ar"/>
                    </w:rPr>
                    <w:t>AFS-9530</w:t>
                  </w:r>
                  <w:r>
                    <w:rPr>
                      <w:rFonts w:ascii="Times New Roman" w:hAnsi="Times New Roman" w:eastAsia="宋体" w:cs="Times New Roman"/>
                      <w:color w:val="auto"/>
                      <w:sz w:val="21"/>
                      <w:szCs w:val="21"/>
                      <w:highlight w:val="none"/>
                    </w:rPr>
                    <w:t>原子荧光光度计</w:t>
                  </w:r>
                </w:p>
              </w:tc>
              <w:tc>
                <w:tcPr>
                  <w:tcW w:w="708" w:type="pct"/>
                  <w:noWrap w:val="0"/>
                  <w:vAlign w:val="center"/>
                </w:tcPr>
                <w:p w14:paraId="20603E80">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0.002×10</w:t>
                  </w:r>
                  <w:r>
                    <w:rPr>
                      <w:rFonts w:ascii="Times New Roman" w:hAnsi="Times New Roman" w:eastAsia="宋体" w:cs="Times New Roman"/>
                      <w:color w:val="auto"/>
                      <w:kern w:val="0"/>
                      <w:sz w:val="21"/>
                      <w:szCs w:val="21"/>
                      <w:highlight w:val="none"/>
                      <w:vertAlign w:val="superscript"/>
                    </w:rPr>
                    <w:t>-6</w:t>
                  </w:r>
                </w:p>
              </w:tc>
            </w:tr>
            <w:tr w14:paraId="32E9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529C6418">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6</w:t>
                  </w:r>
                </w:p>
              </w:tc>
              <w:tc>
                <w:tcPr>
                  <w:tcW w:w="608" w:type="pct"/>
                  <w:noWrap w:val="0"/>
                  <w:vAlign w:val="center"/>
                </w:tcPr>
                <w:p w14:paraId="756253A8">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砷</w:t>
                  </w:r>
                </w:p>
              </w:tc>
              <w:tc>
                <w:tcPr>
                  <w:tcW w:w="2050" w:type="pct"/>
                  <w:noWrap w:val="0"/>
                  <w:vAlign w:val="center"/>
                </w:tcPr>
                <w:p w14:paraId="3AAEEF21">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11.1原子荧光法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7E7A1619">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bidi="ar"/>
                    </w:rPr>
                    <w:t>AFS-9530</w:t>
                  </w:r>
                  <w:r>
                    <w:rPr>
                      <w:rFonts w:ascii="Times New Roman" w:hAnsi="Times New Roman" w:eastAsia="宋体" w:cs="Times New Roman"/>
                      <w:color w:val="auto"/>
                      <w:sz w:val="21"/>
                      <w:szCs w:val="21"/>
                      <w:highlight w:val="none"/>
                    </w:rPr>
                    <w:t>原子荧光光度计</w:t>
                  </w:r>
                </w:p>
              </w:tc>
              <w:tc>
                <w:tcPr>
                  <w:tcW w:w="708" w:type="pct"/>
                  <w:noWrap w:val="0"/>
                  <w:vAlign w:val="center"/>
                </w:tcPr>
                <w:p w14:paraId="1E479DC1">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0.06×10</w:t>
                  </w:r>
                  <w:r>
                    <w:rPr>
                      <w:rFonts w:ascii="Times New Roman" w:hAnsi="Times New Roman" w:eastAsia="宋体" w:cs="Times New Roman"/>
                      <w:color w:val="auto"/>
                      <w:kern w:val="0"/>
                      <w:sz w:val="21"/>
                      <w:szCs w:val="21"/>
                      <w:highlight w:val="none"/>
                      <w:vertAlign w:val="superscript"/>
                    </w:rPr>
                    <w:t>-6</w:t>
                  </w:r>
                </w:p>
              </w:tc>
            </w:tr>
            <w:tr w14:paraId="15BF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527686F2">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7</w:t>
                  </w:r>
                </w:p>
              </w:tc>
              <w:tc>
                <w:tcPr>
                  <w:tcW w:w="608" w:type="pct"/>
                  <w:noWrap w:val="0"/>
                  <w:vAlign w:val="center"/>
                </w:tcPr>
                <w:p w14:paraId="6BF10C54">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铬</w:t>
                  </w:r>
                </w:p>
              </w:tc>
              <w:tc>
                <w:tcPr>
                  <w:tcW w:w="2050" w:type="pct"/>
                  <w:noWrap w:val="0"/>
                  <w:vAlign w:val="center"/>
                </w:tcPr>
                <w:p w14:paraId="79A2EB77">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p>
                <w:p w14:paraId="21CE5C72">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10.1无火焰原子吸收分光光度法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4CF03A66">
                  <w:pPr>
                    <w:autoSpaceDE w:val="0"/>
                    <w:autoSpaceDN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kern w:val="0"/>
                      <w:sz w:val="21"/>
                      <w:szCs w:val="21"/>
                      <w:highlight w:val="none"/>
                      <w:lang w:bidi="ar"/>
                    </w:rPr>
                    <w:t>A3AFG-12</w:t>
                  </w:r>
                  <w:r>
                    <w:rPr>
                      <w:rFonts w:ascii="Times New Roman" w:hAnsi="Times New Roman" w:eastAsia="宋体" w:cs="Times New Roman"/>
                      <w:color w:val="auto"/>
                      <w:sz w:val="21"/>
                      <w:szCs w:val="21"/>
                      <w:highlight w:val="none"/>
                      <w:lang w:val="zh-CN"/>
                    </w:rPr>
                    <w:t>原子吸收分光光度计</w:t>
                  </w:r>
                </w:p>
              </w:tc>
              <w:tc>
                <w:tcPr>
                  <w:tcW w:w="708" w:type="pct"/>
                  <w:noWrap w:val="0"/>
                  <w:vAlign w:val="center"/>
                </w:tcPr>
                <w:p w14:paraId="7697E824">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2.0×10</w:t>
                  </w:r>
                  <w:r>
                    <w:rPr>
                      <w:rFonts w:ascii="Times New Roman" w:hAnsi="Times New Roman" w:eastAsia="宋体" w:cs="Times New Roman"/>
                      <w:color w:val="auto"/>
                      <w:kern w:val="0"/>
                      <w:sz w:val="21"/>
                      <w:szCs w:val="21"/>
                      <w:highlight w:val="none"/>
                      <w:vertAlign w:val="superscript"/>
                    </w:rPr>
                    <w:t>-6</w:t>
                  </w:r>
                </w:p>
              </w:tc>
            </w:tr>
            <w:tr w14:paraId="225C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4" w:hRule="atLeast"/>
              </w:trPr>
              <w:tc>
                <w:tcPr>
                  <w:tcW w:w="268" w:type="pct"/>
                  <w:noWrap w:val="0"/>
                  <w:vAlign w:val="center"/>
                </w:tcPr>
                <w:p w14:paraId="60C756B7">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8</w:t>
                  </w:r>
                </w:p>
              </w:tc>
              <w:tc>
                <w:tcPr>
                  <w:tcW w:w="608" w:type="pct"/>
                  <w:noWrap w:val="0"/>
                  <w:vAlign w:val="center"/>
                </w:tcPr>
                <w:p w14:paraId="73EB885D">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石油类</w:t>
                  </w:r>
                </w:p>
              </w:tc>
              <w:tc>
                <w:tcPr>
                  <w:tcW w:w="2050" w:type="pct"/>
                  <w:noWrap w:val="0"/>
                  <w:vAlign w:val="center"/>
                </w:tcPr>
                <w:p w14:paraId="34B744CC">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13.2紫外分光光度法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526F5BE7">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bidi="ar"/>
                    </w:rPr>
                    <w:t>UV-8000S</w:t>
                  </w:r>
                  <w:r>
                    <w:rPr>
                      <w:rFonts w:ascii="Times New Roman" w:hAnsi="Times New Roman" w:eastAsia="宋体" w:cs="Times New Roman"/>
                      <w:color w:val="auto"/>
                      <w:sz w:val="21"/>
                      <w:szCs w:val="21"/>
                      <w:highlight w:val="none"/>
                      <w:lang w:val="zh-CN"/>
                    </w:rPr>
                    <w:t>紫外可见分光光度计</w:t>
                  </w:r>
                </w:p>
              </w:tc>
              <w:tc>
                <w:tcPr>
                  <w:tcW w:w="708" w:type="pct"/>
                  <w:noWrap w:val="0"/>
                  <w:vAlign w:val="center"/>
                </w:tcPr>
                <w:p w14:paraId="40586DDD">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3.0×10</w:t>
                  </w:r>
                  <w:r>
                    <w:rPr>
                      <w:rFonts w:ascii="Times New Roman" w:hAnsi="Times New Roman" w:eastAsia="宋体" w:cs="Times New Roman"/>
                      <w:color w:val="auto"/>
                      <w:kern w:val="0"/>
                      <w:sz w:val="21"/>
                      <w:szCs w:val="21"/>
                      <w:highlight w:val="none"/>
                      <w:vertAlign w:val="superscript"/>
                    </w:rPr>
                    <w:t>-6</w:t>
                  </w:r>
                </w:p>
              </w:tc>
            </w:tr>
            <w:tr w14:paraId="7DE5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783BB559">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9</w:t>
                  </w:r>
                </w:p>
              </w:tc>
              <w:tc>
                <w:tcPr>
                  <w:tcW w:w="608" w:type="pct"/>
                  <w:noWrap w:val="0"/>
                  <w:vAlign w:val="center"/>
                </w:tcPr>
                <w:p w14:paraId="77F018CA">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有机碳</w:t>
                  </w:r>
                </w:p>
              </w:tc>
              <w:tc>
                <w:tcPr>
                  <w:tcW w:w="2050" w:type="pct"/>
                  <w:noWrap w:val="0"/>
                  <w:vAlign w:val="center"/>
                </w:tcPr>
                <w:p w14:paraId="31E23E53">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p>
                <w:p w14:paraId="2E670855">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18.1重铬酸钾氧化还原容量法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3E1E89ED">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酸式滴定管</w:t>
                  </w:r>
                </w:p>
              </w:tc>
              <w:tc>
                <w:tcPr>
                  <w:tcW w:w="708" w:type="pct"/>
                  <w:noWrap w:val="0"/>
                  <w:vAlign w:val="center"/>
                </w:tcPr>
                <w:p w14:paraId="377F4248">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0.03×10</w:t>
                  </w:r>
                  <w:r>
                    <w:rPr>
                      <w:rFonts w:ascii="Times New Roman" w:hAnsi="Times New Roman" w:eastAsia="宋体" w:cs="Times New Roman"/>
                      <w:color w:val="auto"/>
                      <w:kern w:val="0"/>
                      <w:sz w:val="21"/>
                      <w:szCs w:val="21"/>
                      <w:highlight w:val="none"/>
                      <w:vertAlign w:val="superscript"/>
                    </w:rPr>
                    <w:t>-2</w:t>
                  </w:r>
                </w:p>
              </w:tc>
            </w:tr>
            <w:tr w14:paraId="70BF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30BA3398">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10</w:t>
                  </w:r>
                </w:p>
              </w:tc>
              <w:tc>
                <w:tcPr>
                  <w:tcW w:w="608" w:type="pct"/>
                  <w:noWrap w:val="0"/>
                  <w:vAlign w:val="center"/>
                </w:tcPr>
                <w:p w14:paraId="63A555BB">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硫化物</w:t>
                  </w:r>
                </w:p>
              </w:tc>
              <w:tc>
                <w:tcPr>
                  <w:tcW w:w="2050" w:type="pct"/>
                  <w:noWrap w:val="0"/>
                  <w:vAlign w:val="center"/>
                </w:tcPr>
                <w:p w14:paraId="2B435819">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sz w:val="21"/>
                      <w:szCs w:val="21"/>
                      <w:highlight w:val="none"/>
                    </w:rPr>
                    <w:t>《</w:t>
                  </w:r>
                  <w:r>
                    <w:rPr>
                      <w:rFonts w:ascii="Times New Roman" w:hAnsi="Times New Roman" w:eastAsia="宋体" w:cs="Times New Roman"/>
                      <w:color w:val="auto"/>
                      <w:kern w:val="0"/>
                      <w:sz w:val="21"/>
                      <w:szCs w:val="21"/>
                      <w:highlight w:val="none"/>
                    </w:rPr>
                    <w:t>海洋监测规范 第5部分：沉积物分析》GB17378.5-2007</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17.3碘量法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547292BD">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电子滴定器</w:t>
                  </w:r>
                </w:p>
              </w:tc>
              <w:tc>
                <w:tcPr>
                  <w:tcW w:w="708" w:type="pct"/>
                  <w:noWrap w:val="0"/>
                  <w:vAlign w:val="center"/>
                </w:tcPr>
                <w:p w14:paraId="1D3CB338">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4.0×10</w:t>
                  </w:r>
                  <w:r>
                    <w:rPr>
                      <w:rFonts w:ascii="Times New Roman" w:hAnsi="Times New Roman" w:eastAsia="宋体" w:cs="Times New Roman"/>
                      <w:color w:val="auto"/>
                      <w:kern w:val="0"/>
                      <w:sz w:val="21"/>
                      <w:szCs w:val="21"/>
                      <w:highlight w:val="none"/>
                      <w:vertAlign w:val="superscript"/>
                    </w:rPr>
                    <w:t>-6</w:t>
                  </w:r>
                </w:p>
              </w:tc>
            </w:tr>
          </w:tbl>
          <w:p w14:paraId="3C2C4880">
            <w:pPr>
              <w:keepNext/>
              <w:keepLines/>
              <w:widowControl w:val="0"/>
              <w:numPr>
                <w:ilvl w:val="0"/>
                <w:numId w:val="0"/>
              </w:numPr>
              <w:tabs>
                <w:tab w:val="left" w:pos="0"/>
              </w:tabs>
              <w:adjustRightInd w:val="0"/>
              <w:snapToGrid w:val="0"/>
              <w:spacing w:line="360" w:lineRule="auto"/>
              <w:ind w:leftChars="0"/>
              <w:jc w:val="center"/>
              <w:outlineLvl w:val="4"/>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表3.1-6</w:t>
            </w:r>
            <w:r>
              <w:rPr>
                <w:rFonts w:hint="default" w:ascii="Times New Roman" w:hAnsi="Times New Roman" w:eastAsia="宋体" w:cs="Times New Roman"/>
                <w:b/>
                <w:bCs/>
                <w:color w:val="auto"/>
                <w:kern w:val="2"/>
                <w:sz w:val="21"/>
                <w:szCs w:val="21"/>
                <w:highlight w:val="none"/>
                <w:lang w:val="en-US" w:eastAsia="zh-CN" w:bidi="ar-SA"/>
              </w:rPr>
              <w:t>沉</w:t>
            </w:r>
            <w:r>
              <w:rPr>
                <w:rFonts w:ascii="Times New Roman" w:hAnsi="Times New Roman" w:eastAsia="宋体" w:cs="Times New Roman"/>
                <w:b/>
                <w:bCs/>
                <w:color w:val="auto"/>
                <w:kern w:val="2"/>
                <w:sz w:val="21"/>
                <w:szCs w:val="21"/>
                <w:highlight w:val="none"/>
                <w:u w:val="none"/>
                <w:lang w:val="en-US" w:eastAsia="zh-CN" w:bidi="ar-SA"/>
              </w:rPr>
              <w:t>生物生态</w:t>
            </w:r>
            <w:r>
              <w:rPr>
                <w:rFonts w:hint="eastAsia" w:ascii="Times New Roman" w:hAnsi="Times New Roman" w:eastAsia="宋体" w:cs="Times New Roman"/>
                <w:b/>
                <w:bCs/>
                <w:color w:val="auto"/>
                <w:kern w:val="2"/>
                <w:sz w:val="21"/>
                <w:szCs w:val="21"/>
                <w:highlight w:val="none"/>
                <w:u w:val="none"/>
                <w:lang w:val="en-US" w:eastAsia="zh-CN" w:bidi="ar-SA"/>
              </w:rPr>
              <w:t>及生物资源</w:t>
            </w:r>
            <w:r>
              <w:rPr>
                <w:rFonts w:ascii="Times New Roman" w:hAnsi="Times New Roman" w:eastAsia="宋体" w:cs="Times New Roman"/>
                <w:b/>
                <w:bCs/>
                <w:color w:val="auto"/>
                <w:kern w:val="2"/>
                <w:sz w:val="21"/>
                <w:szCs w:val="21"/>
                <w:highlight w:val="none"/>
                <w:u w:val="none"/>
                <w:lang w:val="en-US" w:eastAsia="zh-CN" w:bidi="ar-SA"/>
              </w:rPr>
              <w:t>各监测项目分析方法、仪器及检出限</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102"/>
              <w:gridCol w:w="4886"/>
              <w:gridCol w:w="1487"/>
            </w:tblGrid>
            <w:tr w14:paraId="495F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400" w:type="pct"/>
                  <w:noWrap w:val="0"/>
                  <w:vAlign w:val="center"/>
                </w:tcPr>
                <w:p w14:paraId="781636F5">
                  <w:pPr>
                    <w:adjustRightInd/>
                    <w:spacing w:line="240" w:lineRule="auto"/>
                    <w:ind w:firstLine="0" w:firstLineChars="0"/>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序号</w:t>
                  </w:r>
                </w:p>
              </w:tc>
              <w:tc>
                <w:tcPr>
                  <w:tcW w:w="678" w:type="pct"/>
                  <w:noWrap w:val="0"/>
                  <w:vAlign w:val="center"/>
                </w:tcPr>
                <w:p w14:paraId="6B0ED3C0">
                  <w:pPr>
                    <w:adjustRightInd/>
                    <w:spacing w:line="240" w:lineRule="auto"/>
                    <w:ind w:firstLine="0" w:firstLineChars="0"/>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监测项目</w:t>
                  </w:r>
                </w:p>
              </w:tc>
              <w:tc>
                <w:tcPr>
                  <w:tcW w:w="3007" w:type="pct"/>
                  <w:noWrap w:val="0"/>
                  <w:vAlign w:val="center"/>
                </w:tcPr>
                <w:p w14:paraId="3712C511">
                  <w:pPr>
                    <w:adjustRightInd/>
                    <w:spacing w:line="240" w:lineRule="auto"/>
                    <w:ind w:firstLine="0" w:firstLineChars="0"/>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分析方法</w:t>
                  </w:r>
                </w:p>
              </w:tc>
              <w:tc>
                <w:tcPr>
                  <w:tcW w:w="913" w:type="pct"/>
                  <w:noWrap w:val="0"/>
                  <w:vAlign w:val="center"/>
                </w:tcPr>
                <w:p w14:paraId="7725449D">
                  <w:pPr>
                    <w:adjustRightInd/>
                    <w:spacing w:line="240" w:lineRule="auto"/>
                    <w:ind w:firstLine="0" w:firstLineChars="0"/>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kern w:val="0"/>
                      <w:sz w:val="21"/>
                      <w:szCs w:val="21"/>
                      <w:highlight w:val="none"/>
                    </w:rPr>
                    <w:t>分析仪器</w:t>
                  </w:r>
                </w:p>
              </w:tc>
            </w:tr>
            <w:tr w14:paraId="5618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6409C5F3">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c>
                <w:tcPr>
                  <w:tcW w:w="678" w:type="pct"/>
                  <w:noWrap w:val="0"/>
                  <w:vAlign w:val="center"/>
                </w:tcPr>
                <w:p w14:paraId="46E18358">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叶绿素a</w:t>
                  </w:r>
                </w:p>
              </w:tc>
              <w:tc>
                <w:tcPr>
                  <w:tcW w:w="3007" w:type="pct"/>
                  <w:noWrap w:val="0"/>
                  <w:vAlign w:val="center"/>
                </w:tcPr>
                <w:p w14:paraId="0007001B">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《海洋监测规范 第7部分：近海污染生态调查和生物监测》GB17378.7-2007</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8.2 分光光度法</w:t>
                  </w:r>
                  <w:r>
                    <w:rPr>
                      <w:rFonts w:hint="eastAsia" w:ascii="Times New Roman" w:hAnsi="Times New Roman" w:eastAsia="宋体" w:cs="Times New Roman"/>
                      <w:color w:val="auto"/>
                      <w:sz w:val="21"/>
                      <w:szCs w:val="21"/>
                      <w:highlight w:val="none"/>
                    </w:rPr>
                    <w:t>）</w:t>
                  </w:r>
                </w:p>
              </w:tc>
              <w:tc>
                <w:tcPr>
                  <w:tcW w:w="913" w:type="pct"/>
                  <w:noWrap w:val="0"/>
                  <w:vAlign w:val="center"/>
                </w:tcPr>
                <w:p w14:paraId="10C210FD">
                  <w:pPr>
                    <w:adjustRightInd/>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紫外可见分光光度计</w:t>
                  </w:r>
                </w:p>
              </w:tc>
            </w:tr>
            <w:tr w14:paraId="7F9E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42E693C6">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w:t>
                  </w:r>
                </w:p>
              </w:tc>
              <w:tc>
                <w:tcPr>
                  <w:tcW w:w="678" w:type="pct"/>
                  <w:noWrap w:val="0"/>
                  <w:vAlign w:val="center"/>
                </w:tcPr>
                <w:p w14:paraId="44B53A3A">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浮游植物</w:t>
                  </w:r>
                </w:p>
              </w:tc>
              <w:tc>
                <w:tcPr>
                  <w:tcW w:w="3007" w:type="pct"/>
                  <w:noWrap w:val="0"/>
                  <w:vAlign w:val="center"/>
                </w:tcPr>
                <w:p w14:paraId="5423AAC1">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《海洋监测规范 第7部分：近海污染生态调查和生物监测》GB17378.7-2007</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5 浮游生物生态调查</w:t>
                  </w:r>
                  <w:r>
                    <w:rPr>
                      <w:rFonts w:hint="eastAsia" w:ascii="Times New Roman" w:hAnsi="Times New Roman" w:eastAsia="宋体" w:cs="Times New Roman"/>
                      <w:color w:val="auto"/>
                      <w:sz w:val="21"/>
                      <w:szCs w:val="21"/>
                      <w:highlight w:val="none"/>
                    </w:rPr>
                    <w:t>）</w:t>
                  </w:r>
                </w:p>
              </w:tc>
              <w:tc>
                <w:tcPr>
                  <w:tcW w:w="913" w:type="pct"/>
                  <w:noWrap w:val="0"/>
                  <w:vAlign w:val="center"/>
                </w:tcPr>
                <w:p w14:paraId="03AD1271">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显微镜</w:t>
                  </w:r>
                </w:p>
              </w:tc>
            </w:tr>
            <w:tr w14:paraId="36E5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680A3873">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w:t>
                  </w:r>
                </w:p>
              </w:tc>
              <w:tc>
                <w:tcPr>
                  <w:tcW w:w="678" w:type="pct"/>
                  <w:noWrap w:val="0"/>
                  <w:vAlign w:val="center"/>
                </w:tcPr>
                <w:p w14:paraId="030955B9">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浮游动物</w:t>
                  </w:r>
                </w:p>
              </w:tc>
              <w:tc>
                <w:tcPr>
                  <w:tcW w:w="3007" w:type="pct"/>
                  <w:noWrap w:val="0"/>
                  <w:vAlign w:val="center"/>
                </w:tcPr>
                <w:p w14:paraId="53E768E3">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《海洋监测规范 第7部分：近海污染生态调查和生物监测》GB17378.7-2007</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5 浮游生物生态调查</w:t>
                  </w:r>
                  <w:r>
                    <w:rPr>
                      <w:rFonts w:hint="eastAsia" w:ascii="Times New Roman" w:hAnsi="Times New Roman" w:eastAsia="宋体" w:cs="Times New Roman"/>
                      <w:color w:val="auto"/>
                      <w:sz w:val="21"/>
                      <w:szCs w:val="21"/>
                      <w:highlight w:val="none"/>
                    </w:rPr>
                    <w:t>）</w:t>
                  </w:r>
                </w:p>
              </w:tc>
              <w:tc>
                <w:tcPr>
                  <w:tcW w:w="913" w:type="pct"/>
                  <w:noWrap w:val="0"/>
                  <w:vAlign w:val="center"/>
                </w:tcPr>
                <w:p w14:paraId="394066C9">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显微镜</w:t>
                  </w:r>
                </w:p>
                <w:p w14:paraId="024440DE">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电子天平</w:t>
                  </w:r>
                </w:p>
              </w:tc>
            </w:tr>
            <w:tr w14:paraId="33AA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3648CADD">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w:t>
                  </w:r>
                </w:p>
              </w:tc>
              <w:tc>
                <w:tcPr>
                  <w:tcW w:w="678" w:type="pct"/>
                  <w:noWrap w:val="0"/>
                  <w:vAlign w:val="center"/>
                </w:tcPr>
                <w:p w14:paraId="4ED0A101">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底栖生物</w:t>
                  </w:r>
                </w:p>
              </w:tc>
              <w:tc>
                <w:tcPr>
                  <w:tcW w:w="3007" w:type="pct"/>
                  <w:noWrap w:val="0"/>
                  <w:vAlign w:val="center"/>
                </w:tcPr>
                <w:p w14:paraId="51FE3068">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《海洋监测规范 第7部分：近海污染生态调查和生物监测》GB17378.7-2007</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6 大型底栖生物生态调查</w:t>
                  </w:r>
                  <w:r>
                    <w:rPr>
                      <w:rFonts w:hint="eastAsia" w:ascii="Times New Roman" w:hAnsi="Times New Roman" w:eastAsia="宋体" w:cs="Times New Roman"/>
                      <w:color w:val="auto"/>
                      <w:sz w:val="21"/>
                      <w:szCs w:val="21"/>
                      <w:highlight w:val="none"/>
                    </w:rPr>
                    <w:t>）</w:t>
                  </w:r>
                </w:p>
              </w:tc>
              <w:tc>
                <w:tcPr>
                  <w:tcW w:w="913" w:type="pct"/>
                  <w:noWrap w:val="0"/>
                  <w:vAlign w:val="center"/>
                </w:tcPr>
                <w:p w14:paraId="09BCEF3C">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显微镜</w:t>
                  </w:r>
                </w:p>
                <w:p w14:paraId="6866126A">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电子天平</w:t>
                  </w:r>
                </w:p>
              </w:tc>
            </w:tr>
            <w:tr w14:paraId="6E4F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01939BEE">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p>
              </w:tc>
              <w:tc>
                <w:tcPr>
                  <w:tcW w:w="678" w:type="pct"/>
                  <w:noWrap w:val="0"/>
                  <w:vAlign w:val="center"/>
                </w:tcPr>
                <w:p w14:paraId="4BC59333">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潮间带</w:t>
                  </w:r>
                </w:p>
                <w:p w14:paraId="0E0FA16F">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生物</w:t>
                  </w:r>
                </w:p>
              </w:tc>
              <w:tc>
                <w:tcPr>
                  <w:tcW w:w="3007" w:type="pct"/>
                  <w:noWrap w:val="0"/>
                  <w:vAlign w:val="center"/>
                </w:tcPr>
                <w:p w14:paraId="13F07325">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kern w:val="0"/>
                      <w:sz w:val="21"/>
                      <w:szCs w:val="21"/>
                      <w:highlight w:val="none"/>
                    </w:rPr>
                    <w:t>《海洋监测规范 第7部分：近海污染生态调查和生物监测》GB17378.7-2007</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7 潮间带生物生态调查</w:t>
                  </w:r>
                  <w:r>
                    <w:rPr>
                      <w:rFonts w:hint="eastAsia" w:ascii="Times New Roman" w:hAnsi="Times New Roman" w:eastAsia="宋体" w:cs="Times New Roman"/>
                      <w:color w:val="auto"/>
                      <w:kern w:val="0"/>
                      <w:sz w:val="21"/>
                      <w:szCs w:val="21"/>
                      <w:highlight w:val="none"/>
                    </w:rPr>
                    <w:t>）</w:t>
                  </w:r>
                </w:p>
              </w:tc>
              <w:tc>
                <w:tcPr>
                  <w:tcW w:w="913" w:type="pct"/>
                  <w:noWrap w:val="0"/>
                  <w:vAlign w:val="center"/>
                </w:tcPr>
                <w:p w14:paraId="6CE2A97F">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显微镜</w:t>
                  </w:r>
                </w:p>
                <w:p w14:paraId="671150F5">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电子天平</w:t>
                  </w:r>
                </w:p>
              </w:tc>
            </w:tr>
            <w:tr w14:paraId="1B20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743FFB6F">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6</w:t>
                  </w:r>
                </w:p>
              </w:tc>
              <w:tc>
                <w:tcPr>
                  <w:tcW w:w="678" w:type="pct"/>
                  <w:noWrap w:val="0"/>
                  <w:vAlign w:val="center"/>
                </w:tcPr>
                <w:p w14:paraId="4DA8D59B">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游泳动物</w:t>
                  </w:r>
                </w:p>
              </w:tc>
              <w:tc>
                <w:tcPr>
                  <w:tcW w:w="3007" w:type="pct"/>
                  <w:noWrap w:val="0"/>
                  <w:vAlign w:val="center"/>
                </w:tcPr>
                <w:p w14:paraId="08D90DDB">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《海洋调查规范 第6部分：海洋生物调查》GB/T12763.6-2007</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14 游泳动物调查</w:t>
                  </w:r>
                  <w:r>
                    <w:rPr>
                      <w:rFonts w:hint="eastAsia" w:ascii="Times New Roman" w:hAnsi="Times New Roman" w:eastAsia="宋体" w:cs="Times New Roman"/>
                      <w:color w:val="auto"/>
                      <w:sz w:val="21"/>
                      <w:szCs w:val="21"/>
                      <w:highlight w:val="none"/>
                    </w:rPr>
                    <w:t>）</w:t>
                  </w:r>
                </w:p>
              </w:tc>
              <w:tc>
                <w:tcPr>
                  <w:tcW w:w="913" w:type="pct"/>
                  <w:noWrap w:val="0"/>
                  <w:vAlign w:val="center"/>
                </w:tcPr>
                <w:p w14:paraId="43B2896C">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显微镜</w:t>
                  </w:r>
                </w:p>
                <w:p w14:paraId="2C0AAA69">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电子天平</w:t>
                  </w:r>
                </w:p>
              </w:tc>
            </w:tr>
            <w:tr w14:paraId="2EB5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1C68456D">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7</w:t>
                  </w:r>
                </w:p>
              </w:tc>
              <w:tc>
                <w:tcPr>
                  <w:tcW w:w="678" w:type="pct"/>
                  <w:noWrap w:val="0"/>
                  <w:vAlign w:val="center"/>
                </w:tcPr>
                <w:p w14:paraId="2EC77A66">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鱼卵和仔、稚鱼</w:t>
                  </w:r>
                </w:p>
              </w:tc>
              <w:tc>
                <w:tcPr>
                  <w:tcW w:w="3007" w:type="pct"/>
                  <w:noWrap w:val="0"/>
                  <w:vAlign w:val="center"/>
                </w:tcPr>
                <w:p w14:paraId="7B6E80FE">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《海洋调查规范 第6部分：海洋生物调查》GB/T12763.6-2007</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9 鱼类浮游生物调查</w:t>
                  </w:r>
                  <w:r>
                    <w:rPr>
                      <w:rFonts w:hint="eastAsia" w:ascii="Times New Roman" w:hAnsi="Times New Roman" w:eastAsia="宋体" w:cs="Times New Roman"/>
                      <w:color w:val="auto"/>
                      <w:sz w:val="21"/>
                      <w:szCs w:val="21"/>
                      <w:highlight w:val="none"/>
                    </w:rPr>
                    <w:t>）</w:t>
                  </w:r>
                </w:p>
              </w:tc>
              <w:tc>
                <w:tcPr>
                  <w:tcW w:w="913" w:type="pct"/>
                  <w:noWrap w:val="0"/>
                  <w:vAlign w:val="center"/>
                </w:tcPr>
                <w:p w14:paraId="75D8285C">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显微镜</w:t>
                  </w:r>
                </w:p>
              </w:tc>
            </w:tr>
            <w:tr w14:paraId="61F4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000" w:type="pct"/>
                  <w:gridSpan w:val="4"/>
                  <w:noWrap w:val="0"/>
                  <w:vAlign w:val="center"/>
                </w:tcPr>
                <w:p w14:paraId="095D02CA">
                  <w:pPr>
                    <w:adjustRightInd/>
                    <w:spacing w:line="240" w:lineRule="auto"/>
                    <w:ind w:firstLine="0" w:firstLineChars="0"/>
                    <w:jc w:val="left"/>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备注：初级生产力采用叶绿素a法估算，按联合国教科文组织（UNESCO）推荐的下列公式估算：</w:t>
                  </w:r>
                </w:p>
                <w:p w14:paraId="451F8A83">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i/>
                      <w:color w:val="auto"/>
                      <w:sz w:val="21"/>
                      <w:szCs w:val="21"/>
                      <w:highlight w:val="none"/>
                    </w:rPr>
                    <w:t>P</w:t>
                  </w:r>
                  <w:r>
                    <w:rPr>
                      <w:rFonts w:ascii="Times New Roman" w:hAnsi="Times New Roman" w:eastAsia="宋体" w:cs="Times New Roman"/>
                      <w:color w:val="auto"/>
                      <w:sz w:val="21"/>
                      <w:szCs w:val="21"/>
                      <w:highlight w:val="none"/>
                    </w:rPr>
                    <w:t>=(</w:t>
                  </w:r>
                  <w:r>
                    <w:rPr>
                      <w:rFonts w:ascii="Times New Roman" w:hAnsi="Times New Roman" w:eastAsia="宋体" w:cs="Times New Roman"/>
                      <w:i/>
                      <w:color w:val="auto"/>
                      <w:sz w:val="21"/>
                      <w:szCs w:val="21"/>
                      <w:highlight w:val="none"/>
                    </w:rPr>
                    <w:t>chla·Q·D·E</w:t>
                  </w:r>
                  <w:r>
                    <w:rPr>
                      <w:rFonts w:ascii="Times New Roman" w:hAnsi="Times New Roman" w:eastAsia="宋体" w:cs="Times New Roman"/>
                      <w:color w:val="auto"/>
                      <w:sz w:val="21"/>
                      <w:szCs w:val="21"/>
                      <w:highlight w:val="none"/>
                    </w:rPr>
                    <w:t>)/2</w:t>
                  </w:r>
                </w:p>
                <w:p w14:paraId="3E04D0D1">
                  <w:pPr>
                    <w:adjustRightInd/>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式中：</w:t>
                  </w:r>
                  <w:r>
                    <w:rPr>
                      <w:rFonts w:ascii="Times New Roman" w:hAnsi="Times New Roman" w:eastAsia="宋体" w:cs="Times New Roman"/>
                      <w:i/>
                      <w:color w:val="auto"/>
                      <w:sz w:val="21"/>
                      <w:szCs w:val="21"/>
                      <w:highlight w:val="none"/>
                    </w:rPr>
                    <w:t>P</w:t>
                  </w:r>
                  <w:r>
                    <w:rPr>
                      <w:rFonts w:ascii="Times New Roman" w:hAnsi="Times New Roman" w:eastAsia="宋体" w:cs="Times New Roman"/>
                      <w:color w:val="auto"/>
                      <w:sz w:val="21"/>
                      <w:szCs w:val="21"/>
                      <w:highlight w:val="none"/>
                    </w:rPr>
                    <w:t>—现场初级生产力（mg·C/</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m</w:t>
                  </w:r>
                  <w:r>
                    <w:rPr>
                      <w:rFonts w:ascii="Times New Roman" w:hAnsi="Times New Roman" w:eastAsia="宋体" w:cs="Times New Roman"/>
                      <w:color w:val="auto"/>
                      <w:sz w:val="21"/>
                      <w:szCs w:val="21"/>
                      <w:highlight w:val="none"/>
                      <w:vertAlign w:val="superscript"/>
                    </w:rPr>
                    <w:t>2</w:t>
                  </w:r>
                  <w:r>
                    <w:rPr>
                      <w:rFonts w:ascii="Times New Roman" w:hAnsi="Times New Roman" w:eastAsia="宋体" w:cs="Times New Roman"/>
                      <w:color w:val="auto"/>
                      <w:sz w:val="21"/>
                      <w:szCs w:val="21"/>
                      <w:highlight w:val="none"/>
                    </w:rPr>
                    <w:t>·d</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w:t>
                  </w:r>
                </w:p>
                <w:p w14:paraId="6F38193F">
                  <w:pPr>
                    <w:adjustRightInd/>
                    <w:spacing w:line="240" w:lineRule="auto"/>
                    <w:ind w:firstLine="630" w:firstLineChars="300"/>
                    <w:rPr>
                      <w:rFonts w:ascii="Times New Roman" w:hAnsi="Times New Roman" w:eastAsia="宋体" w:cs="Times New Roman"/>
                      <w:color w:val="auto"/>
                      <w:sz w:val="21"/>
                      <w:szCs w:val="21"/>
                      <w:highlight w:val="none"/>
                    </w:rPr>
                  </w:pPr>
                  <w:r>
                    <w:rPr>
                      <w:rFonts w:ascii="Times New Roman" w:hAnsi="Times New Roman" w:eastAsia="宋体" w:cs="Times New Roman"/>
                      <w:i/>
                      <w:color w:val="auto"/>
                      <w:sz w:val="21"/>
                      <w:szCs w:val="21"/>
                      <w:highlight w:val="none"/>
                    </w:rPr>
                    <w:t>chla</w:t>
                  </w:r>
                  <w:r>
                    <w:rPr>
                      <w:rFonts w:ascii="Times New Roman" w:hAnsi="Times New Roman" w:eastAsia="宋体" w:cs="Times New Roman"/>
                      <w:color w:val="auto"/>
                      <w:sz w:val="21"/>
                      <w:szCs w:val="21"/>
                      <w:highlight w:val="none"/>
                    </w:rPr>
                    <w:t>—真光层内平均叶绿素a含量（mg/m</w:t>
                  </w:r>
                  <w:r>
                    <w:rPr>
                      <w:rFonts w:ascii="Times New Roman" w:hAnsi="Times New Roman" w:eastAsia="宋体" w:cs="Times New Roman"/>
                      <w:color w:val="auto"/>
                      <w:sz w:val="21"/>
                      <w:szCs w:val="21"/>
                      <w:highlight w:val="none"/>
                      <w:vertAlign w:val="superscript"/>
                    </w:rPr>
                    <w:t>3</w:t>
                  </w:r>
                  <w:r>
                    <w:rPr>
                      <w:rFonts w:ascii="Times New Roman" w:hAnsi="Times New Roman" w:eastAsia="宋体" w:cs="Times New Roman"/>
                      <w:color w:val="auto"/>
                      <w:sz w:val="21"/>
                      <w:szCs w:val="21"/>
                      <w:highlight w:val="none"/>
                    </w:rPr>
                    <w:t>）；</w:t>
                  </w:r>
                </w:p>
                <w:p w14:paraId="6E5B2555">
                  <w:pPr>
                    <w:adjustRightInd/>
                    <w:spacing w:line="240" w:lineRule="auto"/>
                    <w:ind w:firstLine="630" w:firstLineChars="300"/>
                    <w:rPr>
                      <w:rFonts w:ascii="Times New Roman" w:hAnsi="Times New Roman" w:eastAsia="宋体" w:cs="Times New Roman"/>
                      <w:color w:val="auto"/>
                      <w:sz w:val="21"/>
                      <w:szCs w:val="21"/>
                      <w:highlight w:val="none"/>
                    </w:rPr>
                  </w:pPr>
                  <w:r>
                    <w:rPr>
                      <w:rFonts w:ascii="Times New Roman" w:hAnsi="Times New Roman" w:eastAsia="宋体" w:cs="Times New Roman"/>
                      <w:i/>
                      <w:color w:val="auto"/>
                      <w:sz w:val="21"/>
                      <w:szCs w:val="21"/>
                      <w:highlight w:val="none"/>
                    </w:rPr>
                    <w:t>Q</w:t>
                  </w:r>
                  <w:r>
                    <w:rPr>
                      <w:rFonts w:ascii="Times New Roman" w:hAnsi="Times New Roman" w:eastAsia="宋体" w:cs="Times New Roman"/>
                      <w:color w:val="auto"/>
                      <w:sz w:val="21"/>
                      <w:szCs w:val="21"/>
                      <w:highlight w:val="none"/>
                    </w:rPr>
                    <w:t>—不同层次同化指数算术平均值，取3.7；</w:t>
                  </w:r>
                  <w:r>
                    <w:rPr>
                      <w:rFonts w:ascii="Times New Roman" w:hAnsi="Times New Roman" w:eastAsia="宋体" w:cs="Times New Roman"/>
                      <w:i/>
                      <w:color w:val="auto"/>
                      <w:sz w:val="21"/>
                      <w:szCs w:val="21"/>
                      <w:highlight w:val="none"/>
                    </w:rPr>
                    <w:t>D</w:t>
                  </w:r>
                  <w:r>
                    <w:rPr>
                      <w:rFonts w:ascii="Times New Roman" w:hAnsi="Times New Roman" w:eastAsia="宋体" w:cs="Times New Roman"/>
                      <w:color w:val="auto"/>
                      <w:sz w:val="21"/>
                      <w:szCs w:val="21"/>
                      <w:highlight w:val="none"/>
                    </w:rPr>
                    <w:t>—昼长时间（h），根据季节和海区情况而定；</w:t>
                  </w:r>
                </w:p>
                <w:p w14:paraId="5F9069E0">
                  <w:pPr>
                    <w:adjustRightInd/>
                    <w:spacing w:line="240" w:lineRule="auto"/>
                    <w:ind w:firstLine="630" w:firstLineChars="300"/>
                    <w:rPr>
                      <w:rFonts w:ascii="Times New Roman" w:hAnsi="Times New Roman" w:eastAsia="宋体" w:cs="Times New Roman"/>
                      <w:color w:val="auto"/>
                      <w:sz w:val="21"/>
                      <w:szCs w:val="21"/>
                      <w:highlight w:val="none"/>
                    </w:rPr>
                  </w:pPr>
                  <w:r>
                    <w:rPr>
                      <w:rFonts w:ascii="Times New Roman" w:hAnsi="Times New Roman" w:eastAsia="宋体" w:cs="Times New Roman"/>
                      <w:i/>
                      <w:color w:val="auto"/>
                      <w:sz w:val="21"/>
                      <w:szCs w:val="21"/>
                      <w:highlight w:val="none"/>
                    </w:rPr>
                    <w:t>E</w:t>
                  </w:r>
                  <w:r>
                    <w:rPr>
                      <w:rFonts w:ascii="Times New Roman" w:hAnsi="Times New Roman" w:eastAsia="宋体" w:cs="Times New Roman"/>
                      <w:color w:val="auto"/>
                      <w:sz w:val="21"/>
                      <w:szCs w:val="21"/>
                      <w:highlight w:val="none"/>
                    </w:rPr>
                    <w:t>—真光层深度（m），取透明度的3倍，若透明度的3倍大于水深，则取水深值。</w:t>
                  </w:r>
                </w:p>
              </w:tc>
            </w:tr>
          </w:tbl>
          <w:p w14:paraId="3D80E013">
            <w:pPr>
              <w:keepNext/>
              <w:keepLines/>
              <w:widowControl w:val="0"/>
              <w:numPr>
                <w:ilvl w:val="0"/>
                <w:numId w:val="0"/>
              </w:numPr>
              <w:tabs>
                <w:tab w:val="left" w:pos="0"/>
              </w:tabs>
              <w:adjustRightInd w:val="0"/>
              <w:snapToGrid w:val="0"/>
              <w:spacing w:line="360" w:lineRule="auto"/>
              <w:ind w:leftChars="0"/>
              <w:jc w:val="center"/>
              <w:outlineLvl w:val="4"/>
              <w:rPr>
                <w:rFonts w:hint="default"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表3.1-7</w:t>
            </w:r>
            <w:r>
              <w:rPr>
                <w:rFonts w:ascii="Times New Roman" w:hAnsi="Times New Roman" w:eastAsia="宋体" w:cs="Times New Roman"/>
                <w:b/>
                <w:bCs/>
                <w:color w:val="auto"/>
                <w:kern w:val="2"/>
                <w:sz w:val="21"/>
                <w:szCs w:val="21"/>
                <w:highlight w:val="none"/>
                <w:u w:val="none"/>
                <w:lang w:val="en-US" w:eastAsia="zh-CN" w:bidi="ar-SA"/>
              </w:rPr>
              <w:t>生物体质量各监测项目分析方法、仪器及检出限</w:t>
            </w:r>
          </w:p>
          <w:tbl>
            <w:tblPr>
              <w:tblStyle w:val="4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80"/>
              <w:gridCol w:w="788"/>
              <w:gridCol w:w="3743"/>
              <w:gridCol w:w="1754"/>
              <w:gridCol w:w="1254"/>
            </w:tblGrid>
            <w:tr w14:paraId="1E56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tblHeader/>
              </w:trPr>
              <w:tc>
                <w:tcPr>
                  <w:tcW w:w="358" w:type="pct"/>
                  <w:noWrap w:val="0"/>
                  <w:vAlign w:val="center"/>
                </w:tcPr>
                <w:p w14:paraId="4A7C99E7">
                  <w:pPr>
                    <w:widowControl/>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b/>
                      <w:bCs/>
                      <w:color w:val="auto"/>
                      <w:kern w:val="0"/>
                      <w:sz w:val="21"/>
                      <w:szCs w:val="21"/>
                      <w:highlight w:val="none"/>
                      <w:u w:val="none"/>
                    </w:rPr>
                    <w:t>序号</w:t>
                  </w:r>
                </w:p>
              </w:tc>
              <w:tc>
                <w:tcPr>
                  <w:tcW w:w="485" w:type="pct"/>
                  <w:noWrap w:val="0"/>
                  <w:vAlign w:val="center"/>
                </w:tcPr>
                <w:p w14:paraId="7C479EDC">
                  <w:pPr>
                    <w:widowControl/>
                    <w:adjustRightInd/>
                    <w:spacing w:line="240" w:lineRule="auto"/>
                    <w:ind w:firstLine="0" w:firstLineChars="0"/>
                    <w:jc w:val="center"/>
                    <w:textAlignment w:val="center"/>
                    <w:rPr>
                      <w:rFonts w:ascii="Times New Roman" w:hAnsi="Times New Roman" w:eastAsia="宋体" w:cs="Times New Roman"/>
                      <w:b/>
                      <w:color w:val="auto"/>
                      <w:sz w:val="21"/>
                      <w:szCs w:val="21"/>
                      <w:highlight w:val="none"/>
                      <w:u w:val="none"/>
                    </w:rPr>
                  </w:pPr>
                  <w:r>
                    <w:rPr>
                      <w:rFonts w:ascii="Times New Roman" w:hAnsi="Times New Roman" w:eastAsia="宋体" w:cs="Times New Roman"/>
                      <w:b/>
                      <w:color w:val="auto"/>
                      <w:sz w:val="21"/>
                      <w:szCs w:val="21"/>
                      <w:highlight w:val="none"/>
                      <w:u w:val="none"/>
                    </w:rPr>
                    <w:t>监测项目</w:t>
                  </w:r>
                </w:p>
              </w:tc>
              <w:tc>
                <w:tcPr>
                  <w:tcW w:w="2305" w:type="pct"/>
                  <w:noWrap w:val="0"/>
                  <w:vAlign w:val="center"/>
                </w:tcPr>
                <w:p w14:paraId="03FC743B">
                  <w:pPr>
                    <w:widowControl/>
                    <w:adjustRightInd/>
                    <w:spacing w:line="240" w:lineRule="auto"/>
                    <w:ind w:firstLine="0" w:firstLineChars="0"/>
                    <w:jc w:val="center"/>
                    <w:textAlignment w:val="center"/>
                    <w:rPr>
                      <w:rFonts w:ascii="Times New Roman" w:hAnsi="Times New Roman" w:eastAsia="宋体" w:cs="Times New Roman"/>
                      <w:b/>
                      <w:color w:val="auto"/>
                      <w:sz w:val="21"/>
                      <w:szCs w:val="21"/>
                      <w:highlight w:val="none"/>
                      <w:u w:val="none"/>
                    </w:rPr>
                  </w:pPr>
                  <w:r>
                    <w:rPr>
                      <w:rFonts w:ascii="Times New Roman" w:hAnsi="Times New Roman" w:eastAsia="宋体" w:cs="Times New Roman"/>
                      <w:b/>
                      <w:color w:val="auto"/>
                      <w:sz w:val="21"/>
                      <w:szCs w:val="21"/>
                      <w:highlight w:val="none"/>
                      <w:u w:val="none"/>
                    </w:rPr>
                    <w:t>分析方法</w:t>
                  </w:r>
                </w:p>
              </w:tc>
              <w:tc>
                <w:tcPr>
                  <w:tcW w:w="1080" w:type="pct"/>
                  <w:noWrap w:val="0"/>
                  <w:vAlign w:val="center"/>
                </w:tcPr>
                <w:p w14:paraId="6AFF5BB3">
                  <w:pPr>
                    <w:widowControl/>
                    <w:adjustRightInd/>
                    <w:spacing w:line="240" w:lineRule="auto"/>
                    <w:ind w:firstLine="0" w:firstLineChars="0"/>
                    <w:jc w:val="center"/>
                    <w:textAlignment w:val="center"/>
                    <w:rPr>
                      <w:rFonts w:ascii="Times New Roman" w:hAnsi="Times New Roman" w:eastAsia="宋体" w:cs="Times New Roman"/>
                      <w:b/>
                      <w:color w:val="auto"/>
                      <w:sz w:val="21"/>
                      <w:szCs w:val="21"/>
                      <w:highlight w:val="none"/>
                      <w:u w:val="none"/>
                    </w:rPr>
                  </w:pPr>
                  <w:r>
                    <w:rPr>
                      <w:rFonts w:ascii="Times New Roman" w:hAnsi="Times New Roman" w:eastAsia="宋体" w:cs="Times New Roman"/>
                      <w:b/>
                      <w:color w:val="auto"/>
                      <w:sz w:val="21"/>
                      <w:szCs w:val="21"/>
                      <w:highlight w:val="none"/>
                      <w:u w:val="none"/>
                    </w:rPr>
                    <w:t>分析仪器</w:t>
                  </w:r>
                </w:p>
              </w:tc>
              <w:tc>
                <w:tcPr>
                  <w:tcW w:w="771" w:type="pct"/>
                  <w:noWrap w:val="0"/>
                  <w:vAlign w:val="center"/>
                </w:tcPr>
                <w:p w14:paraId="1112652A">
                  <w:pPr>
                    <w:widowControl/>
                    <w:adjustRightInd/>
                    <w:spacing w:line="240" w:lineRule="auto"/>
                    <w:ind w:firstLine="0" w:firstLineChars="0"/>
                    <w:jc w:val="center"/>
                    <w:textAlignment w:val="center"/>
                    <w:rPr>
                      <w:rFonts w:ascii="Times New Roman" w:hAnsi="Times New Roman" w:eastAsia="宋体" w:cs="Times New Roman"/>
                      <w:b/>
                      <w:color w:val="auto"/>
                      <w:sz w:val="21"/>
                      <w:szCs w:val="21"/>
                      <w:highlight w:val="none"/>
                      <w:u w:val="none"/>
                    </w:rPr>
                  </w:pPr>
                  <w:r>
                    <w:rPr>
                      <w:rFonts w:ascii="Times New Roman" w:hAnsi="Times New Roman" w:eastAsia="宋体" w:cs="Times New Roman"/>
                      <w:b/>
                      <w:color w:val="auto"/>
                      <w:sz w:val="21"/>
                      <w:szCs w:val="21"/>
                      <w:highlight w:val="none"/>
                      <w:u w:val="none"/>
                    </w:rPr>
                    <w:t>检出限</w:t>
                  </w:r>
                </w:p>
              </w:tc>
            </w:tr>
            <w:tr w14:paraId="56EE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00" w:type="pct"/>
                  <w:gridSpan w:val="5"/>
                  <w:noWrap w:val="0"/>
                  <w:vAlign w:val="center"/>
                </w:tcPr>
                <w:p w14:paraId="52C3373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b/>
                      <w:bCs/>
                      <w:color w:val="auto"/>
                      <w:sz w:val="21"/>
                      <w:szCs w:val="21"/>
                      <w:highlight w:val="none"/>
                      <w:u w:val="none"/>
                    </w:rPr>
                    <w:t>秋季</w:t>
                  </w:r>
                </w:p>
              </w:tc>
            </w:tr>
            <w:tr w14:paraId="7154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30804401">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w:t>
                  </w:r>
                </w:p>
              </w:tc>
              <w:tc>
                <w:tcPr>
                  <w:tcW w:w="485" w:type="pct"/>
                  <w:noWrap w:val="0"/>
                  <w:vAlign w:val="center"/>
                </w:tcPr>
                <w:p w14:paraId="7BD961E9">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铜</w:t>
                  </w:r>
                </w:p>
              </w:tc>
              <w:tc>
                <w:tcPr>
                  <w:tcW w:w="2305" w:type="pct"/>
                  <w:noWrap w:val="0"/>
                  <w:vAlign w:val="center"/>
                </w:tcPr>
                <w:p w14:paraId="30DA4FBF">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p>
                <w:p w14:paraId="3AED76BC">
                  <w:pPr>
                    <w:widowControl/>
                    <w:adjustRightInd/>
                    <w:spacing w:line="240" w:lineRule="auto"/>
                    <w:ind w:firstLine="0" w:firstLineChars="0"/>
                    <w:jc w:val="center"/>
                    <w:rPr>
                      <w:rFonts w:hint="eastAsia"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w:t>
                  </w:r>
                  <w:r>
                    <w:rPr>
                      <w:rFonts w:hint="eastAsia" w:ascii="Times New Roman" w:hAnsi="Times New Roman" w:eastAsia="宋体" w:cs="Times New Roman"/>
                      <w:color w:val="auto"/>
                      <w:kern w:val="0"/>
                      <w:sz w:val="21"/>
                      <w:szCs w:val="21"/>
                      <w:highlight w:val="none"/>
                      <w:u w:val="none"/>
                      <w:lang w:val="en-US" w:eastAsia="zh-CN"/>
                    </w:rPr>
                    <w:t>6</w:t>
                  </w:r>
                  <w:r>
                    <w:rPr>
                      <w:rFonts w:ascii="Times New Roman" w:hAnsi="Times New Roman" w:eastAsia="宋体" w:cs="Times New Roman"/>
                      <w:color w:val="auto"/>
                      <w:kern w:val="0"/>
                      <w:sz w:val="21"/>
                      <w:szCs w:val="21"/>
                      <w:highlight w:val="none"/>
                      <w:u w:val="none"/>
                    </w:rPr>
                    <w:t>.1 无火焰原子吸收分光光度法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324EAB7E">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kern w:val="0"/>
                      <w:sz w:val="21"/>
                      <w:szCs w:val="21"/>
                      <w:highlight w:val="none"/>
                      <w:u w:val="none"/>
                      <w:lang w:bidi="ar"/>
                    </w:rPr>
                    <w:t>A3AFG-12</w:t>
                  </w:r>
                  <w:r>
                    <w:rPr>
                      <w:rFonts w:ascii="Times New Roman" w:hAnsi="Times New Roman" w:eastAsia="宋体" w:cs="Times New Roman"/>
                      <w:color w:val="auto"/>
                      <w:kern w:val="0"/>
                      <w:sz w:val="21"/>
                      <w:szCs w:val="21"/>
                      <w:highlight w:val="none"/>
                      <w:u w:val="none"/>
                    </w:rPr>
                    <w:t>原子吸收分光光度计</w:t>
                  </w:r>
                </w:p>
              </w:tc>
              <w:tc>
                <w:tcPr>
                  <w:tcW w:w="771" w:type="pct"/>
                  <w:noWrap w:val="0"/>
                  <w:vAlign w:val="center"/>
                </w:tcPr>
                <w:p w14:paraId="6AA748AE">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0.4</w:t>
                  </w:r>
                  <w:r>
                    <w:rPr>
                      <w:rFonts w:ascii="Times New Roman" w:hAnsi="Times New Roman" w:eastAsia="宋体" w:cs="Times New Roman"/>
                      <w:color w:val="auto"/>
                      <w:sz w:val="21"/>
                      <w:szCs w:val="21"/>
                      <w:highlight w:val="none"/>
                      <w:u w:val="none"/>
                    </w:rPr>
                    <w:t>×10</w:t>
                  </w:r>
                  <w:r>
                    <w:rPr>
                      <w:rFonts w:ascii="Times New Roman" w:hAnsi="Times New Roman" w:eastAsia="宋体" w:cs="Times New Roman"/>
                      <w:color w:val="auto"/>
                      <w:sz w:val="21"/>
                      <w:szCs w:val="21"/>
                      <w:highlight w:val="none"/>
                      <w:u w:val="none"/>
                      <w:vertAlign w:val="superscript"/>
                    </w:rPr>
                    <w:t>-6</w:t>
                  </w:r>
                </w:p>
              </w:tc>
            </w:tr>
            <w:tr w14:paraId="32AA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5254F329">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w:t>
                  </w:r>
                </w:p>
              </w:tc>
              <w:tc>
                <w:tcPr>
                  <w:tcW w:w="485" w:type="pct"/>
                  <w:noWrap w:val="0"/>
                  <w:vAlign w:val="center"/>
                </w:tcPr>
                <w:p w14:paraId="7B777B6F">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铅</w:t>
                  </w:r>
                </w:p>
              </w:tc>
              <w:tc>
                <w:tcPr>
                  <w:tcW w:w="2305" w:type="pct"/>
                  <w:noWrap w:val="0"/>
                  <w:vAlign w:val="center"/>
                </w:tcPr>
                <w:p w14:paraId="185F902B">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p>
                <w:p w14:paraId="48471A37">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7.1 无火焰原子吸收分光光度法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39148ABF">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A3AFG-12</w:t>
                  </w:r>
                  <w:r>
                    <w:rPr>
                      <w:rFonts w:ascii="Times New Roman" w:hAnsi="Times New Roman" w:eastAsia="宋体" w:cs="Times New Roman"/>
                      <w:color w:val="auto"/>
                      <w:kern w:val="0"/>
                      <w:sz w:val="21"/>
                      <w:szCs w:val="21"/>
                      <w:highlight w:val="none"/>
                      <w:u w:val="none"/>
                    </w:rPr>
                    <w:t>原子吸收分光光度计</w:t>
                  </w:r>
                </w:p>
              </w:tc>
              <w:tc>
                <w:tcPr>
                  <w:tcW w:w="771" w:type="pct"/>
                  <w:noWrap w:val="0"/>
                  <w:vAlign w:val="center"/>
                </w:tcPr>
                <w:p w14:paraId="3E3E81B2">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0.04×10</w:t>
                  </w:r>
                  <w:r>
                    <w:rPr>
                      <w:rFonts w:ascii="Times New Roman" w:hAnsi="Times New Roman" w:eastAsia="宋体" w:cs="Times New Roman"/>
                      <w:color w:val="auto"/>
                      <w:sz w:val="21"/>
                      <w:szCs w:val="21"/>
                      <w:highlight w:val="none"/>
                      <w:u w:val="none"/>
                      <w:vertAlign w:val="superscript"/>
                    </w:rPr>
                    <w:t>-6</w:t>
                  </w:r>
                </w:p>
              </w:tc>
            </w:tr>
            <w:tr w14:paraId="42ED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71602991">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3</w:t>
                  </w:r>
                </w:p>
              </w:tc>
              <w:tc>
                <w:tcPr>
                  <w:tcW w:w="485" w:type="pct"/>
                  <w:noWrap w:val="0"/>
                  <w:vAlign w:val="center"/>
                </w:tcPr>
                <w:p w14:paraId="7165BE92">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锌</w:t>
                  </w:r>
                </w:p>
              </w:tc>
              <w:tc>
                <w:tcPr>
                  <w:tcW w:w="2305" w:type="pct"/>
                  <w:noWrap w:val="0"/>
                  <w:vAlign w:val="center"/>
                </w:tcPr>
                <w:p w14:paraId="4E233D85">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p>
                <w:p w14:paraId="1BE4827B">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9.1火焰原子吸收分光光度法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7BBC4BF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A3AFG-12</w:t>
                  </w:r>
                  <w:r>
                    <w:rPr>
                      <w:rFonts w:ascii="Times New Roman" w:hAnsi="Times New Roman" w:eastAsia="宋体" w:cs="Times New Roman"/>
                      <w:color w:val="auto"/>
                      <w:kern w:val="0"/>
                      <w:sz w:val="21"/>
                      <w:szCs w:val="21"/>
                      <w:highlight w:val="none"/>
                      <w:u w:val="none"/>
                    </w:rPr>
                    <w:t>原子吸收分光光度计</w:t>
                  </w:r>
                </w:p>
              </w:tc>
              <w:tc>
                <w:tcPr>
                  <w:tcW w:w="771" w:type="pct"/>
                  <w:noWrap w:val="0"/>
                  <w:vAlign w:val="center"/>
                </w:tcPr>
                <w:p w14:paraId="399E4D5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0.4×10</w:t>
                  </w:r>
                  <w:r>
                    <w:rPr>
                      <w:rFonts w:ascii="Times New Roman" w:hAnsi="Times New Roman" w:eastAsia="宋体" w:cs="Times New Roman"/>
                      <w:color w:val="auto"/>
                      <w:sz w:val="21"/>
                      <w:szCs w:val="21"/>
                      <w:highlight w:val="none"/>
                      <w:u w:val="none"/>
                      <w:vertAlign w:val="superscript"/>
                    </w:rPr>
                    <w:t>-6</w:t>
                  </w:r>
                </w:p>
              </w:tc>
            </w:tr>
            <w:tr w14:paraId="4823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27076714">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4</w:t>
                  </w:r>
                </w:p>
              </w:tc>
              <w:tc>
                <w:tcPr>
                  <w:tcW w:w="485" w:type="pct"/>
                  <w:noWrap w:val="0"/>
                  <w:vAlign w:val="center"/>
                </w:tcPr>
                <w:p w14:paraId="18AD24EF">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镉</w:t>
                  </w:r>
                </w:p>
              </w:tc>
              <w:tc>
                <w:tcPr>
                  <w:tcW w:w="2305" w:type="pct"/>
                  <w:noWrap w:val="0"/>
                  <w:vAlign w:val="center"/>
                </w:tcPr>
                <w:p w14:paraId="59C982D4">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p>
                <w:p w14:paraId="720BA615">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8.1 无火焰原子吸收分光光度法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311EC6F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A3AFG-12</w:t>
                  </w:r>
                  <w:r>
                    <w:rPr>
                      <w:rFonts w:ascii="Times New Roman" w:hAnsi="Times New Roman" w:eastAsia="宋体" w:cs="Times New Roman"/>
                      <w:color w:val="auto"/>
                      <w:kern w:val="0"/>
                      <w:sz w:val="21"/>
                      <w:szCs w:val="21"/>
                      <w:highlight w:val="none"/>
                      <w:u w:val="none"/>
                    </w:rPr>
                    <w:t>原子吸收分光光度计</w:t>
                  </w:r>
                </w:p>
              </w:tc>
              <w:tc>
                <w:tcPr>
                  <w:tcW w:w="771" w:type="pct"/>
                  <w:noWrap w:val="0"/>
                  <w:vAlign w:val="center"/>
                </w:tcPr>
                <w:p w14:paraId="31828FE8">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0.005×10</w:t>
                  </w:r>
                  <w:r>
                    <w:rPr>
                      <w:rFonts w:ascii="Times New Roman" w:hAnsi="Times New Roman" w:eastAsia="宋体" w:cs="Times New Roman"/>
                      <w:color w:val="auto"/>
                      <w:sz w:val="21"/>
                      <w:szCs w:val="21"/>
                      <w:highlight w:val="none"/>
                      <w:u w:val="none"/>
                      <w:vertAlign w:val="superscript"/>
                    </w:rPr>
                    <w:t>-6</w:t>
                  </w:r>
                </w:p>
              </w:tc>
            </w:tr>
            <w:tr w14:paraId="570F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6DBE0E1D">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5</w:t>
                  </w:r>
                </w:p>
              </w:tc>
              <w:tc>
                <w:tcPr>
                  <w:tcW w:w="485" w:type="pct"/>
                  <w:noWrap w:val="0"/>
                  <w:vAlign w:val="center"/>
                </w:tcPr>
                <w:p w14:paraId="1C1050EA">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总汞</w:t>
                  </w:r>
                </w:p>
              </w:tc>
              <w:tc>
                <w:tcPr>
                  <w:tcW w:w="2305" w:type="pct"/>
                  <w:noWrap w:val="0"/>
                  <w:vAlign w:val="center"/>
                </w:tcPr>
                <w:p w14:paraId="2A4B5DCF">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5.1 原子荧光法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0E425A32">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lang w:bidi="ar"/>
                    </w:rPr>
                    <w:t>AFS-9530</w:t>
                  </w:r>
                  <w:r>
                    <w:rPr>
                      <w:rFonts w:ascii="Times New Roman" w:hAnsi="Times New Roman" w:eastAsia="宋体" w:cs="Times New Roman"/>
                      <w:color w:val="auto"/>
                      <w:kern w:val="0"/>
                      <w:sz w:val="21"/>
                      <w:szCs w:val="21"/>
                      <w:highlight w:val="none"/>
                      <w:u w:val="none"/>
                    </w:rPr>
                    <w:t>原子荧光光度计</w:t>
                  </w:r>
                </w:p>
              </w:tc>
              <w:tc>
                <w:tcPr>
                  <w:tcW w:w="771" w:type="pct"/>
                  <w:noWrap w:val="0"/>
                  <w:vAlign w:val="center"/>
                </w:tcPr>
                <w:p w14:paraId="59C63CEB">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0.002×10</w:t>
                  </w:r>
                  <w:r>
                    <w:rPr>
                      <w:rFonts w:ascii="Times New Roman" w:hAnsi="Times New Roman" w:eastAsia="宋体" w:cs="Times New Roman"/>
                      <w:color w:val="auto"/>
                      <w:sz w:val="21"/>
                      <w:szCs w:val="21"/>
                      <w:highlight w:val="none"/>
                      <w:u w:val="none"/>
                      <w:vertAlign w:val="superscript"/>
                    </w:rPr>
                    <w:t>-6</w:t>
                  </w:r>
                </w:p>
              </w:tc>
            </w:tr>
            <w:tr w14:paraId="748E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0392001D">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6</w:t>
                  </w:r>
                </w:p>
              </w:tc>
              <w:tc>
                <w:tcPr>
                  <w:tcW w:w="485" w:type="pct"/>
                  <w:noWrap w:val="0"/>
                  <w:vAlign w:val="center"/>
                </w:tcPr>
                <w:p w14:paraId="4400A27D">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砷</w:t>
                  </w:r>
                </w:p>
              </w:tc>
              <w:tc>
                <w:tcPr>
                  <w:tcW w:w="2305" w:type="pct"/>
                  <w:noWrap w:val="0"/>
                  <w:vAlign w:val="center"/>
                </w:tcPr>
                <w:p w14:paraId="1AD86F35">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11.1原子荧光法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2C38CAA9">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lang w:bidi="ar"/>
                    </w:rPr>
                    <w:t>AFS-9530</w:t>
                  </w:r>
                  <w:r>
                    <w:rPr>
                      <w:rFonts w:ascii="Times New Roman" w:hAnsi="Times New Roman" w:eastAsia="宋体" w:cs="Times New Roman"/>
                      <w:color w:val="auto"/>
                      <w:kern w:val="0"/>
                      <w:sz w:val="21"/>
                      <w:szCs w:val="21"/>
                      <w:highlight w:val="none"/>
                      <w:u w:val="none"/>
                    </w:rPr>
                    <w:t>原子荧光光度计</w:t>
                  </w:r>
                </w:p>
              </w:tc>
              <w:tc>
                <w:tcPr>
                  <w:tcW w:w="771" w:type="pct"/>
                  <w:noWrap w:val="0"/>
                  <w:vAlign w:val="center"/>
                </w:tcPr>
                <w:p w14:paraId="2CF2AB4A">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0.2×10</w:t>
                  </w:r>
                  <w:r>
                    <w:rPr>
                      <w:rFonts w:ascii="Times New Roman" w:hAnsi="Times New Roman" w:eastAsia="宋体" w:cs="Times New Roman"/>
                      <w:color w:val="auto"/>
                      <w:sz w:val="21"/>
                      <w:szCs w:val="21"/>
                      <w:highlight w:val="none"/>
                      <w:u w:val="none"/>
                      <w:vertAlign w:val="superscript"/>
                    </w:rPr>
                    <w:t>-6</w:t>
                  </w:r>
                </w:p>
              </w:tc>
            </w:tr>
            <w:tr w14:paraId="493D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33431859">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7</w:t>
                  </w:r>
                </w:p>
              </w:tc>
              <w:tc>
                <w:tcPr>
                  <w:tcW w:w="485" w:type="pct"/>
                  <w:noWrap w:val="0"/>
                  <w:vAlign w:val="center"/>
                </w:tcPr>
                <w:p w14:paraId="0215BDFA">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铬</w:t>
                  </w:r>
                </w:p>
              </w:tc>
              <w:tc>
                <w:tcPr>
                  <w:tcW w:w="2305" w:type="pct"/>
                  <w:noWrap w:val="0"/>
                  <w:vAlign w:val="center"/>
                </w:tcPr>
                <w:p w14:paraId="5B42B2EA">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10.1无火焰原子吸收分光光度法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5712A9AB">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lang w:bidi="ar"/>
                    </w:rPr>
                    <w:t>A3AFG-12</w:t>
                  </w:r>
                  <w:r>
                    <w:rPr>
                      <w:rFonts w:ascii="Times New Roman" w:hAnsi="Times New Roman" w:eastAsia="宋体" w:cs="Times New Roman"/>
                      <w:color w:val="auto"/>
                      <w:kern w:val="0"/>
                      <w:sz w:val="21"/>
                      <w:szCs w:val="21"/>
                      <w:highlight w:val="none"/>
                      <w:u w:val="none"/>
                    </w:rPr>
                    <w:t>原子吸收分光光度计</w:t>
                  </w:r>
                </w:p>
              </w:tc>
              <w:tc>
                <w:tcPr>
                  <w:tcW w:w="771" w:type="pct"/>
                  <w:noWrap w:val="0"/>
                  <w:vAlign w:val="center"/>
                </w:tcPr>
                <w:p w14:paraId="6DB73330">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0.04×10</w:t>
                  </w:r>
                  <w:r>
                    <w:rPr>
                      <w:rFonts w:ascii="Times New Roman" w:hAnsi="Times New Roman" w:eastAsia="宋体" w:cs="Times New Roman"/>
                      <w:color w:val="auto"/>
                      <w:sz w:val="21"/>
                      <w:szCs w:val="21"/>
                      <w:highlight w:val="none"/>
                      <w:u w:val="none"/>
                      <w:vertAlign w:val="superscript"/>
                    </w:rPr>
                    <w:t>-6</w:t>
                  </w:r>
                </w:p>
              </w:tc>
            </w:tr>
            <w:tr w14:paraId="659B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46A96E66">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8</w:t>
                  </w:r>
                </w:p>
              </w:tc>
              <w:tc>
                <w:tcPr>
                  <w:tcW w:w="485" w:type="pct"/>
                  <w:noWrap w:val="0"/>
                  <w:vAlign w:val="center"/>
                </w:tcPr>
                <w:p w14:paraId="72248630">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石油烃</w:t>
                  </w:r>
                </w:p>
              </w:tc>
              <w:tc>
                <w:tcPr>
                  <w:tcW w:w="2305" w:type="pct"/>
                  <w:noWrap w:val="0"/>
                  <w:vAlign w:val="center"/>
                </w:tcPr>
                <w:p w14:paraId="4BBC83B6">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13 荧光分光光度法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076842A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F97XP荧光分光光度计</w:t>
                  </w:r>
                </w:p>
              </w:tc>
              <w:tc>
                <w:tcPr>
                  <w:tcW w:w="771" w:type="pct"/>
                  <w:noWrap w:val="0"/>
                  <w:vAlign w:val="center"/>
                </w:tcPr>
                <w:p w14:paraId="69B5B102">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0.2×10</w:t>
                  </w:r>
                  <w:r>
                    <w:rPr>
                      <w:rFonts w:ascii="Times New Roman" w:hAnsi="Times New Roman" w:eastAsia="宋体" w:cs="Times New Roman"/>
                      <w:color w:val="auto"/>
                      <w:sz w:val="21"/>
                      <w:szCs w:val="21"/>
                      <w:highlight w:val="none"/>
                      <w:u w:val="none"/>
                      <w:vertAlign w:val="superscript"/>
                    </w:rPr>
                    <w:t>-6</w:t>
                  </w:r>
                </w:p>
              </w:tc>
            </w:tr>
          </w:tbl>
          <w:p w14:paraId="36EAB4DE">
            <w:pPr>
              <w:pStyle w:val="9"/>
              <w:rPr>
                <w:rFonts w:hint="default" w:ascii="Times New Roman" w:hAnsi="Times New Roman" w:eastAsia="宋体" w:cs="Times New Roman"/>
                <w:b/>
                <w:bCs/>
                <w:color w:val="auto"/>
                <w:kern w:val="2"/>
                <w:sz w:val="21"/>
                <w:szCs w:val="21"/>
                <w:highlight w:val="none"/>
                <w:u w:val="none"/>
                <w:lang w:val="en-US" w:eastAsia="zh-CN" w:bidi="ar-SA"/>
              </w:rPr>
            </w:pPr>
          </w:p>
          <w:p w14:paraId="65108C83">
            <w:pPr>
              <w:numPr>
                <w:ilvl w:val="0"/>
                <w:numId w:val="11"/>
              </w:numPr>
              <w:spacing w:line="360" w:lineRule="auto"/>
              <w:ind w:firstLine="480" w:firstLineChars="200"/>
              <w:textAlignment w:val="baseline"/>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 xml:space="preserve"> 评价方法</w:t>
            </w:r>
          </w:p>
          <w:p w14:paraId="62FB701C">
            <w:pPr>
              <w:keepNext w:val="0"/>
              <w:keepLines w:val="0"/>
              <w:pageBreakBefore w:val="0"/>
              <w:kinsoku/>
              <w:wordWrap/>
              <w:overflowPunct/>
              <w:topLinePunct w:val="0"/>
              <w:bidi w:val="0"/>
              <w:adjustRightInd w:val="0"/>
              <w:snapToGrid/>
              <w:spacing w:line="360" w:lineRule="auto"/>
              <w:ind w:firstLine="480" w:firstLineChars="200"/>
              <w:textAlignment w:val="auto"/>
              <w:outlineLvl w:val="9"/>
              <w:rPr>
                <w:rFonts w:hint="eastAsia" w:ascii="宋体" w:hAnsi="宋体" w:eastAsia="宋体" w:cs="Times New Roman"/>
                <w:color w:val="auto"/>
                <w:sz w:val="24"/>
                <w:szCs w:val="21"/>
                <w:highlight w:val="none"/>
                <w:lang w:eastAsia="zh-CN"/>
              </w:rPr>
            </w:pPr>
            <w:r>
              <w:rPr>
                <w:rFonts w:hint="eastAsia" w:ascii="宋体" w:hAnsi="宋体" w:eastAsia="宋体" w:cs="Times New Roman"/>
                <w:color w:val="auto"/>
                <w:sz w:val="24"/>
                <w:szCs w:val="21"/>
                <w:highlight w:val="none"/>
                <w:lang w:eastAsia="zh-CN"/>
              </w:rPr>
              <w:t>（</w:t>
            </w:r>
            <w:r>
              <w:rPr>
                <w:rFonts w:hint="eastAsia" w:ascii="宋体" w:hAnsi="宋体" w:eastAsia="宋体" w:cs="Times New Roman"/>
                <w:color w:val="auto"/>
                <w:sz w:val="24"/>
                <w:szCs w:val="21"/>
                <w:highlight w:val="none"/>
                <w:lang w:val="en-US" w:eastAsia="zh-CN"/>
              </w:rPr>
              <w:t>1</w:t>
            </w:r>
            <w:r>
              <w:rPr>
                <w:rFonts w:hint="eastAsia" w:ascii="宋体" w:hAnsi="宋体" w:eastAsia="宋体" w:cs="Times New Roman"/>
                <w:color w:val="auto"/>
                <w:sz w:val="24"/>
                <w:szCs w:val="21"/>
                <w:highlight w:val="none"/>
                <w:lang w:eastAsia="zh-CN"/>
              </w:rPr>
              <w:t>）</w:t>
            </w:r>
            <w:r>
              <w:rPr>
                <w:rFonts w:hint="eastAsia" w:ascii="宋体" w:hAnsi="宋体" w:eastAsia="宋体" w:cs="Times New Roman"/>
                <w:color w:val="auto"/>
                <w:sz w:val="24"/>
                <w:szCs w:val="21"/>
                <w:highlight w:val="none"/>
              </w:rPr>
              <w:t>调查区域海水环境质量现状评价采用标准指数法进行评价。标准指数的计算公式为</w:t>
            </w:r>
            <w:r>
              <w:rPr>
                <w:rFonts w:hint="eastAsia" w:ascii="宋体" w:hAnsi="宋体" w:eastAsia="宋体" w:cs="Times New Roman"/>
                <w:color w:val="auto"/>
                <w:sz w:val="24"/>
                <w:szCs w:val="21"/>
                <w:highlight w:val="none"/>
                <w:lang w:eastAsia="zh-CN"/>
              </w:rPr>
              <w:t>：</w:t>
            </w:r>
          </w:p>
          <w:p w14:paraId="4FE019A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ascii="宋体" w:hAnsi="宋体" w:eastAsia="宋体" w:cs="Times New Roman"/>
                <w:color w:val="auto"/>
                <w:kern w:val="0"/>
                <w:sz w:val="24"/>
                <w:szCs w:val="21"/>
                <w:highlight w:val="none"/>
              </w:rPr>
            </w:pPr>
            <w:r>
              <w:rPr>
                <w:rFonts w:ascii="Times New Roman" w:hAnsi="Times New Roman" w:eastAsia="宋体" w:cs="Times New Roman"/>
                <w:color w:val="auto"/>
                <w:szCs w:val="24"/>
                <w:highlight w:val="none"/>
              </w:rPr>
              <w:drawing>
                <wp:inline distT="0" distB="0" distL="114300" distR="114300">
                  <wp:extent cx="1170305" cy="286385"/>
                  <wp:effectExtent l="0" t="0" r="10795" b="18415"/>
                  <wp:docPr id="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5"/>
                          <pic:cNvPicPr>
                            <a:picLocks noChangeAspect="1"/>
                          </pic:cNvPicPr>
                        </pic:nvPicPr>
                        <pic:blipFill>
                          <a:blip r:embed="rId25"/>
                          <a:stretch>
                            <a:fillRect/>
                          </a:stretch>
                        </pic:blipFill>
                        <pic:spPr>
                          <a:xfrm>
                            <a:off x="0" y="0"/>
                            <a:ext cx="1170305" cy="286385"/>
                          </a:xfrm>
                          <a:prstGeom prst="rect">
                            <a:avLst/>
                          </a:prstGeom>
                          <a:noFill/>
                          <a:ln>
                            <a:noFill/>
                          </a:ln>
                        </pic:spPr>
                      </pic:pic>
                    </a:graphicData>
                  </a:graphic>
                </wp:inline>
              </w:drawing>
            </w:r>
          </w:p>
          <w:p w14:paraId="392AB073">
            <w:pPr>
              <w:keepNext w:val="0"/>
              <w:keepLines w:val="0"/>
              <w:pageBreakBefore w:val="0"/>
              <w:widowControl w:val="0"/>
              <w:kinsoku/>
              <w:wordWrap/>
              <w:overflowPunct/>
              <w:topLinePunct w:val="0"/>
              <w:bidi w:val="0"/>
              <w:adjustRightInd w:val="0"/>
              <w:snapToGrid/>
              <w:spacing w:line="360" w:lineRule="auto"/>
              <w:ind w:firstLine="480" w:firstLineChars="200"/>
              <w:textAlignment w:val="auto"/>
              <w:outlineLvl w:val="9"/>
              <w:rPr>
                <w:rFonts w:ascii="宋体" w:hAnsi="宋体" w:eastAsia="宋体" w:cs="Times New Roman"/>
                <w:color w:val="auto"/>
                <w:sz w:val="24"/>
                <w:szCs w:val="21"/>
                <w:highlight w:val="none"/>
              </w:rPr>
            </w:pPr>
            <w:r>
              <w:rPr>
                <w:rFonts w:hint="eastAsia" w:ascii="宋体" w:hAnsi="宋体" w:eastAsia="宋体" w:cs="Times New Roman"/>
                <w:color w:val="auto"/>
                <w:sz w:val="24"/>
                <w:szCs w:val="21"/>
                <w:highlight w:val="none"/>
              </w:rPr>
              <w:t>式中：</w:t>
            </w:r>
            <w:r>
              <w:rPr>
                <w:rFonts w:ascii="宋体" w:hAnsi="宋体" w:eastAsia="宋体" w:cs="Times New Roman"/>
                <w:i/>
                <w:color w:val="auto"/>
                <w:sz w:val="24"/>
                <w:szCs w:val="21"/>
                <w:highlight w:val="none"/>
              </w:rPr>
              <w:t>S</w:t>
            </w:r>
            <w:r>
              <w:rPr>
                <w:rFonts w:ascii="宋体" w:hAnsi="宋体" w:eastAsia="宋体" w:cs="Times New Roman"/>
                <w:i/>
                <w:color w:val="auto"/>
                <w:sz w:val="24"/>
                <w:szCs w:val="21"/>
                <w:highlight w:val="none"/>
                <w:vertAlign w:val="subscript"/>
              </w:rPr>
              <w:t>i,j</w:t>
            </w:r>
            <w:r>
              <w:rPr>
                <w:rFonts w:ascii="宋体" w:hAnsi="宋体" w:eastAsia="宋体" w:cs="Times New Roman"/>
                <w:color w:val="auto"/>
                <w:sz w:val="24"/>
                <w:szCs w:val="21"/>
                <w:highlight w:val="none"/>
              </w:rPr>
              <w:t>—单项评价因子</w:t>
            </w:r>
            <w:r>
              <w:rPr>
                <w:rFonts w:ascii="宋体" w:hAnsi="宋体" w:eastAsia="宋体" w:cs="Times New Roman"/>
                <w:i/>
                <w:color w:val="auto"/>
                <w:sz w:val="24"/>
                <w:szCs w:val="21"/>
                <w:highlight w:val="none"/>
              </w:rPr>
              <w:t>i</w:t>
            </w:r>
            <w:r>
              <w:rPr>
                <w:rFonts w:ascii="宋体" w:hAnsi="宋体" w:eastAsia="宋体" w:cs="Times New Roman"/>
                <w:color w:val="auto"/>
                <w:sz w:val="24"/>
                <w:szCs w:val="21"/>
                <w:highlight w:val="none"/>
              </w:rPr>
              <w:t>在</w:t>
            </w:r>
            <w:r>
              <w:rPr>
                <w:rFonts w:ascii="宋体" w:hAnsi="宋体" w:eastAsia="宋体" w:cs="Times New Roman"/>
                <w:i/>
                <w:color w:val="auto"/>
                <w:sz w:val="24"/>
                <w:szCs w:val="21"/>
                <w:highlight w:val="none"/>
              </w:rPr>
              <w:t>j</w:t>
            </w:r>
            <w:r>
              <w:rPr>
                <w:rFonts w:ascii="宋体" w:hAnsi="宋体" w:eastAsia="宋体" w:cs="Times New Roman"/>
                <w:color w:val="auto"/>
                <w:sz w:val="24"/>
                <w:szCs w:val="21"/>
                <w:highlight w:val="none"/>
              </w:rPr>
              <w:t>站位的标准指数；</w:t>
            </w:r>
          </w:p>
          <w:p w14:paraId="48062C69">
            <w:pPr>
              <w:keepNext w:val="0"/>
              <w:keepLines w:val="0"/>
              <w:pageBreakBefore w:val="0"/>
              <w:widowControl w:val="0"/>
              <w:kinsoku/>
              <w:wordWrap/>
              <w:overflowPunct/>
              <w:topLinePunct w:val="0"/>
              <w:autoSpaceDE w:val="0"/>
              <w:autoSpaceDN w:val="0"/>
              <w:bidi w:val="0"/>
              <w:adjustRightInd w:val="0"/>
              <w:snapToGrid/>
              <w:spacing w:line="360" w:lineRule="auto"/>
              <w:ind w:firstLine="1200" w:firstLineChars="500"/>
              <w:textAlignment w:val="auto"/>
              <w:outlineLvl w:val="9"/>
              <w:rPr>
                <w:rFonts w:ascii="宋体" w:hAnsi="宋体" w:eastAsia="宋体" w:cs="Times New Roman"/>
                <w:color w:val="auto"/>
                <w:sz w:val="24"/>
                <w:szCs w:val="21"/>
                <w:highlight w:val="none"/>
              </w:rPr>
            </w:pPr>
            <w:r>
              <w:rPr>
                <w:rFonts w:ascii="宋体" w:hAnsi="宋体" w:eastAsia="宋体" w:cs="Times New Roman"/>
                <w:i/>
                <w:color w:val="auto"/>
                <w:sz w:val="24"/>
                <w:szCs w:val="21"/>
                <w:highlight w:val="none"/>
              </w:rPr>
              <w:t>c</w:t>
            </w:r>
            <w:r>
              <w:rPr>
                <w:rFonts w:ascii="宋体" w:hAnsi="宋体" w:eastAsia="宋体" w:cs="Times New Roman"/>
                <w:i/>
                <w:color w:val="auto"/>
                <w:sz w:val="24"/>
                <w:szCs w:val="21"/>
                <w:highlight w:val="none"/>
                <w:vertAlign w:val="subscript"/>
              </w:rPr>
              <w:t>i,j</w:t>
            </w:r>
            <w:r>
              <w:rPr>
                <w:rFonts w:ascii="宋体" w:hAnsi="宋体" w:eastAsia="宋体" w:cs="Times New Roman"/>
                <w:color w:val="auto"/>
                <w:sz w:val="24"/>
                <w:szCs w:val="21"/>
                <w:highlight w:val="none"/>
              </w:rPr>
              <w:t>—单项评价因子</w:t>
            </w:r>
            <w:r>
              <w:rPr>
                <w:rFonts w:ascii="宋体" w:hAnsi="宋体" w:eastAsia="宋体" w:cs="Times New Roman"/>
                <w:i/>
                <w:color w:val="auto"/>
                <w:sz w:val="24"/>
                <w:szCs w:val="21"/>
                <w:highlight w:val="none"/>
              </w:rPr>
              <w:t>i</w:t>
            </w:r>
            <w:r>
              <w:rPr>
                <w:rFonts w:ascii="宋体" w:hAnsi="宋体" w:eastAsia="宋体" w:cs="Times New Roman"/>
                <w:color w:val="auto"/>
                <w:sz w:val="24"/>
                <w:szCs w:val="21"/>
                <w:highlight w:val="none"/>
              </w:rPr>
              <w:t>在</w:t>
            </w:r>
            <w:r>
              <w:rPr>
                <w:rFonts w:ascii="宋体" w:hAnsi="宋体" w:eastAsia="宋体" w:cs="Times New Roman"/>
                <w:i/>
                <w:color w:val="auto"/>
                <w:sz w:val="24"/>
                <w:szCs w:val="21"/>
                <w:highlight w:val="none"/>
              </w:rPr>
              <w:t>j</w:t>
            </w:r>
            <w:r>
              <w:rPr>
                <w:rFonts w:ascii="宋体" w:hAnsi="宋体" w:eastAsia="宋体" w:cs="Times New Roman"/>
                <w:color w:val="auto"/>
                <w:sz w:val="24"/>
                <w:szCs w:val="21"/>
                <w:highlight w:val="none"/>
              </w:rPr>
              <w:t>站位的实测值；</w:t>
            </w:r>
          </w:p>
          <w:p w14:paraId="74E08432">
            <w:pPr>
              <w:keepNext w:val="0"/>
              <w:keepLines w:val="0"/>
              <w:pageBreakBefore w:val="0"/>
              <w:widowControl w:val="0"/>
              <w:kinsoku/>
              <w:wordWrap/>
              <w:overflowPunct/>
              <w:topLinePunct w:val="0"/>
              <w:autoSpaceDE w:val="0"/>
              <w:autoSpaceDN w:val="0"/>
              <w:bidi w:val="0"/>
              <w:adjustRightInd w:val="0"/>
              <w:snapToGrid/>
              <w:spacing w:line="360" w:lineRule="auto"/>
              <w:ind w:firstLine="1200" w:firstLineChars="500"/>
              <w:textAlignment w:val="auto"/>
              <w:outlineLvl w:val="9"/>
              <w:rPr>
                <w:rFonts w:ascii="宋体" w:hAnsi="宋体" w:eastAsia="宋体" w:cs="Times New Roman"/>
                <w:color w:val="auto"/>
                <w:kern w:val="0"/>
                <w:sz w:val="24"/>
                <w:szCs w:val="21"/>
                <w:highlight w:val="none"/>
              </w:rPr>
            </w:pPr>
            <w:r>
              <w:rPr>
                <w:rFonts w:ascii="宋体" w:hAnsi="宋体" w:eastAsia="宋体" w:cs="Times New Roman"/>
                <w:i/>
                <w:color w:val="auto"/>
                <w:sz w:val="24"/>
                <w:szCs w:val="21"/>
                <w:highlight w:val="none"/>
              </w:rPr>
              <w:t>c</w:t>
            </w:r>
            <w:r>
              <w:rPr>
                <w:rFonts w:ascii="宋体" w:hAnsi="宋体" w:eastAsia="宋体" w:cs="Times New Roman"/>
                <w:i/>
                <w:color w:val="auto"/>
                <w:sz w:val="24"/>
                <w:szCs w:val="21"/>
                <w:highlight w:val="none"/>
                <w:vertAlign w:val="subscript"/>
              </w:rPr>
              <w:t>si</w:t>
            </w:r>
            <w:r>
              <w:rPr>
                <w:rFonts w:ascii="宋体" w:hAnsi="宋体" w:eastAsia="宋体" w:cs="Times New Roman"/>
                <w:color w:val="auto"/>
                <w:sz w:val="24"/>
                <w:szCs w:val="21"/>
                <w:highlight w:val="none"/>
              </w:rPr>
              <w:t>—单项评价因子</w:t>
            </w:r>
            <w:r>
              <w:rPr>
                <w:rFonts w:ascii="宋体" w:hAnsi="宋体" w:eastAsia="宋体" w:cs="Times New Roman"/>
                <w:i/>
                <w:color w:val="auto"/>
                <w:sz w:val="24"/>
                <w:szCs w:val="21"/>
                <w:highlight w:val="none"/>
              </w:rPr>
              <w:t>i</w:t>
            </w:r>
            <w:r>
              <w:rPr>
                <w:rFonts w:ascii="宋体" w:hAnsi="宋体" w:eastAsia="宋体" w:cs="Times New Roman"/>
                <w:color w:val="auto"/>
                <w:sz w:val="24"/>
                <w:szCs w:val="21"/>
                <w:highlight w:val="none"/>
              </w:rPr>
              <w:t>的评价标准值。</w:t>
            </w:r>
          </w:p>
          <w:p w14:paraId="7EAAF678">
            <w:pPr>
              <w:keepNext w:val="0"/>
              <w:keepLines w:val="0"/>
              <w:pageBreakBefore w:val="0"/>
              <w:widowControl w:val="0"/>
              <w:kinsoku/>
              <w:wordWrap/>
              <w:overflowPunct/>
              <w:topLinePunct w:val="0"/>
              <w:bidi w:val="0"/>
              <w:adjustRightInd w:val="0"/>
              <w:snapToGrid/>
              <w:spacing w:line="360" w:lineRule="auto"/>
              <w:ind w:firstLine="480" w:firstLineChars="200"/>
              <w:textAlignment w:val="auto"/>
              <w:outlineLvl w:val="9"/>
              <w:rPr>
                <w:rFonts w:ascii="宋体" w:hAnsi="宋体" w:eastAsia="宋体" w:cs="Times New Roman"/>
                <w:color w:val="auto"/>
                <w:kern w:val="0"/>
                <w:sz w:val="24"/>
                <w:szCs w:val="21"/>
                <w:highlight w:val="none"/>
              </w:rPr>
            </w:pPr>
            <w:r>
              <w:rPr>
                <w:rFonts w:hint="eastAsia" w:ascii="宋体" w:hAnsi="宋体" w:eastAsia="宋体" w:cs="Times New Roman"/>
                <w:color w:val="auto"/>
                <w:sz w:val="24"/>
                <w:szCs w:val="21"/>
                <w:highlight w:val="none"/>
                <w:lang w:eastAsia="zh-CN"/>
              </w:rPr>
              <w:t>（</w:t>
            </w:r>
            <w:r>
              <w:rPr>
                <w:rFonts w:hint="eastAsia" w:ascii="宋体" w:hAnsi="宋体" w:eastAsia="宋体" w:cs="Times New Roman"/>
                <w:color w:val="auto"/>
                <w:sz w:val="24"/>
                <w:szCs w:val="21"/>
                <w:highlight w:val="none"/>
                <w:lang w:val="en-US" w:eastAsia="zh-CN"/>
              </w:rPr>
              <w:t>2</w:t>
            </w:r>
            <w:r>
              <w:rPr>
                <w:rFonts w:hint="eastAsia" w:ascii="宋体" w:hAnsi="宋体" w:eastAsia="宋体" w:cs="Times New Roman"/>
                <w:color w:val="auto"/>
                <w:sz w:val="24"/>
                <w:szCs w:val="21"/>
                <w:highlight w:val="none"/>
                <w:lang w:eastAsia="zh-CN"/>
              </w:rPr>
              <w:t>）</w:t>
            </w:r>
            <w:r>
              <w:rPr>
                <w:rFonts w:hint="eastAsia" w:ascii="宋体" w:hAnsi="宋体" w:eastAsia="宋体" w:cs="Times New Roman"/>
                <w:color w:val="auto"/>
                <w:sz w:val="24"/>
                <w:szCs w:val="21"/>
                <w:highlight w:val="none"/>
                <w:lang w:val="en-US" w:eastAsia="zh-CN"/>
              </w:rPr>
              <w:t>对于</w:t>
            </w:r>
            <w:r>
              <w:rPr>
                <w:rFonts w:hint="eastAsia" w:ascii="宋体" w:hAnsi="宋体" w:eastAsia="宋体" w:cs="Times New Roman"/>
                <w:color w:val="auto"/>
                <w:sz w:val="24"/>
                <w:szCs w:val="21"/>
                <w:highlight w:val="none"/>
              </w:rPr>
              <w:t>溶解氧（</w:t>
            </w:r>
            <w:r>
              <w:rPr>
                <w:rFonts w:ascii="宋体" w:hAnsi="宋体" w:eastAsia="宋体" w:cs="Times New Roman"/>
                <w:color w:val="auto"/>
                <w:sz w:val="24"/>
                <w:szCs w:val="21"/>
                <w:highlight w:val="none"/>
              </w:rPr>
              <w:t>DO</w:t>
            </w:r>
            <w:r>
              <w:rPr>
                <w:rFonts w:hint="eastAsia" w:ascii="宋体" w:hAnsi="宋体" w:eastAsia="宋体" w:cs="Times New Roman"/>
                <w:color w:val="auto"/>
                <w:sz w:val="24"/>
                <w:szCs w:val="21"/>
                <w:highlight w:val="none"/>
              </w:rPr>
              <w:t>），其标准指数采用下式计算：</w:t>
            </w:r>
          </w:p>
          <w:p w14:paraId="5C5B5A02">
            <w:pPr>
              <w:autoSpaceDE w:val="0"/>
              <w:autoSpaceDN w:val="0"/>
              <w:adjustRightInd w:val="0"/>
              <w:spacing w:line="360" w:lineRule="auto"/>
              <w:ind w:firstLine="480" w:firstLineChars="200"/>
              <w:jc w:val="center"/>
              <w:rPr>
                <w:rFonts w:ascii="Times New Roman" w:hAnsi="Times New Roman" w:eastAsia="宋体" w:cs="Times New Roman"/>
                <w:color w:val="auto"/>
                <w:kern w:val="0"/>
                <w:sz w:val="24"/>
                <w:szCs w:val="21"/>
                <w:highlight w:val="none"/>
              </w:rPr>
            </w:pPr>
            <w:r>
              <w:rPr>
                <w:rFonts w:ascii="Times New Roman" w:hAnsi="Times New Roman" w:eastAsia="宋体" w:cs="Times New Roman"/>
                <w:color w:val="auto"/>
                <w:sz w:val="24"/>
                <w:szCs w:val="21"/>
                <w:highlight w:val="none"/>
              </w:rPr>
              <w:drawing>
                <wp:inline distT="0" distB="0" distL="114300" distR="114300">
                  <wp:extent cx="3028315" cy="914400"/>
                  <wp:effectExtent l="0" t="0" r="635" b="0"/>
                  <wp:docPr id="10"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6"/>
                          <pic:cNvPicPr>
                            <a:picLocks noChangeAspect="1"/>
                          </pic:cNvPicPr>
                        </pic:nvPicPr>
                        <pic:blipFill>
                          <a:blip r:embed="rId26"/>
                          <a:stretch>
                            <a:fillRect/>
                          </a:stretch>
                        </pic:blipFill>
                        <pic:spPr>
                          <a:xfrm>
                            <a:off x="0" y="0"/>
                            <a:ext cx="3028315" cy="914400"/>
                          </a:xfrm>
                          <a:prstGeom prst="rect">
                            <a:avLst/>
                          </a:prstGeom>
                          <a:noFill/>
                          <a:ln>
                            <a:noFill/>
                          </a:ln>
                        </pic:spPr>
                      </pic:pic>
                    </a:graphicData>
                  </a:graphic>
                </wp:inline>
              </w:drawing>
            </w:r>
          </w:p>
          <w:p w14:paraId="6B4F7319">
            <w:pPr>
              <w:autoSpaceDE w:val="0"/>
              <w:autoSpaceDN w:val="0"/>
              <w:adjustRightInd w:val="0"/>
              <w:spacing w:line="360" w:lineRule="auto"/>
              <w:ind w:firstLine="480" w:firstLineChars="200"/>
              <w:rPr>
                <w:rFonts w:ascii="Times New Roman" w:hAnsi="Times New Roman" w:eastAsia="宋体" w:cs="Times New Roman"/>
                <w:color w:val="auto"/>
                <w:kern w:val="0"/>
                <w:sz w:val="24"/>
                <w:szCs w:val="21"/>
                <w:highlight w:val="none"/>
              </w:rPr>
            </w:pPr>
            <w:r>
              <w:rPr>
                <w:rFonts w:ascii="Times New Roman" w:hAnsi="Times New Roman" w:eastAsia="宋体" w:cs="Times New Roman"/>
                <w:color w:val="auto"/>
                <w:kern w:val="0"/>
                <w:sz w:val="24"/>
                <w:szCs w:val="21"/>
                <w:highlight w:val="none"/>
              </w:rPr>
              <w:t>式中：</w:t>
            </w:r>
            <w:r>
              <w:rPr>
                <w:rFonts w:ascii="Times New Roman" w:hAnsi="Times New Roman" w:eastAsia="宋体" w:cs="Times New Roman"/>
                <w:i/>
                <w:color w:val="auto"/>
                <w:sz w:val="24"/>
                <w:szCs w:val="21"/>
                <w:highlight w:val="none"/>
              </w:rPr>
              <w:t>S</w:t>
            </w:r>
            <w:r>
              <w:rPr>
                <w:rFonts w:ascii="Times New Roman" w:hAnsi="Times New Roman" w:eastAsia="宋体" w:cs="Times New Roman"/>
                <w:i/>
                <w:color w:val="auto"/>
                <w:sz w:val="24"/>
                <w:szCs w:val="21"/>
                <w:highlight w:val="none"/>
                <w:vertAlign w:val="subscript"/>
              </w:rPr>
              <w:t>DO,j</w:t>
            </w:r>
            <w:r>
              <w:rPr>
                <w:rFonts w:ascii="Times New Roman" w:hAnsi="Times New Roman" w:eastAsia="宋体" w:cs="Times New Roman"/>
                <w:color w:val="auto"/>
                <w:kern w:val="0"/>
                <w:sz w:val="24"/>
                <w:szCs w:val="21"/>
                <w:highlight w:val="none"/>
              </w:rPr>
              <w:t>—</w:t>
            </w:r>
            <w:r>
              <w:rPr>
                <w:rFonts w:ascii="Times New Roman" w:hAnsi="Times New Roman" w:eastAsia="宋体" w:cs="Times New Roman"/>
                <w:i/>
                <w:color w:val="auto"/>
                <w:kern w:val="0"/>
                <w:sz w:val="24"/>
                <w:szCs w:val="21"/>
                <w:highlight w:val="none"/>
              </w:rPr>
              <w:t>j</w:t>
            </w:r>
            <w:r>
              <w:rPr>
                <w:rFonts w:ascii="Times New Roman" w:hAnsi="Times New Roman" w:eastAsia="宋体" w:cs="Times New Roman"/>
                <w:color w:val="auto"/>
                <w:kern w:val="0"/>
                <w:sz w:val="24"/>
                <w:szCs w:val="21"/>
                <w:highlight w:val="none"/>
              </w:rPr>
              <w:t>站位的DO标准指数；</w:t>
            </w:r>
          </w:p>
          <w:p w14:paraId="1E791B8D">
            <w:pPr>
              <w:autoSpaceDE w:val="0"/>
              <w:autoSpaceDN w:val="0"/>
              <w:adjustRightInd w:val="0"/>
              <w:spacing w:line="360" w:lineRule="auto"/>
              <w:ind w:firstLine="480" w:firstLineChars="200"/>
              <w:rPr>
                <w:rFonts w:ascii="Times New Roman" w:hAnsi="Times New Roman" w:eastAsia="宋体" w:cs="Times New Roman"/>
                <w:color w:val="auto"/>
                <w:kern w:val="0"/>
                <w:sz w:val="24"/>
                <w:szCs w:val="21"/>
                <w:highlight w:val="none"/>
              </w:rPr>
            </w:pPr>
            <w:r>
              <w:rPr>
                <w:rFonts w:ascii="Times New Roman" w:hAnsi="Times New Roman" w:eastAsia="宋体" w:cs="Times New Roman"/>
                <w:i/>
                <w:color w:val="auto"/>
                <w:kern w:val="0"/>
                <w:sz w:val="24"/>
                <w:szCs w:val="21"/>
                <w:highlight w:val="none"/>
              </w:rPr>
              <w:t>DO</w:t>
            </w:r>
            <w:r>
              <w:rPr>
                <w:rFonts w:ascii="Times New Roman" w:hAnsi="Times New Roman" w:eastAsia="宋体" w:cs="Times New Roman"/>
                <w:i/>
                <w:color w:val="auto"/>
                <w:kern w:val="0"/>
                <w:sz w:val="24"/>
                <w:szCs w:val="21"/>
                <w:highlight w:val="none"/>
                <w:vertAlign w:val="subscript"/>
              </w:rPr>
              <w:t>f</w:t>
            </w:r>
            <w:r>
              <w:rPr>
                <w:rFonts w:ascii="Times New Roman" w:hAnsi="Times New Roman" w:eastAsia="宋体" w:cs="Times New Roman"/>
                <w:color w:val="auto"/>
                <w:kern w:val="0"/>
                <w:sz w:val="24"/>
                <w:szCs w:val="21"/>
                <w:highlight w:val="none"/>
              </w:rPr>
              <w:t>--现场水温及盐度条件下，水样中氧的饱和含量</w:t>
            </w:r>
            <w:r>
              <w:rPr>
                <w:rFonts w:hint="eastAsia" w:ascii="Times New Roman" w:hAnsi="Times New Roman" w:eastAsia="宋体" w:cs="Times New Roman"/>
                <w:color w:val="auto"/>
                <w:kern w:val="0"/>
                <w:sz w:val="24"/>
                <w:szCs w:val="21"/>
                <w:highlight w:val="none"/>
                <w:lang w:eastAsia="zh-CN"/>
              </w:rPr>
              <w:t>（</w:t>
            </w:r>
            <w:r>
              <w:rPr>
                <w:rFonts w:ascii="Times New Roman" w:hAnsi="Times New Roman" w:eastAsia="宋体" w:cs="Times New Roman"/>
                <w:color w:val="auto"/>
                <w:kern w:val="0"/>
                <w:sz w:val="24"/>
                <w:szCs w:val="21"/>
                <w:highlight w:val="none"/>
              </w:rPr>
              <w:t>mg/L</w:t>
            </w:r>
            <w:r>
              <w:rPr>
                <w:rFonts w:hint="eastAsia" w:ascii="Times New Roman" w:hAnsi="Times New Roman" w:eastAsia="宋体" w:cs="Times New Roman"/>
                <w:color w:val="auto"/>
                <w:kern w:val="0"/>
                <w:sz w:val="24"/>
                <w:szCs w:val="21"/>
                <w:highlight w:val="none"/>
                <w:lang w:eastAsia="zh-CN"/>
              </w:rPr>
              <w:t>）</w:t>
            </w:r>
            <w:r>
              <w:rPr>
                <w:rFonts w:ascii="Times New Roman" w:hAnsi="Times New Roman" w:eastAsia="宋体" w:cs="Times New Roman"/>
                <w:color w:val="auto"/>
                <w:kern w:val="0"/>
                <w:sz w:val="24"/>
                <w:szCs w:val="21"/>
                <w:highlight w:val="none"/>
              </w:rPr>
              <w:t>，一般采用的计算公式是：</w:t>
            </w:r>
            <w:r>
              <w:rPr>
                <w:rFonts w:ascii="Times New Roman" w:hAnsi="Times New Roman" w:eastAsia="宋体" w:cs="Times New Roman"/>
                <w:i/>
                <w:color w:val="auto"/>
                <w:kern w:val="0"/>
                <w:sz w:val="24"/>
                <w:szCs w:val="21"/>
                <w:highlight w:val="none"/>
              </w:rPr>
              <w:t>DO</w:t>
            </w:r>
            <w:r>
              <w:rPr>
                <w:rFonts w:ascii="Times New Roman" w:hAnsi="Times New Roman" w:eastAsia="宋体" w:cs="Times New Roman"/>
                <w:i/>
                <w:color w:val="auto"/>
                <w:kern w:val="0"/>
                <w:sz w:val="24"/>
                <w:szCs w:val="21"/>
                <w:highlight w:val="none"/>
                <w:vertAlign w:val="subscript"/>
              </w:rPr>
              <w:t>f</w:t>
            </w:r>
            <w:r>
              <w:rPr>
                <w:rFonts w:ascii="Times New Roman" w:hAnsi="Times New Roman" w:eastAsia="宋体" w:cs="Times New Roman"/>
                <w:color w:val="auto"/>
                <w:kern w:val="0"/>
                <w:sz w:val="24"/>
                <w:szCs w:val="21"/>
                <w:highlight w:val="none"/>
              </w:rPr>
              <w:t>=468/（31.6＋T），对于盐度较高的河口及近岸海域，计算公式为</w:t>
            </w:r>
            <w:r>
              <w:rPr>
                <w:rFonts w:ascii="Times New Roman" w:hAnsi="Times New Roman" w:eastAsia="宋体" w:cs="Times New Roman"/>
                <w:i/>
                <w:color w:val="auto"/>
                <w:kern w:val="0"/>
                <w:sz w:val="24"/>
                <w:szCs w:val="21"/>
                <w:highlight w:val="none"/>
              </w:rPr>
              <w:t>DO</w:t>
            </w:r>
            <w:r>
              <w:rPr>
                <w:rFonts w:ascii="Times New Roman" w:hAnsi="Times New Roman" w:eastAsia="宋体" w:cs="Times New Roman"/>
                <w:i/>
                <w:color w:val="auto"/>
                <w:kern w:val="0"/>
                <w:sz w:val="24"/>
                <w:szCs w:val="21"/>
                <w:highlight w:val="none"/>
                <w:vertAlign w:val="subscript"/>
              </w:rPr>
              <w:t>f</w:t>
            </w:r>
            <w:r>
              <w:rPr>
                <w:rFonts w:ascii="Times New Roman" w:hAnsi="Times New Roman" w:eastAsia="宋体" w:cs="Times New Roman"/>
                <w:color w:val="auto"/>
                <w:kern w:val="0"/>
                <w:sz w:val="24"/>
                <w:szCs w:val="21"/>
                <w:highlight w:val="none"/>
              </w:rPr>
              <w:t>=</w:t>
            </w:r>
            <w:r>
              <w:rPr>
                <w:rFonts w:hint="eastAsia" w:ascii="Times New Roman" w:hAnsi="Times New Roman" w:eastAsia="宋体" w:cs="Times New Roman"/>
                <w:color w:val="auto"/>
                <w:kern w:val="0"/>
                <w:sz w:val="24"/>
                <w:szCs w:val="21"/>
                <w:highlight w:val="none"/>
                <w:lang w:eastAsia="zh-CN"/>
              </w:rPr>
              <w:t>（</w:t>
            </w:r>
            <w:r>
              <w:rPr>
                <w:rFonts w:hint="eastAsia" w:ascii="Times New Roman" w:hAnsi="Times New Roman" w:eastAsia="宋体" w:cs="Times New Roman"/>
                <w:color w:val="auto"/>
                <w:kern w:val="0"/>
                <w:sz w:val="24"/>
                <w:szCs w:val="21"/>
                <w:highlight w:val="none"/>
                <w:lang w:val="en-US" w:eastAsia="zh-CN"/>
              </w:rPr>
              <w:t>491-2.65S</w:t>
            </w:r>
            <w:r>
              <w:rPr>
                <w:rFonts w:hint="eastAsia" w:ascii="Times New Roman" w:hAnsi="Times New Roman" w:eastAsia="宋体" w:cs="Times New Roman"/>
                <w:color w:val="auto"/>
                <w:kern w:val="0"/>
                <w:sz w:val="24"/>
                <w:szCs w:val="21"/>
                <w:highlight w:val="none"/>
                <w:lang w:eastAsia="zh-CN"/>
              </w:rPr>
              <w:t>）</w:t>
            </w:r>
            <w:r>
              <w:rPr>
                <w:rFonts w:hint="eastAsia" w:ascii="Times New Roman" w:hAnsi="Times New Roman" w:eastAsia="宋体" w:cs="Times New Roman"/>
                <w:color w:val="auto"/>
                <w:kern w:val="0"/>
                <w:sz w:val="24"/>
                <w:szCs w:val="21"/>
                <w:highlight w:val="none"/>
                <w:lang w:val="en-US" w:eastAsia="zh-CN"/>
              </w:rPr>
              <w:t>/（33.5+T）</w:t>
            </w:r>
            <w:r>
              <w:rPr>
                <w:rFonts w:ascii="Times New Roman" w:hAnsi="Times New Roman" w:eastAsia="宋体" w:cs="Times New Roman"/>
                <w:color w:val="auto"/>
                <w:sz w:val="24"/>
                <w:szCs w:val="21"/>
                <w:highlight w:val="none"/>
              </w:rPr>
              <w:t>，</w:t>
            </w:r>
            <w:r>
              <w:rPr>
                <w:rFonts w:ascii="Times New Roman" w:hAnsi="Times New Roman" w:eastAsia="宋体" w:cs="Times New Roman"/>
                <w:color w:val="auto"/>
                <w:kern w:val="0"/>
                <w:sz w:val="24"/>
                <w:szCs w:val="21"/>
                <w:highlight w:val="none"/>
              </w:rPr>
              <w:t>式中T为水温（℃）；</w:t>
            </w:r>
          </w:p>
          <w:p w14:paraId="6DE98B5C">
            <w:pPr>
              <w:tabs>
                <w:tab w:val="left" w:pos="6735"/>
              </w:tabs>
              <w:autoSpaceDE w:val="0"/>
              <w:autoSpaceDN w:val="0"/>
              <w:adjustRightInd w:val="0"/>
              <w:spacing w:line="360" w:lineRule="auto"/>
              <w:ind w:firstLine="660" w:firstLineChars="275"/>
              <w:rPr>
                <w:rFonts w:ascii="Times New Roman" w:hAnsi="Times New Roman" w:eastAsia="宋体" w:cs="Times New Roman"/>
                <w:color w:val="auto"/>
                <w:kern w:val="0"/>
                <w:sz w:val="24"/>
                <w:szCs w:val="21"/>
                <w:highlight w:val="none"/>
              </w:rPr>
            </w:pPr>
            <w:r>
              <w:rPr>
                <w:rFonts w:ascii="Times New Roman" w:hAnsi="Times New Roman" w:eastAsia="宋体" w:cs="Times New Roman"/>
                <w:i/>
                <w:color w:val="auto"/>
                <w:kern w:val="0"/>
                <w:sz w:val="24"/>
                <w:szCs w:val="21"/>
                <w:highlight w:val="none"/>
              </w:rPr>
              <w:t>DO</w:t>
            </w:r>
            <w:r>
              <w:rPr>
                <w:rFonts w:ascii="Times New Roman" w:hAnsi="Times New Roman" w:eastAsia="宋体" w:cs="Times New Roman"/>
                <w:i/>
                <w:color w:val="auto"/>
                <w:kern w:val="0"/>
                <w:sz w:val="24"/>
                <w:szCs w:val="21"/>
                <w:highlight w:val="none"/>
                <w:vertAlign w:val="subscript"/>
              </w:rPr>
              <w:t>j</w:t>
            </w:r>
            <w:r>
              <w:rPr>
                <w:rFonts w:ascii="Times New Roman" w:hAnsi="Times New Roman" w:eastAsia="宋体" w:cs="Times New Roman"/>
                <w:color w:val="auto"/>
                <w:kern w:val="0"/>
                <w:sz w:val="24"/>
                <w:szCs w:val="21"/>
                <w:highlight w:val="none"/>
              </w:rPr>
              <w:t>—</w:t>
            </w:r>
            <w:r>
              <w:rPr>
                <w:rFonts w:ascii="Times New Roman" w:hAnsi="Times New Roman" w:eastAsia="宋体" w:cs="Times New Roman"/>
                <w:i/>
                <w:color w:val="auto"/>
                <w:kern w:val="0"/>
                <w:sz w:val="24"/>
                <w:szCs w:val="21"/>
                <w:highlight w:val="none"/>
              </w:rPr>
              <w:t>j</w:t>
            </w:r>
            <w:r>
              <w:rPr>
                <w:rFonts w:ascii="Times New Roman" w:hAnsi="Times New Roman" w:eastAsia="宋体" w:cs="Times New Roman"/>
                <w:color w:val="auto"/>
                <w:kern w:val="0"/>
                <w:sz w:val="24"/>
                <w:szCs w:val="21"/>
                <w:highlight w:val="none"/>
              </w:rPr>
              <w:t>站位的DO实测值；</w:t>
            </w:r>
          </w:p>
          <w:p w14:paraId="2837F087">
            <w:pPr>
              <w:tabs>
                <w:tab w:val="left" w:pos="6735"/>
              </w:tabs>
              <w:autoSpaceDE w:val="0"/>
              <w:autoSpaceDN w:val="0"/>
              <w:adjustRightInd w:val="0"/>
              <w:spacing w:line="360" w:lineRule="auto"/>
              <w:ind w:firstLine="660" w:firstLineChars="275"/>
              <w:rPr>
                <w:rFonts w:ascii="Times New Roman" w:hAnsi="Times New Roman" w:eastAsia="宋体" w:cs="Times New Roman"/>
                <w:color w:val="auto"/>
                <w:kern w:val="0"/>
                <w:sz w:val="24"/>
                <w:szCs w:val="21"/>
                <w:highlight w:val="none"/>
              </w:rPr>
            </w:pPr>
            <w:r>
              <w:rPr>
                <w:rFonts w:ascii="Times New Roman" w:hAnsi="Times New Roman" w:eastAsia="宋体" w:cs="Times New Roman"/>
                <w:i/>
                <w:color w:val="auto"/>
                <w:kern w:val="0"/>
                <w:sz w:val="24"/>
                <w:szCs w:val="21"/>
                <w:highlight w:val="none"/>
              </w:rPr>
              <w:t>DO</w:t>
            </w:r>
            <w:r>
              <w:rPr>
                <w:rFonts w:ascii="Times New Roman" w:hAnsi="Times New Roman" w:eastAsia="宋体" w:cs="Times New Roman"/>
                <w:i/>
                <w:color w:val="auto"/>
                <w:kern w:val="0"/>
                <w:sz w:val="24"/>
                <w:szCs w:val="21"/>
                <w:highlight w:val="none"/>
                <w:vertAlign w:val="subscript"/>
              </w:rPr>
              <w:t>s</w:t>
            </w:r>
            <w:r>
              <w:rPr>
                <w:rFonts w:ascii="Times New Roman" w:hAnsi="Times New Roman" w:eastAsia="宋体" w:cs="Times New Roman"/>
                <w:color w:val="auto"/>
                <w:kern w:val="0"/>
                <w:sz w:val="24"/>
                <w:szCs w:val="21"/>
                <w:highlight w:val="none"/>
              </w:rPr>
              <w:t>—DO的评价标准值。</w:t>
            </w:r>
          </w:p>
          <w:p w14:paraId="7A5D3A85">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Cambria Math" w:hAnsi="Cambria Math" w:eastAsia="宋体" w:cs="Cambria Math"/>
                <w:color w:val="auto"/>
                <w:sz w:val="24"/>
                <w:szCs w:val="21"/>
                <w:highlight w:val="none"/>
              </w:rPr>
              <w:t>③</w:t>
            </w:r>
            <w:r>
              <w:rPr>
                <w:rFonts w:ascii="Times New Roman" w:hAnsi="Times New Roman" w:eastAsia="宋体" w:cs="Times New Roman"/>
                <w:color w:val="auto"/>
                <w:sz w:val="24"/>
                <w:szCs w:val="21"/>
                <w:highlight w:val="none"/>
              </w:rPr>
              <w:t>pH</w:t>
            </w:r>
          </w:p>
          <w:p w14:paraId="7AEC61BE">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t>pH有其特殊性，它的评价标准值为7.8～8.5和6.8～8.8，计算式为：</w:t>
            </w:r>
          </w:p>
          <w:p w14:paraId="3AE0F555">
            <w:pPr>
              <w:adjustRightInd w:val="0"/>
              <w:spacing w:line="360" w:lineRule="auto"/>
              <w:ind w:firstLine="480" w:firstLineChars="200"/>
              <w:jc w:val="center"/>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drawing>
                <wp:inline distT="0" distB="0" distL="114300" distR="114300">
                  <wp:extent cx="1020445" cy="361315"/>
                  <wp:effectExtent l="0" t="0" r="8255" b="635"/>
                  <wp:docPr id="1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7"/>
                          <pic:cNvPicPr>
                            <a:picLocks noChangeAspect="1"/>
                          </pic:cNvPicPr>
                        </pic:nvPicPr>
                        <pic:blipFill>
                          <a:blip r:embed="rId27"/>
                          <a:stretch>
                            <a:fillRect/>
                          </a:stretch>
                        </pic:blipFill>
                        <pic:spPr>
                          <a:xfrm>
                            <a:off x="0" y="0"/>
                            <a:ext cx="1020445" cy="361315"/>
                          </a:xfrm>
                          <a:prstGeom prst="rect">
                            <a:avLst/>
                          </a:prstGeom>
                          <a:noFill/>
                          <a:ln>
                            <a:noFill/>
                          </a:ln>
                        </pic:spPr>
                      </pic:pic>
                    </a:graphicData>
                  </a:graphic>
                </wp:inline>
              </w:drawing>
            </w:r>
            <w:r>
              <w:rPr>
                <w:rFonts w:ascii="Times New Roman" w:hAnsi="Times New Roman" w:eastAsia="宋体" w:cs="Times New Roman"/>
                <w:color w:val="auto"/>
                <w:sz w:val="24"/>
                <w:szCs w:val="21"/>
                <w:highlight w:val="none"/>
              </w:rPr>
              <w:drawing>
                <wp:inline distT="0" distB="0" distL="114300" distR="114300">
                  <wp:extent cx="616585" cy="201930"/>
                  <wp:effectExtent l="0" t="0" r="12065" b="6350"/>
                  <wp:docPr id="1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8"/>
                          <pic:cNvPicPr>
                            <a:picLocks noChangeAspect="1"/>
                          </pic:cNvPicPr>
                        </pic:nvPicPr>
                        <pic:blipFill>
                          <a:blip r:embed="rId28"/>
                          <a:stretch>
                            <a:fillRect/>
                          </a:stretch>
                        </pic:blipFill>
                        <pic:spPr>
                          <a:xfrm>
                            <a:off x="0" y="0"/>
                            <a:ext cx="616585" cy="201930"/>
                          </a:xfrm>
                          <a:prstGeom prst="rect">
                            <a:avLst/>
                          </a:prstGeom>
                          <a:noFill/>
                          <a:ln>
                            <a:noFill/>
                          </a:ln>
                        </pic:spPr>
                      </pic:pic>
                    </a:graphicData>
                  </a:graphic>
                </wp:inline>
              </w:drawing>
            </w:r>
          </w:p>
          <w:p w14:paraId="5B2D0E1C">
            <w:pPr>
              <w:adjustRightInd w:val="0"/>
              <w:spacing w:line="360" w:lineRule="auto"/>
              <w:ind w:firstLine="480" w:firstLineChars="200"/>
              <w:jc w:val="center"/>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drawing>
                <wp:inline distT="0" distB="0" distL="114300" distR="114300">
                  <wp:extent cx="1233170" cy="425450"/>
                  <wp:effectExtent l="0" t="0" r="0" b="12700"/>
                  <wp:docPr id="14"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9"/>
                          <pic:cNvPicPr>
                            <a:picLocks noChangeAspect="1"/>
                          </pic:cNvPicPr>
                        </pic:nvPicPr>
                        <pic:blipFill>
                          <a:blip r:embed="rId29"/>
                          <a:stretch>
                            <a:fillRect/>
                          </a:stretch>
                        </pic:blipFill>
                        <pic:spPr>
                          <a:xfrm>
                            <a:off x="0" y="0"/>
                            <a:ext cx="1233170" cy="425450"/>
                          </a:xfrm>
                          <a:prstGeom prst="rect">
                            <a:avLst/>
                          </a:prstGeom>
                          <a:noFill/>
                          <a:ln>
                            <a:noFill/>
                          </a:ln>
                        </pic:spPr>
                      </pic:pic>
                    </a:graphicData>
                  </a:graphic>
                </wp:inline>
              </w:drawing>
            </w:r>
            <w:r>
              <w:rPr>
                <w:rFonts w:ascii="Times New Roman" w:hAnsi="Times New Roman" w:eastAsia="宋体" w:cs="Times New Roman"/>
                <w:color w:val="auto"/>
                <w:sz w:val="24"/>
                <w:szCs w:val="21"/>
                <w:highlight w:val="none"/>
              </w:rPr>
              <w:drawing>
                <wp:inline distT="0" distB="0" distL="114300" distR="114300">
                  <wp:extent cx="616585" cy="201930"/>
                  <wp:effectExtent l="0" t="0" r="12065" b="6350"/>
                  <wp:docPr id="1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0"/>
                          <pic:cNvPicPr>
                            <a:picLocks noChangeAspect="1"/>
                          </pic:cNvPicPr>
                        </pic:nvPicPr>
                        <pic:blipFill>
                          <a:blip r:embed="rId30"/>
                          <a:stretch>
                            <a:fillRect/>
                          </a:stretch>
                        </pic:blipFill>
                        <pic:spPr>
                          <a:xfrm>
                            <a:off x="0" y="0"/>
                            <a:ext cx="616585" cy="201930"/>
                          </a:xfrm>
                          <a:prstGeom prst="rect">
                            <a:avLst/>
                          </a:prstGeom>
                          <a:noFill/>
                          <a:ln>
                            <a:noFill/>
                          </a:ln>
                        </pic:spPr>
                      </pic:pic>
                    </a:graphicData>
                  </a:graphic>
                </wp:inline>
              </w:drawing>
            </w:r>
          </w:p>
          <w:p w14:paraId="2FC1440D">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t>式中：</w:t>
            </w:r>
          </w:p>
          <w:p w14:paraId="1BBEC79E">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i/>
                <w:color w:val="auto"/>
                <w:sz w:val="24"/>
                <w:szCs w:val="21"/>
                <w:highlight w:val="none"/>
              </w:rPr>
              <w:t>Ip</w:t>
            </w:r>
            <w:r>
              <w:rPr>
                <w:rFonts w:ascii="Times New Roman" w:hAnsi="Times New Roman" w:eastAsia="宋体" w:cs="Times New Roman"/>
                <w:color w:val="auto"/>
                <w:sz w:val="24"/>
                <w:szCs w:val="21"/>
                <w:highlight w:val="none"/>
              </w:rPr>
              <w:t>H.i——pH的标准指数；</w:t>
            </w:r>
          </w:p>
          <w:p w14:paraId="09462FE6">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i/>
                <w:color w:val="auto"/>
                <w:sz w:val="24"/>
                <w:szCs w:val="21"/>
                <w:highlight w:val="none"/>
              </w:rPr>
              <w:t>pH</w:t>
            </w:r>
            <w:r>
              <w:rPr>
                <w:rFonts w:ascii="Times New Roman" w:hAnsi="Times New Roman" w:eastAsia="宋体" w:cs="Times New Roman"/>
                <w:color w:val="auto"/>
                <w:sz w:val="24"/>
                <w:szCs w:val="21"/>
                <w:highlight w:val="none"/>
                <w:vertAlign w:val="subscript"/>
              </w:rPr>
              <w:t>sd</w:t>
            </w:r>
            <w:r>
              <w:rPr>
                <w:rFonts w:ascii="Times New Roman" w:hAnsi="Times New Roman" w:eastAsia="宋体" w:cs="Times New Roman"/>
                <w:color w:val="auto"/>
                <w:sz w:val="24"/>
                <w:szCs w:val="21"/>
                <w:highlight w:val="none"/>
              </w:rPr>
              <w:t>——pH评价标准下限值；</w:t>
            </w:r>
          </w:p>
          <w:p w14:paraId="614C0A37">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i/>
                <w:color w:val="auto"/>
                <w:sz w:val="24"/>
                <w:szCs w:val="21"/>
                <w:highlight w:val="none"/>
              </w:rPr>
              <w:t>pH</w:t>
            </w:r>
            <w:r>
              <w:rPr>
                <w:rFonts w:ascii="Times New Roman" w:hAnsi="Times New Roman" w:eastAsia="宋体" w:cs="Times New Roman"/>
                <w:color w:val="auto"/>
                <w:sz w:val="24"/>
                <w:szCs w:val="21"/>
                <w:highlight w:val="none"/>
                <w:vertAlign w:val="subscript"/>
              </w:rPr>
              <w:t>su</w:t>
            </w:r>
            <w:r>
              <w:rPr>
                <w:rFonts w:ascii="Times New Roman" w:hAnsi="Times New Roman" w:eastAsia="宋体" w:cs="Times New Roman"/>
                <w:color w:val="auto"/>
                <w:sz w:val="24"/>
                <w:szCs w:val="21"/>
                <w:highlight w:val="none"/>
              </w:rPr>
              <w:t>——pH评价标准上限值；</w:t>
            </w:r>
          </w:p>
          <w:p w14:paraId="5A2BDBB8">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t>pH——pH的实测值。</w:t>
            </w:r>
          </w:p>
          <w:p w14:paraId="49DE7C85">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t>水质参数标准指数≤1，表明该因子符合水质评价标准，满足功能区使用要求；标准指数&gt;1，表明该因子超过了水质评价标准，已经不能满足功能区使用要求，也说明水质已受到该因子污染，指数值越大，污染程度越重。</w:t>
            </w:r>
          </w:p>
          <w:p w14:paraId="474699F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宋体" w:hAnsi="宋体" w:eastAsia="宋体" w:cs="Times New Roman"/>
                <w:color w:val="auto"/>
                <w:sz w:val="24"/>
                <w:szCs w:val="21"/>
                <w:highlight w:val="none"/>
                <w:lang w:val="en-US" w:eastAsia="zh-CN"/>
              </w:rPr>
            </w:pPr>
            <w:bookmarkStart w:id="33" w:name="_Toc10466"/>
            <w:bookmarkStart w:id="34" w:name="_Toc22973"/>
            <w:bookmarkStart w:id="35" w:name="_Toc11906"/>
            <w:bookmarkStart w:id="36" w:name="_Toc30429"/>
            <w:r>
              <w:rPr>
                <w:rFonts w:hint="default" w:ascii="宋体" w:hAnsi="宋体" w:eastAsia="宋体" w:cs="Times New Roman"/>
                <w:color w:val="auto"/>
                <w:sz w:val="24"/>
                <w:szCs w:val="21"/>
                <w:highlight w:val="none"/>
                <w:lang w:val="en-US" w:eastAsia="zh-CN"/>
              </w:rPr>
              <w:t>2、海洋沉积物评价方法</w:t>
            </w:r>
            <w:bookmarkEnd w:id="33"/>
            <w:bookmarkEnd w:id="34"/>
            <w:bookmarkEnd w:id="35"/>
            <w:bookmarkEnd w:id="36"/>
          </w:p>
          <w:p w14:paraId="13BBE6DE">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沉积物质量评价采用单因子指数法进行，公式如下：</w:t>
            </w:r>
          </w:p>
          <w:p w14:paraId="7346F3B7">
            <w:pPr>
              <w:keepNext w:val="0"/>
              <w:keepLines w:val="0"/>
              <w:pageBreakBefore w:val="0"/>
              <w:widowControl/>
              <w:kinsoku/>
              <w:wordWrap/>
              <w:overflowPunct/>
              <w:topLinePunct w:val="0"/>
              <w:autoSpaceDE/>
              <w:autoSpaceDN/>
              <w:bidi w:val="0"/>
              <w:adjustRightInd w:val="0"/>
              <w:snapToGrid/>
              <w:spacing w:line="360" w:lineRule="auto"/>
              <w:ind w:firstLine="1440"/>
              <w:jc w:val="center"/>
              <w:textAlignment w:val="baseline"/>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I</w:t>
            </w:r>
            <w:r>
              <w:rPr>
                <w:rFonts w:hint="default" w:ascii="Times New Roman" w:hAnsi="Times New Roman" w:eastAsia="宋体" w:cs="Times New Roman"/>
                <w:color w:val="auto"/>
                <w:kern w:val="0"/>
                <w:sz w:val="24"/>
                <w:szCs w:val="24"/>
                <w:highlight w:val="none"/>
                <w:vertAlign w:val="subscript"/>
              </w:rPr>
              <w:t xml:space="preserve">i </w:t>
            </w:r>
            <w:r>
              <w:rPr>
                <w:rFonts w:hint="default" w:ascii="Times New Roman" w:hAnsi="Times New Roman" w:eastAsia="宋体" w:cs="Times New Roman"/>
                <w:color w:val="auto"/>
                <w:kern w:val="0"/>
                <w:sz w:val="24"/>
                <w:szCs w:val="24"/>
                <w:highlight w:val="none"/>
              </w:rPr>
              <w:t>= C</w:t>
            </w:r>
            <w:r>
              <w:rPr>
                <w:rFonts w:hint="default" w:ascii="Times New Roman" w:hAnsi="Times New Roman" w:eastAsia="宋体" w:cs="Times New Roman"/>
                <w:color w:val="auto"/>
                <w:kern w:val="0"/>
                <w:sz w:val="24"/>
                <w:szCs w:val="24"/>
                <w:highlight w:val="none"/>
                <w:vertAlign w:val="subscript"/>
              </w:rPr>
              <w:t>i</w:t>
            </w:r>
            <w:r>
              <w:rPr>
                <w:rFonts w:hint="default" w:ascii="Times New Roman" w:hAnsi="Times New Roman" w:eastAsia="宋体" w:cs="Times New Roman"/>
                <w:color w:val="auto"/>
                <w:kern w:val="0"/>
                <w:sz w:val="24"/>
                <w:szCs w:val="24"/>
                <w:highlight w:val="none"/>
              </w:rPr>
              <w:t>/S</w:t>
            </w:r>
            <w:r>
              <w:rPr>
                <w:rFonts w:hint="default" w:ascii="Times New Roman" w:hAnsi="Times New Roman" w:eastAsia="宋体" w:cs="Times New Roman"/>
                <w:color w:val="auto"/>
                <w:kern w:val="0"/>
                <w:sz w:val="24"/>
                <w:szCs w:val="24"/>
                <w:highlight w:val="none"/>
                <w:vertAlign w:val="subscript"/>
              </w:rPr>
              <w:t>i</w:t>
            </w:r>
          </w:p>
          <w:p w14:paraId="67540D31">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式中：I</w:t>
            </w:r>
            <w:r>
              <w:rPr>
                <w:rFonts w:hint="default" w:ascii="Times New Roman" w:hAnsi="Times New Roman" w:eastAsia="宋体" w:cs="Times New Roman"/>
                <w:color w:val="auto"/>
                <w:kern w:val="0"/>
                <w:sz w:val="24"/>
                <w:szCs w:val="24"/>
                <w:highlight w:val="none"/>
                <w:vertAlign w:val="subscript"/>
              </w:rPr>
              <w:t>i</w:t>
            </w:r>
            <w:r>
              <w:rPr>
                <w:rFonts w:hint="default" w:ascii="Times New Roman" w:hAnsi="Times New Roman" w:eastAsia="宋体" w:cs="Times New Roman"/>
                <w:color w:val="auto"/>
                <w:kern w:val="0"/>
                <w:sz w:val="24"/>
                <w:szCs w:val="24"/>
                <w:highlight w:val="none"/>
              </w:rPr>
              <w:t>--i项评价因子的标准指数；</w:t>
            </w:r>
          </w:p>
          <w:p w14:paraId="055EB14B">
            <w:pPr>
              <w:keepNext w:val="0"/>
              <w:keepLines w:val="0"/>
              <w:pageBreakBefore w:val="0"/>
              <w:kinsoku/>
              <w:wordWrap/>
              <w:overflowPunct/>
              <w:topLinePunct w:val="0"/>
              <w:autoSpaceDE/>
              <w:autoSpaceDN/>
              <w:bidi w:val="0"/>
              <w:snapToGrid/>
              <w:spacing w:line="360" w:lineRule="auto"/>
              <w:ind w:firstLine="1200" w:firstLineChars="500"/>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--i项评价因子的实测浓度；</w:t>
            </w:r>
          </w:p>
          <w:p w14:paraId="40EE265B">
            <w:pPr>
              <w:bidi w:val="0"/>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--i项评价因子的评价标准值。</w:t>
            </w:r>
          </w:p>
          <w:p w14:paraId="22C1CF75">
            <w:pPr>
              <w:pStyle w:val="9"/>
              <w:rPr>
                <w:rFonts w:hint="eastAsia"/>
                <w:color w:val="auto"/>
                <w:sz w:val="24"/>
                <w:highlight w:val="none"/>
                <w:shd w:val="clear" w:color="auto" w:fill="FFFFFF"/>
              </w:rPr>
            </w:pPr>
          </w:p>
          <w:p w14:paraId="5FFD6F66">
            <w:pPr>
              <w:adjustRightInd w:val="0"/>
              <w:snapToGrid w:val="0"/>
              <w:jc w:val="center"/>
              <w:rPr>
                <w:rFonts w:hint="eastAsia" w:ascii="宋体" w:hAnsi="宋体" w:cs="宋体"/>
                <w:color w:val="auto"/>
                <w:kern w:val="0"/>
                <w:sz w:val="24"/>
                <w:szCs w:val="21"/>
                <w:highlight w:val="none"/>
              </w:rPr>
            </w:pPr>
          </w:p>
        </w:tc>
      </w:tr>
    </w:tbl>
    <w:p w14:paraId="773A96EA">
      <w:pPr>
        <w:rPr>
          <w:color w:val="auto"/>
          <w:highlight w:val="none"/>
        </w:rPr>
        <w:sectPr>
          <w:footerReference r:id="rId9" w:type="default"/>
          <w:pgSz w:w="11907" w:h="16840"/>
          <w:pgMar w:top="1701" w:right="1531" w:bottom="2127" w:left="1531" w:header="851" w:footer="851" w:gutter="0"/>
          <w:cols w:space="720" w:num="1"/>
          <w:docGrid w:linePitch="312" w:charSpace="0"/>
        </w:sectPr>
      </w:pPr>
    </w:p>
    <w:tbl>
      <w:tblPr>
        <w:tblStyle w:val="4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772"/>
      </w:tblGrid>
      <w:tr w14:paraId="3D826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62" w:type="pct"/>
            <w:noWrap w:val="0"/>
            <w:vAlign w:val="center"/>
          </w:tcPr>
          <w:p w14:paraId="2E4BD1DC">
            <w:pPr>
              <w:adjustRightInd w:val="0"/>
              <w:snapToGrid w:val="0"/>
              <w:jc w:val="center"/>
              <w:rPr>
                <w:rFonts w:hint="eastAsia" w:ascii="宋体" w:hAnsi="宋体" w:eastAsia="宋体" w:cs="宋体"/>
                <w:color w:val="auto"/>
                <w:kern w:val="0"/>
                <w:sz w:val="24"/>
                <w:szCs w:val="21"/>
                <w:highlight w:val="none"/>
                <w:lang w:val="en-US" w:eastAsia="zh-CN"/>
              </w:rPr>
            </w:pPr>
            <w:r>
              <w:rPr>
                <w:rFonts w:hint="eastAsia" w:ascii="宋体" w:hAnsi="宋体" w:cs="宋体"/>
                <w:color w:val="auto"/>
                <w:kern w:val="0"/>
                <w:sz w:val="24"/>
                <w:szCs w:val="21"/>
                <w:highlight w:val="none"/>
                <w:lang w:val="en-US" w:eastAsia="zh-CN"/>
              </w:rPr>
              <w:t>生态环境现状</w:t>
            </w:r>
          </w:p>
        </w:tc>
        <w:tc>
          <w:tcPr>
            <w:tcW w:w="4837" w:type="pct"/>
            <w:noWrap w:val="0"/>
            <w:vAlign w:val="center"/>
          </w:tcPr>
          <w:p w14:paraId="0366A52D">
            <w:pPr>
              <w:numPr>
                <w:ilvl w:val="0"/>
                <w:numId w:val="11"/>
              </w:numPr>
              <w:spacing w:line="360" w:lineRule="auto"/>
              <w:ind w:firstLine="480" w:firstLineChars="200"/>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监测结果及评价</w:t>
            </w:r>
          </w:p>
          <w:p w14:paraId="45F37F2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1"/>
                <w:highlight w:val="none"/>
                <w:lang w:val="en-US" w:eastAsia="zh-CN"/>
              </w:rPr>
            </w:pPr>
            <w:r>
              <w:rPr>
                <w:rFonts w:hint="eastAsia" w:ascii="Times New Roman" w:hAnsi="Times New Roman" w:eastAsia="宋体" w:cs="Times New Roman"/>
                <w:color w:val="auto"/>
                <w:sz w:val="24"/>
                <w:szCs w:val="21"/>
                <w:highlight w:val="none"/>
                <w:lang w:val="en-US" w:eastAsia="zh-CN"/>
              </w:rPr>
              <w:t>秋季海洋环境质量现状调查引用2024年9月、10月开展的秋季调查，</w:t>
            </w:r>
            <w:r>
              <w:rPr>
                <w:rFonts w:hint="eastAsia" w:ascii="Times New Roman" w:hAnsi="Times New Roman" w:eastAsia="宋体" w:cs="Times New Roman"/>
                <w:color w:val="auto"/>
                <w:sz w:val="24"/>
                <w:szCs w:val="21"/>
                <w:highlight w:val="none"/>
              </w:rPr>
              <w:t>本</w:t>
            </w:r>
            <w:r>
              <w:rPr>
                <w:rFonts w:hint="eastAsia" w:ascii="Times New Roman" w:hAnsi="Times New Roman" w:eastAsia="宋体" w:cs="Times New Roman"/>
                <w:color w:val="auto"/>
                <w:sz w:val="24"/>
                <w:szCs w:val="21"/>
                <w:highlight w:val="none"/>
                <w:lang w:val="en-US" w:eastAsia="zh-CN"/>
              </w:rPr>
              <w:t>次</w:t>
            </w:r>
            <w:r>
              <w:rPr>
                <w:rFonts w:hint="eastAsia" w:ascii="Times New Roman" w:hAnsi="Times New Roman" w:eastAsia="宋体" w:cs="Times New Roman"/>
                <w:color w:val="auto"/>
                <w:sz w:val="24"/>
                <w:szCs w:val="21"/>
                <w:highlight w:val="none"/>
              </w:rPr>
              <w:t>选取</w:t>
            </w:r>
            <w:r>
              <w:rPr>
                <w:rFonts w:hint="eastAsia" w:ascii="Times New Roman" w:hAnsi="Times New Roman" w:eastAsia="宋体" w:cs="Times New Roman"/>
                <w:color w:val="auto"/>
                <w:sz w:val="24"/>
                <w:szCs w:val="21"/>
                <w:highlight w:val="none"/>
                <w:lang w:val="en-US" w:eastAsia="zh-CN"/>
              </w:rPr>
              <w:t>评价</w:t>
            </w:r>
            <w:r>
              <w:rPr>
                <w:rFonts w:hint="eastAsia" w:ascii="Times New Roman" w:hAnsi="Times New Roman" w:eastAsia="宋体" w:cs="Times New Roman"/>
                <w:color w:val="auto"/>
                <w:sz w:val="24"/>
                <w:szCs w:val="21"/>
                <w:highlight w:val="none"/>
              </w:rPr>
              <w:t>范围内距离本项目最近的20个海水水质站位，10个海洋沉积物站位的数据进行评价</w:t>
            </w:r>
            <w:r>
              <w:rPr>
                <w:rFonts w:hint="eastAsia" w:ascii="Times New Roman" w:hAnsi="Times New Roman" w:eastAsia="宋体" w:cs="Times New Roman"/>
                <w:color w:val="auto"/>
                <w:sz w:val="24"/>
                <w:szCs w:val="21"/>
                <w:highlight w:val="none"/>
                <w:lang w:eastAsia="zh-CN"/>
              </w:rPr>
              <w:t>。</w:t>
            </w:r>
          </w:p>
          <w:p w14:paraId="35E450AB">
            <w:pPr>
              <w:adjustRightInd w:val="0"/>
              <w:spacing w:line="360" w:lineRule="auto"/>
              <w:ind w:firstLine="480" w:firstLineChars="200"/>
              <w:rPr>
                <w:rFonts w:hint="eastAsia" w:ascii="Times New Roman" w:hAnsi="Times New Roman" w:eastAsia="宋体" w:cs="Times New Roman"/>
                <w:color w:val="auto"/>
                <w:sz w:val="24"/>
                <w:szCs w:val="21"/>
                <w:highlight w:val="none"/>
                <w:lang w:val="en-US" w:eastAsia="zh-CN"/>
              </w:rPr>
            </w:pPr>
            <w:r>
              <w:rPr>
                <w:rFonts w:hint="eastAsia" w:ascii="Times New Roman" w:hAnsi="Times New Roman" w:eastAsia="宋体" w:cs="Times New Roman"/>
                <w:color w:val="auto"/>
                <w:sz w:val="24"/>
                <w:szCs w:val="21"/>
                <w:highlight w:val="none"/>
                <w:lang w:val="en-US" w:eastAsia="zh-CN"/>
              </w:rPr>
              <w:t>海洋水质监测结果详见表3.1-8~3.1-9，水质监测标准指数详见表3.1-10。</w:t>
            </w:r>
          </w:p>
          <w:p w14:paraId="346E6808">
            <w:pPr>
              <w:keepNext/>
              <w:keepLines/>
              <w:widowControl w:val="0"/>
              <w:numPr>
                <w:ilvl w:val="0"/>
                <w:numId w:val="0"/>
              </w:numPr>
              <w:tabs>
                <w:tab w:val="left" w:pos="0"/>
              </w:tabs>
              <w:bidi w:val="0"/>
              <w:adjustRightInd w:val="0"/>
              <w:snapToGrid w:val="0"/>
              <w:spacing w:line="240" w:lineRule="auto"/>
              <w:ind w:leftChars="0"/>
              <w:jc w:val="center"/>
              <w:outlineLvl w:val="4"/>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表3.1-8  2024年秋季项目海水水质监测结果一览表（1）</w:t>
            </w:r>
          </w:p>
          <w:tbl>
            <w:tblPr>
              <w:tblStyle w:val="4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813"/>
              <w:gridCol w:w="811"/>
              <w:gridCol w:w="814"/>
              <w:gridCol w:w="811"/>
              <w:gridCol w:w="964"/>
              <w:gridCol w:w="902"/>
              <w:gridCol w:w="902"/>
              <w:gridCol w:w="902"/>
              <w:gridCol w:w="859"/>
              <w:gridCol w:w="964"/>
              <w:gridCol w:w="964"/>
              <w:gridCol w:w="964"/>
              <w:gridCol w:w="964"/>
              <w:gridCol w:w="904"/>
            </w:tblGrid>
            <w:tr w14:paraId="2C01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324" w:type="pct"/>
                  <w:vMerge w:val="restart"/>
                  <w:noWrap w:val="0"/>
                  <w:vAlign w:val="center"/>
                </w:tcPr>
                <w:p w14:paraId="517798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监测</w:t>
                  </w:r>
                </w:p>
                <w:p w14:paraId="4E71DE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站位</w:t>
                  </w:r>
                </w:p>
              </w:tc>
              <w:tc>
                <w:tcPr>
                  <w:tcW w:w="323" w:type="pct"/>
                  <w:noWrap w:val="0"/>
                  <w:vAlign w:val="center"/>
                </w:tcPr>
                <w:p w14:paraId="3B7222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采样</w:t>
                  </w:r>
                </w:p>
                <w:p w14:paraId="18BC99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层次</w:t>
                  </w:r>
                </w:p>
              </w:tc>
              <w:tc>
                <w:tcPr>
                  <w:tcW w:w="324" w:type="pct"/>
                  <w:noWrap w:val="0"/>
                  <w:vAlign w:val="center"/>
                </w:tcPr>
                <w:p w14:paraId="3E9B9D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水温</w:t>
                  </w:r>
                </w:p>
              </w:tc>
              <w:tc>
                <w:tcPr>
                  <w:tcW w:w="323" w:type="pct"/>
                  <w:vMerge w:val="restart"/>
                  <w:noWrap w:val="0"/>
                  <w:vAlign w:val="center"/>
                </w:tcPr>
                <w:p w14:paraId="1F02B2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pH</w:t>
                  </w:r>
                </w:p>
              </w:tc>
              <w:tc>
                <w:tcPr>
                  <w:tcW w:w="384" w:type="pct"/>
                  <w:vMerge w:val="restart"/>
                  <w:noWrap w:val="0"/>
                  <w:vAlign w:val="center"/>
                </w:tcPr>
                <w:p w14:paraId="15B977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盐度</w:t>
                  </w:r>
                </w:p>
              </w:tc>
              <w:tc>
                <w:tcPr>
                  <w:tcW w:w="359" w:type="pct"/>
                  <w:noWrap w:val="0"/>
                  <w:vAlign w:val="center"/>
                </w:tcPr>
                <w:p w14:paraId="683DBC1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悬浮物</w:t>
                  </w:r>
                </w:p>
              </w:tc>
              <w:tc>
                <w:tcPr>
                  <w:tcW w:w="359" w:type="pct"/>
                  <w:noWrap w:val="0"/>
                  <w:vAlign w:val="center"/>
                </w:tcPr>
                <w:p w14:paraId="20C0F2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溶解氧</w:t>
                  </w:r>
                </w:p>
              </w:tc>
              <w:tc>
                <w:tcPr>
                  <w:tcW w:w="359" w:type="pct"/>
                  <w:noWrap w:val="0"/>
                  <w:vAlign w:val="center"/>
                </w:tcPr>
                <w:p w14:paraId="2475B7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COD</w:t>
                  </w:r>
                </w:p>
              </w:tc>
              <w:tc>
                <w:tcPr>
                  <w:tcW w:w="342" w:type="pct"/>
                  <w:noWrap w:val="0"/>
                  <w:vAlign w:val="center"/>
                </w:tcPr>
                <w:p w14:paraId="671BDB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油类</w:t>
                  </w:r>
                </w:p>
              </w:tc>
              <w:tc>
                <w:tcPr>
                  <w:tcW w:w="384" w:type="pct"/>
                  <w:noWrap w:val="0"/>
                  <w:vAlign w:val="center"/>
                </w:tcPr>
                <w:p w14:paraId="3B1517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活性磷酸盐</w:t>
                  </w:r>
                </w:p>
              </w:tc>
              <w:tc>
                <w:tcPr>
                  <w:tcW w:w="384" w:type="pct"/>
                  <w:noWrap w:val="0"/>
                  <w:vAlign w:val="center"/>
                </w:tcPr>
                <w:p w14:paraId="28D102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亚硝酸盐</w:t>
                  </w:r>
                </w:p>
              </w:tc>
              <w:tc>
                <w:tcPr>
                  <w:tcW w:w="384" w:type="pct"/>
                  <w:noWrap w:val="0"/>
                  <w:vAlign w:val="center"/>
                </w:tcPr>
                <w:p w14:paraId="1AED1D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硝酸盐</w:t>
                  </w:r>
                </w:p>
              </w:tc>
              <w:tc>
                <w:tcPr>
                  <w:tcW w:w="384" w:type="pct"/>
                  <w:noWrap w:val="0"/>
                  <w:vAlign w:val="center"/>
                </w:tcPr>
                <w:p w14:paraId="5D4240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
                      <w:bCs/>
                      <w:color w:val="auto"/>
                      <w:kern w:val="0"/>
                      <w:sz w:val="18"/>
                      <w:szCs w:val="18"/>
                      <w:highlight w:val="none"/>
                      <w:lang w:eastAsia="zh-CN"/>
                    </w:rPr>
                  </w:pPr>
                  <w:r>
                    <w:rPr>
                      <w:rFonts w:hint="eastAsia" w:ascii="Times New Roman" w:hAnsi="Times New Roman" w:eastAsia="宋体" w:cs="Times New Roman"/>
                      <w:b/>
                      <w:bCs/>
                      <w:color w:val="auto"/>
                      <w:kern w:val="0"/>
                      <w:sz w:val="18"/>
                      <w:szCs w:val="18"/>
                      <w:highlight w:val="none"/>
                      <w:lang w:val="en-US" w:eastAsia="zh-CN"/>
                    </w:rPr>
                    <w:t>氨（铵盐）</w:t>
                  </w:r>
                </w:p>
              </w:tc>
              <w:tc>
                <w:tcPr>
                  <w:tcW w:w="360" w:type="pct"/>
                  <w:noWrap w:val="0"/>
                  <w:vAlign w:val="center"/>
                </w:tcPr>
                <w:p w14:paraId="6201D0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硅酸盐</w:t>
                  </w:r>
                </w:p>
              </w:tc>
            </w:tr>
            <w:tr w14:paraId="7346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blHeader/>
                <w:jc w:val="center"/>
              </w:trPr>
              <w:tc>
                <w:tcPr>
                  <w:tcW w:w="324" w:type="pct"/>
                  <w:vMerge w:val="continue"/>
                  <w:noWrap w:val="0"/>
                  <w:vAlign w:val="center"/>
                </w:tcPr>
                <w:p w14:paraId="5EEEFB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p>
              </w:tc>
              <w:tc>
                <w:tcPr>
                  <w:tcW w:w="323" w:type="pct"/>
                  <w:noWrap w:val="0"/>
                  <w:vAlign w:val="center"/>
                </w:tcPr>
                <w:p w14:paraId="15ADD6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m</w:t>
                  </w:r>
                </w:p>
              </w:tc>
              <w:tc>
                <w:tcPr>
                  <w:tcW w:w="324" w:type="pct"/>
                  <w:noWrap w:val="0"/>
                  <w:vAlign w:val="center"/>
                </w:tcPr>
                <w:p w14:paraId="435063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w:t>
                  </w:r>
                </w:p>
              </w:tc>
              <w:tc>
                <w:tcPr>
                  <w:tcW w:w="323" w:type="pct"/>
                  <w:vMerge w:val="continue"/>
                  <w:noWrap w:val="0"/>
                  <w:vAlign w:val="center"/>
                </w:tcPr>
                <w:p w14:paraId="44F49E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p>
              </w:tc>
              <w:tc>
                <w:tcPr>
                  <w:tcW w:w="384" w:type="pct"/>
                  <w:vMerge w:val="continue"/>
                  <w:noWrap w:val="0"/>
                  <w:vAlign w:val="center"/>
                </w:tcPr>
                <w:p w14:paraId="36DBA6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p>
              </w:tc>
              <w:tc>
                <w:tcPr>
                  <w:tcW w:w="359" w:type="pct"/>
                  <w:noWrap w:val="0"/>
                  <w:vAlign w:val="center"/>
                </w:tcPr>
                <w:p w14:paraId="2599F4C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mg/L</w:t>
                  </w:r>
                </w:p>
              </w:tc>
              <w:tc>
                <w:tcPr>
                  <w:tcW w:w="359" w:type="pct"/>
                  <w:noWrap w:val="0"/>
                  <w:vAlign w:val="center"/>
                </w:tcPr>
                <w:p w14:paraId="25C285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mg/L</w:t>
                  </w:r>
                </w:p>
              </w:tc>
              <w:tc>
                <w:tcPr>
                  <w:tcW w:w="359" w:type="pct"/>
                  <w:noWrap w:val="0"/>
                  <w:vAlign w:val="center"/>
                </w:tcPr>
                <w:p w14:paraId="56EBA9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mg/L</w:t>
                  </w:r>
                </w:p>
              </w:tc>
              <w:tc>
                <w:tcPr>
                  <w:tcW w:w="342" w:type="pct"/>
                  <w:noWrap w:val="0"/>
                  <w:vAlign w:val="center"/>
                </w:tcPr>
                <w:p w14:paraId="7C4CD6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µg/L</w:t>
                  </w:r>
                </w:p>
              </w:tc>
              <w:tc>
                <w:tcPr>
                  <w:tcW w:w="384" w:type="pct"/>
                  <w:noWrap w:val="0"/>
                  <w:vAlign w:val="center"/>
                </w:tcPr>
                <w:p w14:paraId="62795B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µg/L</w:t>
                  </w:r>
                </w:p>
              </w:tc>
              <w:tc>
                <w:tcPr>
                  <w:tcW w:w="384" w:type="pct"/>
                  <w:noWrap w:val="0"/>
                  <w:vAlign w:val="center"/>
                </w:tcPr>
                <w:p w14:paraId="1BF0DE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mg/L</w:t>
                  </w:r>
                </w:p>
              </w:tc>
              <w:tc>
                <w:tcPr>
                  <w:tcW w:w="384" w:type="pct"/>
                  <w:noWrap w:val="0"/>
                  <w:vAlign w:val="center"/>
                </w:tcPr>
                <w:p w14:paraId="50EFD2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mg/L</w:t>
                  </w:r>
                </w:p>
              </w:tc>
              <w:tc>
                <w:tcPr>
                  <w:tcW w:w="384" w:type="pct"/>
                  <w:noWrap w:val="0"/>
                  <w:vAlign w:val="center"/>
                </w:tcPr>
                <w:p w14:paraId="5B1770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mg/L</w:t>
                  </w:r>
                </w:p>
              </w:tc>
              <w:tc>
                <w:tcPr>
                  <w:tcW w:w="360" w:type="pct"/>
                  <w:noWrap w:val="0"/>
                  <w:vAlign w:val="center"/>
                </w:tcPr>
                <w:p w14:paraId="5B880F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mg/L</w:t>
                  </w:r>
                </w:p>
              </w:tc>
            </w:tr>
            <w:tr w14:paraId="4C58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53E2656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51B4E5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4AAA29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5078FF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D6BE5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7CFE1D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212ECE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427A22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14FA5A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649FB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A6FFD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EBBA7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485B6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37186F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5010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6D423B6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2EB623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3DDF9C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068ED3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068C6D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1D24CF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360428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7739D3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79D2A7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C3541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BDFBF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0B5FCB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115389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5DD62C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2B0D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40D7172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6775CB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7F4E36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06BFA5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3B6FDD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728EDE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4678EE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4264BE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13995A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4FCAB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F7273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042C9B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7BCC1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71C6AD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2D1B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100E596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71224D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53DDD9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5E437E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18C7C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6B3F64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174117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70ADF4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14F161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235B7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D53EB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A8962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527EB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59699D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2CC6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0952081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3C4326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6BC09C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77C5C1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382335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78091C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18D7A0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371211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1310B3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50B3E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302D64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82046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85ED9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624C4F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04D0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08F9B60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294BFC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7CBA0F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48F640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10F673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450F70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1CFC5D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5AA72A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24ABA2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B4E4C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71E33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274DC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1357A0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3D55F6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34E5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2F71C7E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26B29C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7F815D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66275B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139374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55C828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7339F3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31C209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7AAB25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87927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15026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34151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1FE48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442761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50F5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4D487DB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40224A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370084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35A787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0143D1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0932EF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142447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393B26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3AB05A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88CDD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E6D10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054A04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390248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0E8929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209D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7CBA150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60F31D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03ABF8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25AC53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F0997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153CA2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70B351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386C16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657233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3FDDDA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81832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379CB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7CEB3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7B63E1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124D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5FD69D9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2791DF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7C8B64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65B405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9EB35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7968C2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7C8D3B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488859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75F976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BFFFF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BDA1A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3D9076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0B31CC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0BF2E9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0574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7982BD7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7E4EE5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3BFD16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7A9522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1F2E07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5DCDF6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2F8F90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64DDB5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2A7579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3BC52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DED9E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160FD0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9DEDB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53B63D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6C51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38CFD34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5EB96E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5EEB06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100516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865E2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287669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25AAE8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3AAF6F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0E7615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5DE3C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48C0A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1C18CC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379713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0AA877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20BA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2A9B511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71DDF0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790695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434B6F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00AF13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05687E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62E11C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474011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2CB6E6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91351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2180B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3E6CE6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B6F3A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07ED6F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7F81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3226657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09E263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4E8199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10F194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080167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795CD5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46351F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396C42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74D2E6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0411A9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A9872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25419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9BD48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6EDAC9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0126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661E127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7B12E6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714BB1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7BFAE0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762F1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6EFC0E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071C38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3105C8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3AA839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2E285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FCB6F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25C6D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A1833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6AD653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1B30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0515D83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626628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6699E9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1026C1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32551E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3DB762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340428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4B3AB9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461E4C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13F79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76870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E411A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0B9DF4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5F8C92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74BD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7C62A67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14730E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5E96D9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669229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AA955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1038D9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3490E0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692B6E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7E5EDA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93D14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23C03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3323F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C6A8E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1407B7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7D63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685B234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4D9065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668CA5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36C954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C9596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059142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1343FC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4552DF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3A1593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CCBF0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14A962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6F6ED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5923B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47BD09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77C0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7AD36A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1C62D9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08BA76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1E596C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3E7332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6A613A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3B0BA1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2E0AA1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2BAC37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71F2D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A3A86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06EA60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51AEB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284423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4ABF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08B9994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40909A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6313DF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5A8410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0AA3B9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0632E0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062A44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560543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020A1D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2DE7D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8D5CC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377517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F3C51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263909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2967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0953A15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3CE3E3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67FACB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488241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E2B12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5B2B47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04E2AA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61B85E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3BF7A7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1AF1E0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9A1DB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13894E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29BB1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3D3F49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1651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4629BC7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15AFFE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6FA22C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47DD32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82F57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3992A3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523B6A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2522AC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6B6889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154F74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2791E0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5401C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6651FB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0C99DF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r w14:paraId="7FB5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 w:type="pct"/>
                  <w:noWrap w:val="0"/>
                  <w:vAlign w:val="center"/>
                </w:tcPr>
                <w:p w14:paraId="56A5C97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bottom"/>
                </w:tcPr>
                <w:p w14:paraId="34271D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4" w:type="pct"/>
                  <w:noWrap w:val="0"/>
                  <w:vAlign w:val="center"/>
                </w:tcPr>
                <w:p w14:paraId="282B68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5F8814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029881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1F4D51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161223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59" w:type="pct"/>
                  <w:noWrap w:val="0"/>
                  <w:vAlign w:val="center"/>
                </w:tcPr>
                <w:p w14:paraId="7BCF2D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42" w:type="pct"/>
                  <w:noWrap w:val="0"/>
                  <w:vAlign w:val="center"/>
                </w:tcPr>
                <w:p w14:paraId="4414E3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7D2B02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C3895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57325A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84" w:type="pct"/>
                  <w:noWrap w:val="0"/>
                  <w:vAlign w:val="center"/>
                </w:tcPr>
                <w:p w14:paraId="47DA5A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c>
                <w:tcPr>
                  <w:tcW w:w="360" w:type="pct"/>
                  <w:noWrap w:val="0"/>
                  <w:vAlign w:val="center"/>
                </w:tcPr>
                <w:p w14:paraId="716B8C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24"/>
                      <w:highlight w:val="none"/>
                      <w:lang w:val="en-US" w:eastAsia="zh-CN"/>
                    </w:rPr>
                    <w:t>***</w:t>
                  </w:r>
                </w:p>
              </w:tc>
            </w:tr>
          </w:tbl>
          <w:p w14:paraId="517FD3F9">
            <w:pPr>
              <w:keepNext w:val="0"/>
              <w:keepLines w:val="0"/>
              <w:pageBreakBefore w:val="0"/>
              <w:widowControl w:val="0"/>
              <w:kinsoku/>
              <w:wordWrap/>
              <w:overflowPunct/>
              <w:topLinePunct w:val="0"/>
              <w:autoSpaceDE/>
              <w:autoSpaceDN/>
              <w:bidi w:val="0"/>
              <w:adjustRightInd/>
              <w:snapToGrid/>
              <w:spacing w:line="300" w:lineRule="exact"/>
              <w:ind w:firstLine="361" w:firstLineChars="200"/>
              <w:textAlignment w:val="auto"/>
              <w:rPr>
                <w:rFonts w:ascii="Times New Roman" w:hAnsi="Times New Roman" w:eastAsia="宋体" w:cs="Times New Roman"/>
                <w:bCs/>
                <w:color w:val="auto"/>
                <w:spacing w:val="10"/>
                <w:sz w:val="18"/>
                <w:szCs w:val="18"/>
                <w:highlight w:val="none"/>
              </w:rPr>
            </w:pPr>
            <w:r>
              <w:rPr>
                <w:rFonts w:ascii="Times New Roman" w:hAnsi="Times New Roman" w:eastAsia="宋体" w:cs="Times New Roman"/>
                <w:b/>
                <w:color w:val="auto"/>
                <w:sz w:val="18"/>
                <w:szCs w:val="18"/>
                <w:highlight w:val="none"/>
              </w:rPr>
              <w:t>注：</w:t>
            </w:r>
            <w:r>
              <w:rPr>
                <w:rFonts w:ascii="Times New Roman" w:hAnsi="Times New Roman" w:eastAsia="宋体" w:cs="Times New Roman"/>
                <w:color w:val="auto"/>
                <w:sz w:val="18"/>
                <w:szCs w:val="18"/>
                <w:highlight w:val="none"/>
              </w:rPr>
              <w:t>1、</w:t>
            </w:r>
            <w:r>
              <w:rPr>
                <w:rFonts w:ascii="Times New Roman" w:hAnsi="Times New Roman" w:eastAsia="宋体" w:cs="Times New Roman"/>
                <w:bCs/>
                <w:color w:val="auto"/>
                <w:spacing w:val="10"/>
                <w:sz w:val="18"/>
                <w:szCs w:val="18"/>
                <w:highlight w:val="none"/>
              </w:rPr>
              <w:t>带*的监测站位表示该站水质采集原始双平行样，结果取其均值参加统计计算；</w:t>
            </w:r>
          </w:p>
          <w:p w14:paraId="647712E3">
            <w:pPr>
              <w:keepNext w:val="0"/>
              <w:keepLines w:val="0"/>
              <w:pageBreakBefore w:val="0"/>
              <w:widowControl w:val="0"/>
              <w:kinsoku/>
              <w:wordWrap/>
              <w:overflowPunct/>
              <w:topLinePunct w:val="0"/>
              <w:autoSpaceDE/>
              <w:autoSpaceDN/>
              <w:bidi w:val="0"/>
              <w:adjustRightInd/>
              <w:snapToGrid/>
              <w:spacing w:line="300" w:lineRule="exact"/>
              <w:ind w:firstLine="360" w:firstLineChars="200"/>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2、表中“</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”表示该站位该检测项目低于检出限；</w:t>
            </w:r>
          </w:p>
          <w:p w14:paraId="59F271C0">
            <w:pPr>
              <w:keepNext w:val="0"/>
              <w:keepLines w:val="0"/>
              <w:pageBreakBefore w:val="0"/>
              <w:widowControl w:val="0"/>
              <w:kinsoku/>
              <w:wordWrap/>
              <w:overflowPunct/>
              <w:topLinePunct w:val="0"/>
              <w:autoSpaceDE/>
              <w:autoSpaceDN/>
              <w:bidi w:val="0"/>
              <w:adjustRightInd/>
              <w:snapToGrid/>
              <w:spacing w:line="300" w:lineRule="exact"/>
              <w:ind w:firstLine="360" w:firstLineChars="200"/>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3、表中“/”表示该项不需采集，无数据；</w:t>
            </w:r>
          </w:p>
          <w:p w14:paraId="7081C530">
            <w:pPr>
              <w:keepNext w:val="0"/>
              <w:keepLines w:val="0"/>
              <w:pageBreakBefore w:val="0"/>
              <w:widowControl w:val="0"/>
              <w:kinsoku/>
              <w:wordWrap/>
              <w:overflowPunct/>
              <w:topLinePunct w:val="0"/>
              <w:autoSpaceDE/>
              <w:autoSpaceDN/>
              <w:bidi w:val="0"/>
              <w:adjustRightInd/>
              <w:snapToGrid/>
              <w:spacing w:line="300" w:lineRule="exact"/>
              <w:ind w:firstLine="360" w:firstLineChars="200"/>
              <w:textAlignment w:val="auto"/>
              <w:rPr>
                <w:rFonts w:ascii="Times New Roman" w:hAnsi="Times New Roman" w:eastAsia="宋体" w:cs="Times New Roman"/>
                <w:color w:val="auto"/>
                <w:szCs w:val="24"/>
                <w:highlight w:val="none"/>
              </w:rPr>
            </w:pPr>
            <w:r>
              <w:rPr>
                <w:rFonts w:ascii="Times New Roman" w:hAnsi="Times New Roman" w:eastAsia="宋体" w:cs="Times New Roman"/>
                <w:color w:val="auto"/>
                <w:sz w:val="18"/>
                <w:szCs w:val="18"/>
                <w:highlight w:val="none"/>
              </w:rPr>
              <w:t>4、低于检出限的，未检出部</w:t>
            </w:r>
            <w:r>
              <w:rPr>
                <w:rFonts w:hint="eastAsia" w:ascii="Times New Roman" w:hAnsi="Times New Roman" w:eastAsia="宋体" w:cs="Times New Roman"/>
                <w:color w:val="auto"/>
                <w:sz w:val="18"/>
                <w:szCs w:val="18"/>
                <w:highlight w:val="none"/>
                <w:lang w:val="en-US" w:eastAsia="zh-CN"/>
              </w:rPr>
              <w:t>分</w:t>
            </w:r>
            <w:r>
              <w:rPr>
                <w:rFonts w:ascii="Times New Roman" w:hAnsi="Times New Roman" w:eastAsia="宋体" w:cs="Times New Roman"/>
                <w:color w:val="auto"/>
                <w:sz w:val="18"/>
                <w:szCs w:val="18"/>
                <w:highlight w:val="none"/>
              </w:rPr>
              <w:t>取检出限的1/2参加统计计算。</w:t>
            </w:r>
          </w:p>
          <w:p w14:paraId="292F1E2A">
            <w:pPr>
              <w:keepNext/>
              <w:keepLines/>
              <w:widowControl w:val="0"/>
              <w:numPr>
                <w:ilvl w:val="0"/>
                <w:numId w:val="0"/>
              </w:numPr>
              <w:tabs>
                <w:tab w:val="left" w:pos="0"/>
              </w:tabs>
              <w:bidi w:val="0"/>
              <w:adjustRightInd w:val="0"/>
              <w:snapToGrid w:val="0"/>
              <w:spacing w:line="240" w:lineRule="auto"/>
              <w:ind w:leftChars="0" w:firstLine="211" w:firstLineChars="100"/>
              <w:jc w:val="center"/>
              <w:outlineLvl w:val="4"/>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kern w:val="2"/>
                <w:sz w:val="21"/>
                <w:szCs w:val="21"/>
                <w:highlight w:val="none"/>
                <w:lang w:val="en-US" w:eastAsia="zh-CN" w:bidi="ar-SA"/>
              </w:rPr>
              <w:t xml:space="preserve">表3.1-9 </w:t>
            </w:r>
            <w:r>
              <w:rPr>
                <w:rFonts w:hint="eastAsia" w:ascii="Times New Roman" w:hAnsi="Times New Roman" w:eastAsia="宋体" w:cs="Times New Roman"/>
                <w:b/>
                <w:bCs/>
                <w:color w:val="auto"/>
                <w:sz w:val="21"/>
                <w:szCs w:val="21"/>
                <w:highlight w:val="none"/>
                <w:lang w:val="en-US" w:eastAsia="zh-CN"/>
              </w:rPr>
              <w:t xml:space="preserve"> 2024年秋季项目</w:t>
            </w:r>
            <w:r>
              <w:rPr>
                <w:rFonts w:hint="eastAsia" w:ascii="Times New Roman" w:hAnsi="Times New Roman" w:eastAsia="宋体" w:cs="Times New Roman"/>
                <w:b/>
                <w:bCs/>
                <w:color w:val="auto"/>
                <w:sz w:val="21"/>
                <w:szCs w:val="21"/>
                <w:highlight w:val="none"/>
                <w:lang w:eastAsia="zh-CN"/>
              </w:rPr>
              <w:t>海水</w:t>
            </w:r>
            <w:r>
              <w:rPr>
                <w:rFonts w:hint="eastAsia" w:ascii="Times New Roman" w:hAnsi="Times New Roman" w:eastAsia="宋体" w:cs="Times New Roman"/>
                <w:b/>
                <w:bCs/>
                <w:color w:val="auto"/>
                <w:sz w:val="21"/>
                <w:szCs w:val="21"/>
                <w:highlight w:val="none"/>
              </w:rPr>
              <w:t>水质</w:t>
            </w:r>
            <w:r>
              <w:rPr>
                <w:rFonts w:hint="eastAsia" w:ascii="Times New Roman" w:hAnsi="Times New Roman" w:eastAsia="宋体" w:cs="Times New Roman"/>
                <w:b/>
                <w:bCs/>
                <w:color w:val="auto"/>
                <w:sz w:val="21"/>
                <w:szCs w:val="21"/>
                <w:highlight w:val="none"/>
                <w:lang w:val="en-US" w:eastAsia="zh-CN"/>
              </w:rPr>
              <w:t>监测</w:t>
            </w:r>
            <w:r>
              <w:rPr>
                <w:rFonts w:hint="eastAsia" w:ascii="Times New Roman" w:hAnsi="Times New Roman" w:eastAsia="宋体" w:cs="Times New Roman"/>
                <w:b/>
                <w:bCs/>
                <w:color w:val="auto"/>
                <w:sz w:val="21"/>
                <w:szCs w:val="21"/>
                <w:highlight w:val="none"/>
              </w:rPr>
              <w:t>结果</w:t>
            </w:r>
            <w:r>
              <w:rPr>
                <w:rFonts w:hint="eastAsia" w:ascii="Times New Roman" w:hAnsi="Times New Roman" w:eastAsia="宋体" w:cs="Times New Roman"/>
                <w:b/>
                <w:bCs/>
                <w:color w:val="auto"/>
                <w:sz w:val="21"/>
                <w:szCs w:val="21"/>
                <w:highlight w:val="none"/>
                <w:lang w:val="en-US" w:eastAsia="zh-CN"/>
              </w:rPr>
              <w:t>一览表（2）</w:t>
            </w:r>
          </w:p>
          <w:tbl>
            <w:tblPr>
              <w:tblStyle w:val="4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091"/>
              <w:gridCol w:w="1046"/>
              <w:gridCol w:w="1342"/>
              <w:gridCol w:w="1342"/>
              <w:gridCol w:w="1342"/>
              <w:gridCol w:w="1342"/>
              <w:gridCol w:w="1342"/>
              <w:gridCol w:w="1342"/>
              <w:gridCol w:w="1189"/>
              <w:gridCol w:w="1160"/>
            </w:tblGrid>
            <w:tr w14:paraId="38A5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blHeader/>
                <w:jc w:val="center"/>
              </w:trPr>
              <w:tc>
                <w:tcPr>
                  <w:tcW w:w="435" w:type="pct"/>
                  <w:vMerge w:val="restart"/>
                  <w:noWrap w:val="0"/>
                  <w:vAlign w:val="center"/>
                </w:tcPr>
                <w:p w14:paraId="3C035A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监测站位</w:t>
                  </w:r>
                </w:p>
              </w:tc>
              <w:tc>
                <w:tcPr>
                  <w:tcW w:w="417" w:type="pct"/>
                  <w:noWrap w:val="0"/>
                  <w:vAlign w:val="center"/>
                </w:tcPr>
                <w:p w14:paraId="768A4B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采样层次</w:t>
                  </w:r>
                </w:p>
              </w:tc>
              <w:tc>
                <w:tcPr>
                  <w:tcW w:w="535" w:type="pct"/>
                  <w:noWrap w:val="0"/>
                  <w:vAlign w:val="center"/>
                </w:tcPr>
                <w:p w14:paraId="3D7FDE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汞</w:t>
                  </w:r>
                </w:p>
              </w:tc>
              <w:tc>
                <w:tcPr>
                  <w:tcW w:w="535" w:type="pct"/>
                  <w:noWrap w:val="0"/>
                  <w:vAlign w:val="center"/>
                </w:tcPr>
                <w:p w14:paraId="40548C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砷</w:t>
                  </w:r>
                </w:p>
              </w:tc>
              <w:tc>
                <w:tcPr>
                  <w:tcW w:w="535" w:type="pct"/>
                  <w:noWrap w:val="0"/>
                  <w:vAlign w:val="center"/>
                </w:tcPr>
                <w:p w14:paraId="52AA33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铜</w:t>
                  </w:r>
                </w:p>
              </w:tc>
              <w:tc>
                <w:tcPr>
                  <w:tcW w:w="535" w:type="pct"/>
                  <w:noWrap w:val="0"/>
                  <w:vAlign w:val="center"/>
                </w:tcPr>
                <w:p w14:paraId="44A6C4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铅</w:t>
                  </w:r>
                </w:p>
              </w:tc>
              <w:tc>
                <w:tcPr>
                  <w:tcW w:w="535" w:type="pct"/>
                  <w:noWrap w:val="0"/>
                  <w:vAlign w:val="center"/>
                </w:tcPr>
                <w:p w14:paraId="4E6644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锌</w:t>
                  </w:r>
                </w:p>
              </w:tc>
              <w:tc>
                <w:tcPr>
                  <w:tcW w:w="535" w:type="pct"/>
                  <w:noWrap w:val="0"/>
                  <w:vAlign w:val="center"/>
                </w:tcPr>
                <w:p w14:paraId="27D98D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镉</w:t>
                  </w:r>
                </w:p>
              </w:tc>
              <w:tc>
                <w:tcPr>
                  <w:tcW w:w="474" w:type="pct"/>
                  <w:noWrap w:val="0"/>
                  <w:vAlign w:val="center"/>
                </w:tcPr>
                <w:p w14:paraId="2153AB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总铬</w:t>
                  </w:r>
                </w:p>
              </w:tc>
              <w:tc>
                <w:tcPr>
                  <w:tcW w:w="462" w:type="pct"/>
                  <w:noWrap w:val="0"/>
                  <w:vAlign w:val="center"/>
                </w:tcPr>
                <w:p w14:paraId="4247A2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TOC</w:t>
                  </w:r>
                </w:p>
              </w:tc>
            </w:tr>
            <w:tr w14:paraId="6BF2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blHeader/>
                <w:jc w:val="center"/>
              </w:trPr>
              <w:tc>
                <w:tcPr>
                  <w:tcW w:w="435" w:type="pct"/>
                  <w:vMerge w:val="continue"/>
                  <w:noWrap w:val="0"/>
                  <w:vAlign w:val="center"/>
                </w:tcPr>
                <w:p w14:paraId="0BEAF9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b/>
                      <w:bCs/>
                      <w:color w:val="auto"/>
                      <w:sz w:val="21"/>
                      <w:szCs w:val="21"/>
                      <w:highlight w:val="none"/>
                    </w:rPr>
                  </w:pPr>
                </w:p>
              </w:tc>
              <w:tc>
                <w:tcPr>
                  <w:tcW w:w="417" w:type="pct"/>
                  <w:noWrap w:val="0"/>
                  <w:vAlign w:val="center"/>
                </w:tcPr>
                <w:p w14:paraId="2FF688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m</w:t>
                  </w:r>
                </w:p>
              </w:tc>
              <w:tc>
                <w:tcPr>
                  <w:tcW w:w="535" w:type="pct"/>
                  <w:noWrap w:val="0"/>
                  <w:vAlign w:val="center"/>
                </w:tcPr>
                <w:p w14:paraId="562AB4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µg/L</w:t>
                  </w:r>
                </w:p>
              </w:tc>
              <w:tc>
                <w:tcPr>
                  <w:tcW w:w="535" w:type="pct"/>
                  <w:noWrap w:val="0"/>
                  <w:vAlign w:val="center"/>
                </w:tcPr>
                <w:p w14:paraId="74D457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µg/L</w:t>
                  </w:r>
                </w:p>
              </w:tc>
              <w:tc>
                <w:tcPr>
                  <w:tcW w:w="535" w:type="pct"/>
                  <w:noWrap w:val="0"/>
                  <w:vAlign w:val="center"/>
                </w:tcPr>
                <w:p w14:paraId="44DCDF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µg/L</w:t>
                  </w:r>
                </w:p>
              </w:tc>
              <w:tc>
                <w:tcPr>
                  <w:tcW w:w="535" w:type="pct"/>
                  <w:noWrap w:val="0"/>
                  <w:vAlign w:val="center"/>
                </w:tcPr>
                <w:p w14:paraId="5A2DE9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µg/L</w:t>
                  </w:r>
                </w:p>
              </w:tc>
              <w:tc>
                <w:tcPr>
                  <w:tcW w:w="535" w:type="pct"/>
                  <w:noWrap w:val="0"/>
                  <w:vAlign w:val="center"/>
                </w:tcPr>
                <w:p w14:paraId="435634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µg/L</w:t>
                  </w:r>
                </w:p>
              </w:tc>
              <w:tc>
                <w:tcPr>
                  <w:tcW w:w="535" w:type="pct"/>
                  <w:noWrap w:val="0"/>
                  <w:vAlign w:val="center"/>
                </w:tcPr>
                <w:p w14:paraId="4907DB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µg/L</w:t>
                  </w:r>
                </w:p>
              </w:tc>
              <w:tc>
                <w:tcPr>
                  <w:tcW w:w="474" w:type="pct"/>
                  <w:noWrap w:val="0"/>
                  <w:vAlign w:val="center"/>
                </w:tcPr>
                <w:p w14:paraId="147BFE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µg/L</w:t>
                  </w:r>
                </w:p>
              </w:tc>
              <w:tc>
                <w:tcPr>
                  <w:tcW w:w="462" w:type="pct"/>
                  <w:noWrap w:val="0"/>
                  <w:vAlign w:val="center"/>
                </w:tcPr>
                <w:p w14:paraId="350C8B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lang w:bidi="ar"/>
                    </w:rPr>
                    <w:t>mg/L</w:t>
                  </w:r>
                </w:p>
              </w:tc>
            </w:tr>
            <w:tr w14:paraId="3889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3C49087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6</w:t>
                  </w:r>
                </w:p>
              </w:tc>
              <w:tc>
                <w:tcPr>
                  <w:tcW w:w="417" w:type="pct"/>
                  <w:noWrap w:val="0"/>
                  <w:vAlign w:val="center"/>
                </w:tcPr>
                <w:p w14:paraId="579053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A124E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72DA46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A2394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04410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DAE43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13589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2C4A05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17BB27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2816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435" w:type="pct"/>
                  <w:noWrap w:val="0"/>
                  <w:vAlign w:val="center"/>
                </w:tcPr>
                <w:p w14:paraId="70D244A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9</w:t>
                  </w:r>
                </w:p>
              </w:tc>
              <w:tc>
                <w:tcPr>
                  <w:tcW w:w="417" w:type="pct"/>
                  <w:noWrap w:val="0"/>
                  <w:vAlign w:val="center"/>
                </w:tcPr>
                <w:p w14:paraId="188B52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333B0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87FFC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076F0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3BB778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44381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138ED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0154D1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5DEFBC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5B7B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494E3C8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11</w:t>
                  </w:r>
                </w:p>
              </w:tc>
              <w:tc>
                <w:tcPr>
                  <w:tcW w:w="417" w:type="pct"/>
                  <w:noWrap w:val="0"/>
                  <w:vAlign w:val="center"/>
                </w:tcPr>
                <w:p w14:paraId="6AD6C25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EBB92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37965A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F5499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D5287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B79FE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26679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68C2DC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589584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36E5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35" w:type="pct"/>
                  <w:noWrap w:val="0"/>
                  <w:vAlign w:val="center"/>
                </w:tcPr>
                <w:p w14:paraId="082E0FB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14</w:t>
                  </w:r>
                </w:p>
              </w:tc>
              <w:tc>
                <w:tcPr>
                  <w:tcW w:w="417" w:type="pct"/>
                  <w:noWrap w:val="0"/>
                  <w:vAlign w:val="center"/>
                </w:tcPr>
                <w:p w14:paraId="2C1D4BE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2D27D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9009A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818C0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23663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EBBA1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43BC2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0B5FAC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6A3528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31EF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144D5F9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16</w:t>
                  </w:r>
                </w:p>
              </w:tc>
              <w:tc>
                <w:tcPr>
                  <w:tcW w:w="417" w:type="pct"/>
                  <w:noWrap w:val="0"/>
                  <w:vAlign w:val="center"/>
                </w:tcPr>
                <w:p w14:paraId="2EFF1DE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7FC952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CF46F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DCB35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B158C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30578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72D735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277855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4A1679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22FB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5BD7AEE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16</w:t>
                  </w:r>
                </w:p>
              </w:tc>
              <w:tc>
                <w:tcPr>
                  <w:tcW w:w="417" w:type="pct"/>
                  <w:noWrap w:val="0"/>
                  <w:vAlign w:val="center"/>
                </w:tcPr>
                <w:p w14:paraId="58CEC2B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CBF73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70100F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4FBC8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837F2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8157B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CCF93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2192A9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32978D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2283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35" w:type="pct"/>
                  <w:noWrap w:val="0"/>
                  <w:vAlign w:val="center"/>
                </w:tcPr>
                <w:p w14:paraId="02A701B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21</w:t>
                  </w:r>
                </w:p>
              </w:tc>
              <w:tc>
                <w:tcPr>
                  <w:tcW w:w="417" w:type="pct"/>
                  <w:noWrap w:val="0"/>
                  <w:vAlign w:val="center"/>
                </w:tcPr>
                <w:p w14:paraId="270E785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DF781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8EF03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A444E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A9D32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55D61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7B524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514C05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17BCB8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7425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4BFF9D2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21</w:t>
                  </w:r>
                </w:p>
              </w:tc>
              <w:tc>
                <w:tcPr>
                  <w:tcW w:w="417" w:type="pct"/>
                  <w:noWrap w:val="0"/>
                  <w:vAlign w:val="center"/>
                </w:tcPr>
                <w:p w14:paraId="555B5BD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8B080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1719B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1CB3C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3145E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3E35A9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C8EAF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09D15E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256730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0ED7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7DD63DA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22*</w:t>
                  </w:r>
                </w:p>
              </w:tc>
              <w:tc>
                <w:tcPr>
                  <w:tcW w:w="417" w:type="pct"/>
                  <w:noWrap w:val="0"/>
                  <w:vAlign w:val="center"/>
                </w:tcPr>
                <w:p w14:paraId="58D5426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9885B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5B95E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D7E9F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EB126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FA4BE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0A7A5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4B61C1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4F6748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7453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0B36B70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23</w:t>
                  </w:r>
                </w:p>
              </w:tc>
              <w:tc>
                <w:tcPr>
                  <w:tcW w:w="417" w:type="pct"/>
                  <w:noWrap w:val="0"/>
                  <w:vAlign w:val="center"/>
                </w:tcPr>
                <w:p w14:paraId="5957EAC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904D1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6C0CC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1E9CF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3E272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6C752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7D703B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74FEB8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293DA9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6791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45F0315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24</w:t>
                  </w:r>
                </w:p>
              </w:tc>
              <w:tc>
                <w:tcPr>
                  <w:tcW w:w="417" w:type="pct"/>
                  <w:noWrap w:val="0"/>
                  <w:vAlign w:val="center"/>
                </w:tcPr>
                <w:p w14:paraId="54983AB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A5536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4B7A0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7A26F2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12D23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71BC03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26F37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4220BD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19A219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0C06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7ED3C54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26</w:t>
                  </w:r>
                </w:p>
              </w:tc>
              <w:tc>
                <w:tcPr>
                  <w:tcW w:w="417" w:type="pct"/>
                  <w:noWrap w:val="0"/>
                  <w:vAlign w:val="center"/>
                </w:tcPr>
                <w:p w14:paraId="0630B62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7FC29A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C0DF0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83D89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516C5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9DEF2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C8D8F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03F37C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0689C5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0C14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702B67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27</w:t>
                  </w:r>
                </w:p>
              </w:tc>
              <w:tc>
                <w:tcPr>
                  <w:tcW w:w="417" w:type="pct"/>
                  <w:noWrap w:val="0"/>
                  <w:vAlign w:val="center"/>
                </w:tcPr>
                <w:p w14:paraId="7C83AA2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0933C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367ED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3D1F3E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620F9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A8D23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3D9A2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393FD6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37EE2E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7B3A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770E019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28</w:t>
                  </w:r>
                </w:p>
              </w:tc>
              <w:tc>
                <w:tcPr>
                  <w:tcW w:w="417" w:type="pct"/>
                  <w:noWrap w:val="0"/>
                  <w:vAlign w:val="center"/>
                </w:tcPr>
                <w:p w14:paraId="3E50869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E8305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FB644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C5F12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366D6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C389A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F65CD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711EC8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55F517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7988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4265F4E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29</w:t>
                  </w:r>
                </w:p>
              </w:tc>
              <w:tc>
                <w:tcPr>
                  <w:tcW w:w="417" w:type="pct"/>
                  <w:noWrap w:val="0"/>
                  <w:vAlign w:val="center"/>
                </w:tcPr>
                <w:p w14:paraId="551696D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EACEA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42214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C9BDC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12FAD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7C677B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E94C7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611108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35A6F8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3585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00E1566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30</w:t>
                  </w:r>
                </w:p>
              </w:tc>
              <w:tc>
                <w:tcPr>
                  <w:tcW w:w="417" w:type="pct"/>
                  <w:noWrap w:val="0"/>
                  <w:vAlign w:val="center"/>
                </w:tcPr>
                <w:p w14:paraId="08D6DA7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27059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47282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6B18D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93B01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39DEC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3F7DEF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792CA5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69282C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7B92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65E1576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30</w:t>
                  </w:r>
                </w:p>
              </w:tc>
              <w:tc>
                <w:tcPr>
                  <w:tcW w:w="417" w:type="pct"/>
                  <w:noWrap w:val="0"/>
                  <w:vAlign w:val="center"/>
                </w:tcPr>
                <w:p w14:paraId="676A5E9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09B9F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EB436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DF2D2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D1ED7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22E5F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E2F61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7D952E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7EE598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0FC0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5356E74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31*</w:t>
                  </w:r>
                </w:p>
              </w:tc>
              <w:tc>
                <w:tcPr>
                  <w:tcW w:w="417" w:type="pct"/>
                  <w:noWrap w:val="0"/>
                  <w:vAlign w:val="center"/>
                </w:tcPr>
                <w:p w14:paraId="39FE47A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F1DD4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AC9C5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04D95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3C390A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B7260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75706D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78F76C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3AE535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2C01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0F58B6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32</w:t>
                  </w:r>
                </w:p>
              </w:tc>
              <w:tc>
                <w:tcPr>
                  <w:tcW w:w="417" w:type="pct"/>
                  <w:noWrap w:val="0"/>
                  <w:vAlign w:val="center"/>
                </w:tcPr>
                <w:p w14:paraId="46D17D3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9EE0E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7034B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3A2B9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F300F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FDB48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989C2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45C8DB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7348D1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4934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568DA5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35</w:t>
                  </w:r>
                </w:p>
              </w:tc>
              <w:tc>
                <w:tcPr>
                  <w:tcW w:w="417" w:type="pct"/>
                  <w:noWrap w:val="0"/>
                  <w:vAlign w:val="center"/>
                </w:tcPr>
                <w:p w14:paraId="0C9D173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1DD7A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EB960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999F2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1EC51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36FAAE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7ED3C1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4B610B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05CF78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4FC8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349F5EC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36</w:t>
                  </w:r>
                </w:p>
              </w:tc>
              <w:tc>
                <w:tcPr>
                  <w:tcW w:w="417" w:type="pct"/>
                  <w:noWrap w:val="0"/>
                  <w:vAlign w:val="center"/>
                </w:tcPr>
                <w:p w14:paraId="121DF8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764F05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9B8A7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3AC26D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56C02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664E1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FEC8F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293AB8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7ECEE6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6E39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46EA0D5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39</w:t>
                  </w:r>
                </w:p>
              </w:tc>
              <w:tc>
                <w:tcPr>
                  <w:tcW w:w="417" w:type="pct"/>
                  <w:noWrap w:val="0"/>
                  <w:vAlign w:val="center"/>
                </w:tcPr>
                <w:p w14:paraId="6B2ABA2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A90D2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01EDB6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12254F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363EDF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37FD46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B85F3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4BCAB3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394A2C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6E33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5" w:type="pct"/>
                  <w:noWrap w:val="0"/>
                  <w:vAlign w:val="center"/>
                </w:tcPr>
                <w:p w14:paraId="5FA90FA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40</w:t>
                  </w:r>
                </w:p>
              </w:tc>
              <w:tc>
                <w:tcPr>
                  <w:tcW w:w="417" w:type="pct"/>
                  <w:noWrap w:val="0"/>
                  <w:vAlign w:val="center"/>
                </w:tcPr>
                <w:p w14:paraId="0473601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518253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459C14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3DF631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6542C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6E97AD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509" w:type="dxa"/>
                  <w:noWrap w:val="0"/>
                  <w:vAlign w:val="center"/>
                </w:tcPr>
                <w:p w14:paraId="269374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37" w:type="dxa"/>
                  <w:noWrap w:val="0"/>
                  <w:vAlign w:val="center"/>
                </w:tcPr>
                <w:p w14:paraId="590A0E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303" w:type="dxa"/>
                  <w:noWrap w:val="0"/>
                  <w:vAlign w:val="center"/>
                </w:tcPr>
                <w:p w14:paraId="594460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bl>
          <w:p w14:paraId="2BA0E7D4">
            <w:pPr>
              <w:widowControl w:val="0"/>
              <w:autoSpaceDE w:val="0"/>
              <w:autoSpaceDN w:val="0"/>
              <w:adjustRightInd w:val="0"/>
              <w:spacing w:after="160" w:line="278" w:lineRule="auto"/>
              <w:jc w:val="center"/>
              <w:rPr>
                <w:rFonts w:hint="eastAsia" w:ascii="宋体" w:hAnsi="Courier New" w:eastAsia="宋体" w:cs="宋体"/>
                <w:color w:val="auto"/>
                <w:kern w:val="2"/>
                <w:sz w:val="18"/>
                <w:szCs w:val="18"/>
                <w:highlight w:val="none"/>
                <w:lang w:val="en-US" w:eastAsia="zh-CN" w:bidi="ar-SA"/>
              </w:rPr>
            </w:pPr>
          </w:p>
          <w:p w14:paraId="0946B9CB">
            <w:pPr>
              <w:keepNext/>
              <w:keepLines/>
              <w:widowControl w:val="0"/>
              <w:numPr>
                <w:ilvl w:val="0"/>
                <w:numId w:val="0"/>
              </w:numPr>
              <w:tabs>
                <w:tab w:val="left" w:pos="0"/>
              </w:tabs>
              <w:bidi w:val="0"/>
              <w:adjustRightInd w:val="0"/>
              <w:snapToGrid w:val="0"/>
              <w:spacing w:line="360" w:lineRule="auto"/>
              <w:ind w:leftChars="0"/>
              <w:jc w:val="center"/>
              <w:outlineLvl w:val="4"/>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表3.1-10  2024年秋季项目海水水质监测标准指数统计表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47"/>
              <w:gridCol w:w="664"/>
              <w:gridCol w:w="662"/>
              <w:gridCol w:w="662"/>
              <w:gridCol w:w="811"/>
              <w:gridCol w:w="811"/>
              <w:gridCol w:w="818"/>
              <w:gridCol w:w="811"/>
              <w:gridCol w:w="818"/>
              <w:gridCol w:w="811"/>
              <w:gridCol w:w="811"/>
              <w:gridCol w:w="811"/>
              <w:gridCol w:w="818"/>
              <w:gridCol w:w="811"/>
              <w:gridCol w:w="811"/>
              <w:gridCol w:w="969"/>
            </w:tblGrid>
            <w:tr w14:paraId="5031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tblHeader/>
                <w:jc w:val="center"/>
              </w:trPr>
              <w:tc>
                <w:tcPr>
                  <w:tcW w:w="258" w:type="pct"/>
                  <w:vMerge w:val="restart"/>
                  <w:noWrap w:val="0"/>
                  <w:vAlign w:val="center"/>
                </w:tcPr>
                <w:p w14:paraId="483D38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监测</w:t>
                  </w:r>
                </w:p>
                <w:p w14:paraId="4E9122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站位</w:t>
                  </w:r>
                </w:p>
              </w:tc>
              <w:tc>
                <w:tcPr>
                  <w:tcW w:w="264" w:type="pct"/>
                  <w:vMerge w:val="restart"/>
                  <w:noWrap w:val="0"/>
                  <w:vAlign w:val="center"/>
                </w:tcPr>
                <w:p w14:paraId="47F122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采样层次</w:t>
                  </w:r>
                </w:p>
                <w:p w14:paraId="452E5D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(m)</w:t>
                  </w:r>
                </w:p>
              </w:tc>
              <w:tc>
                <w:tcPr>
                  <w:tcW w:w="264" w:type="pct"/>
                  <w:vMerge w:val="restart"/>
                  <w:noWrap w:val="0"/>
                  <w:vAlign w:val="center"/>
                </w:tcPr>
                <w:p w14:paraId="151591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执行</w:t>
                  </w:r>
                </w:p>
                <w:p w14:paraId="1A3106B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标准</w:t>
                  </w:r>
                </w:p>
              </w:tc>
              <w:tc>
                <w:tcPr>
                  <w:tcW w:w="4212" w:type="pct"/>
                  <w:gridSpan w:val="13"/>
                  <w:noWrap w:val="0"/>
                  <w:vAlign w:val="center"/>
                </w:tcPr>
                <w:p w14:paraId="262B48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sz w:val="21"/>
                      <w:szCs w:val="21"/>
                      <w:highlight w:val="none"/>
                    </w:rPr>
                    <w:t>单项标准指数</w:t>
                  </w:r>
                  <w:r>
                    <w:rPr>
                      <w:rFonts w:ascii="Times New Roman" w:hAnsi="Times New Roman" w:eastAsia="宋体" w:cs="Times New Roman"/>
                      <w:b/>
                      <w:bCs/>
                      <w:i/>
                      <w:color w:val="auto"/>
                      <w:sz w:val="21"/>
                      <w:szCs w:val="21"/>
                      <w:highlight w:val="none"/>
                    </w:rPr>
                    <w:t>P</w:t>
                  </w:r>
                  <w:r>
                    <w:rPr>
                      <w:rFonts w:ascii="Times New Roman" w:hAnsi="Times New Roman" w:eastAsia="宋体" w:cs="Times New Roman"/>
                      <w:b/>
                      <w:bCs/>
                      <w:i/>
                      <w:color w:val="auto"/>
                      <w:sz w:val="21"/>
                      <w:szCs w:val="21"/>
                      <w:highlight w:val="none"/>
                      <w:vertAlign w:val="subscript"/>
                    </w:rPr>
                    <w:t>i</w:t>
                  </w:r>
                </w:p>
              </w:tc>
            </w:tr>
            <w:tr w14:paraId="06B3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tblHeader/>
                <w:jc w:val="center"/>
              </w:trPr>
              <w:tc>
                <w:tcPr>
                  <w:tcW w:w="258" w:type="pct"/>
                  <w:vMerge w:val="continue"/>
                  <w:noWrap w:val="0"/>
                  <w:vAlign w:val="center"/>
                </w:tcPr>
                <w:p w14:paraId="74BF7D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p>
              </w:tc>
              <w:tc>
                <w:tcPr>
                  <w:tcW w:w="264" w:type="pct"/>
                  <w:vMerge w:val="continue"/>
                  <w:noWrap w:val="0"/>
                  <w:vAlign w:val="center"/>
                </w:tcPr>
                <w:p w14:paraId="5A6C08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p>
              </w:tc>
              <w:tc>
                <w:tcPr>
                  <w:tcW w:w="264" w:type="pct"/>
                  <w:vMerge w:val="continue"/>
                  <w:noWrap w:val="0"/>
                  <w:vAlign w:val="center"/>
                </w:tcPr>
                <w:p w14:paraId="000B76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p>
              </w:tc>
              <w:tc>
                <w:tcPr>
                  <w:tcW w:w="264" w:type="pct"/>
                  <w:noWrap w:val="0"/>
                  <w:vAlign w:val="center"/>
                </w:tcPr>
                <w:p w14:paraId="43FFF0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pH</w:t>
                  </w:r>
                </w:p>
              </w:tc>
              <w:tc>
                <w:tcPr>
                  <w:tcW w:w="323" w:type="pct"/>
                  <w:noWrap w:val="0"/>
                  <w:vAlign w:val="center"/>
                </w:tcPr>
                <w:p w14:paraId="6109B1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溶解氧</w:t>
                  </w:r>
                </w:p>
              </w:tc>
              <w:tc>
                <w:tcPr>
                  <w:tcW w:w="323" w:type="pct"/>
                  <w:noWrap w:val="0"/>
                  <w:vAlign w:val="center"/>
                </w:tcPr>
                <w:p w14:paraId="227B70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COD</w:t>
                  </w:r>
                </w:p>
              </w:tc>
              <w:tc>
                <w:tcPr>
                  <w:tcW w:w="326" w:type="pct"/>
                  <w:noWrap w:val="0"/>
                  <w:vAlign w:val="center"/>
                </w:tcPr>
                <w:p w14:paraId="41933B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石油类</w:t>
                  </w:r>
                </w:p>
              </w:tc>
              <w:tc>
                <w:tcPr>
                  <w:tcW w:w="323" w:type="pct"/>
                  <w:noWrap w:val="0"/>
                  <w:vAlign w:val="center"/>
                </w:tcPr>
                <w:p w14:paraId="021982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活性磷酸盐</w:t>
                  </w:r>
                </w:p>
              </w:tc>
              <w:tc>
                <w:tcPr>
                  <w:tcW w:w="326" w:type="pct"/>
                  <w:noWrap w:val="0"/>
                  <w:vAlign w:val="center"/>
                </w:tcPr>
                <w:p w14:paraId="75628E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kern w:val="0"/>
                      <w:sz w:val="21"/>
                      <w:szCs w:val="21"/>
                      <w:highlight w:val="none"/>
                    </w:rPr>
                    <w:t>无机氮</w:t>
                  </w:r>
                </w:p>
              </w:tc>
              <w:tc>
                <w:tcPr>
                  <w:tcW w:w="323" w:type="pct"/>
                  <w:noWrap w:val="0"/>
                  <w:vAlign w:val="center"/>
                </w:tcPr>
                <w:p w14:paraId="0C5050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汞</w:t>
                  </w:r>
                </w:p>
              </w:tc>
              <w:tc>
                <w:tcPr>
                  <w:tcW w:w="323" w:type="pct"/>
                  <w:noWrap w:val="0"/>
                  <w:vAlign w:val="center"/>
                </w:tcPr>
                <w:p w14:paraId="6AA6CC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kern w:val="0"/>
                      <w:sz w:val="21"/>
                      <w:szCs w:val="21"/>
                      <w:highlight w:val="none"/>
                    </w:rPr>
                    <w:t>砷</w:t>
                  </w:r>
                </w:p>
              </w:tc>
              <w:tc>
                <w:tcPr>
                  <w:tcW w:w="323" w:type="pct"/>
                  <w:noWrap w:val="0"/>
                  <w:vAlign w:val="center"/>
                </w:tcPr>
                <w:p w14:paraId="04851C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铜</w:t>
                  </w:r>
                </w:p>
              </w:tc>
              <w:tc>
                <w:tcPr>
                  <w:tcW w:w="326" w:type="pct"/>
                  <w:noWrap w:val="0"/>
                  <w:vAlign w:val="center"/>
                </w:tcPr>
                <w:p w14:paraId="5DAA8A3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铅</w:t>
                  </w:r>
                </w:p>
              </w:tc>
              <w:tc>
                <w:tcPr>
                  <w:tcW w:w="323" w:type="pct"/>
                  <w:noWrap w:val="0"/>
                  <w:vAlign w:val="center"/>
                </w:tcPr>
                <w:p w14:paraId="3BD9702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sz w:val="21"/>
                      <w:szCs w:val="21"/>
                      <w:highlight w:val="none"/>
                    </w:rPr>
                    <w:t>锌</w:t>
                  </w:r>
                </w:p>
              </w:tc>
              <w:tc>
                <w:tcPr>
                  <w:tcW w:w="323" w:type="pct"/>
                  <w:noWrap w:val="0"/>
                  <w:vAlign w:val="center"/>
                </w:tcPr>
                <w:p w14:paraId="283505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镉</w:t>
                  </w:r>
                </w:p>
              </w:tc>
              <w:tc>
                <w:tcPr>
                  <w:tcW w:w="377" w:type="pct"/>
                  <w:noWrap w:val="0"/>
                  <w:vAlign w:val="center"/>
                </w:tcPr>
                <w:p w14:paraId="15E630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总铬</w:t>
                  </w:r>
                </w:p>
              </w:tc>
            </w:tr>
            <w:tr w14:paraId="6CC1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7010FB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6</w:t>
                  </w:r>
                </w:p>
              </w:tc>
              <w:tc>
                <w:tcPr>
                  <w:tcW w:w="264" w:type="pct"/>
                  <w:noWrap w:val="0"/>
                  <w:vAlign w:val="center"/>
                </w:tcPr>
                <w:p w14:paraId="7961297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39466A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51203D6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645A8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C46FE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1039CB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32A67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56697D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56EBB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64CDA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5C485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3D57C7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98199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3FEA7D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6212BF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7087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7989BD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9</w:t>
                  </w:r>
                </w:p>
              </w:tc>
              <w:tc>
                <w:tcPr>
                  <w:tcW w:w="264" w:type="pct"/>
                  <w:noWrap w:val="0"/>
                  <w:vAlign w:val="center"/>
                </w:tcPr>
                <w:p w14:paraId="4B46C1A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4AF73A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2A553D7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15A7C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DE56F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3AEBE4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3206C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594738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1FC78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F4D80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964A1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4C4999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F39D5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63D935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25D8B0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0F42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0F476F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11</w:t>
                  </w:r>
                </w:p>
              </w:tc>
              <w:tc>
                <w:tcPr>
                  <w:tcW w:w="264" w:type="pct"/>
                  <w:noWrap w:val="0"/>
                  <w:vAlign w:val="center"/>
                </w:tcPr>
                <w:p w14:paraId="17BCDBA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6568BFF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5E8C18E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01A43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C76DF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365390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21BC0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51D761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6CB51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7C9DB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D86FB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0465EA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B71E4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3EA723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653C34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21BF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5B73D6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14</w:t>
                  </w:r>
                </w:p>
              </w:tc>
              <w:tc>
                <w:tcPr>
                  <w:tcW w:w="264" w:type="pct"/>
                  <w:noWrap w:val="0"/>
                  <w:vAlign w:val="center"/>
                </w:tcPr>
                <w:p w14:paraId="122C39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0E3D2CC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4EBBD8E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E0EA8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E1109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53B500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54DB2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1CA4C2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47ECD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2B3A1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190FF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27F84E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E3FF9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788E66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3BF535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157C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4B0E84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16</w:t>
                  </w:r>
                </w:p>
              </w:tc>
              <w:tc>
                <w:tcPr>
                  <w:tcW w:w="264" w:type="pct"/>
                  <w:noWrap w:val="0"/>
                  <w:vAlign w:val="center"/>
                </w:tcPr>
                <w:p w14:paraId="4054618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28FF456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67364C7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EFA3A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84FBE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10E6E2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47A40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658E5F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3ADAB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5B076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18121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4C1D0B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16CE8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0CB881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3502CB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1CF1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7339B1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16</w:t>
                  </w:r>
                </w:p>
              </w:tc>
              <w:tc>
                <w:tcPr>
                  <w:tcW w:w="264" w:type="pct"/>
                  <w:noWrap w:val="0"/>
                  <w:vAlign w:val="center"/>
                </w:tcPr>
                <w:p w14:paraId="274CCC1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3928F44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1D8C88D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E9CB6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6C459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16C20E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C32BB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1E82FB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1D52E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1B3E3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2F80E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4D6E23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88E0E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2A3198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360AB5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1921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0CCB49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21</w:t>
                  </w:r>
                </w:p>
              </w:tc>
              <w:tc>
                <w:tcPr>
                  <w:tcW w:w="264" w:type="pct"/>
                  <w:noWrap w:val="0"/>
                  <w:vAlign w:val="center"/>
                </w:tcPr>
                <w:p w14:paraId="5FFDB01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71C387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0A6F96A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58E75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18C55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26B999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5EF65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68A4C7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56656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A18AC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0C142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0CA03C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96283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5DAB0A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6BD910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654E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274BC5C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21</w:t>
                  </w:r>
                </w:p>
              </w:tc>
              <w:tc>
                <w:tcPr>
                  <w:tcW w:w="264" w:type="pct"/>
                  <w:noWrap w:val="0"/>
                  <w:vAlign w:val="center"/>
                </w:tcPr>
                <w:p w14:paraId="4268D3F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195163A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2644D9F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5F0DE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99DF5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5D72E3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01C9C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3F8A02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554AF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5510F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2CFEC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143E65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C1117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61FB10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2C48EC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4F68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48AF8B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22</w:t>
                  </w:r>
                </w:p>
              </w:tc>
              <w:tc>
                <w:tcPr>
                  <w:tcW w:w="264" w:type="pct"/>
                  <w:noWrap w:val="0"/>
                  <w:vAlign w:val="center"/>
                </w:tcPr>
                <w:p w14:paraId="1C5F2E5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411C217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4A0C26B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1F362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7B992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2FC667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16A53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3DBDE5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32601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5719D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1B925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74CF2A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26D21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0760E0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6468BC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6823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503010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23</w:t>
                  </w:r>
                </w:p>
              </w:tc>
              <w:tc>
                <w:tcPr>
                  <w:tcW w:w="264" w:type="pct"/>
                  <w:noWrap w:val="0"/>
                  <w:vAlign w:val="center"/>
                </w:tcPr>
                <w:p w14:paraId="342A601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2D84FF4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4273303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82F82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E4E1D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68511F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D5366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1BD9A2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0B55C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23583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1A973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55345F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FECB6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207B4A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2D2A11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7C9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4EC42E9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24</w:t>
                  </w:r>
                </w:p>
              </w:tc>
              <w:tc>
                <w:tcPr>
                  <w:tcW w:w="264" w:type="pct"/>
                  <w:noWrap w:val="0"/>
                  <w:vAlign w:val="center"/>
                </w:tcPr>
                <w:p w14:paraId="58CD418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331228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52C1072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78EDB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2DF94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5C9018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894A0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725A12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9E63F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5B7B9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ED31E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533FB5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C5572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2A4E83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7877F4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44D0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40024F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26</w:t>
                  </w:r>
                </w:p>
              </w:tc>
              <w:tc>
                <w:tcPr>
                  <w:tcW w:w="264" w:type="pct"/>
                  <w:noWrap w:val="0"/>
                  <w:vAlign w:val="center"/>
                </w:tcPr>
                <w:p w14:paraId="2F68F80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0CD0B6D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72EC476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150EF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B4C00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6107F6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65F53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36712C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F9066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EDD26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78437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176408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FB17F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2A24FD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29101A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38F3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2ADE7B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27</w:t>
                  </w:r>
                </w:p>
              </w:tc>
              <w:tc>
                <w:tcPr>
                  <w:tcW w:w="264" w:type="pct"/>
                  <w:noWrap w:val="0"/>
                  <w:vAlign w:val="center"/>
                </w:tcPr>
                <w:p w14:paraId="42A2CF7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6E4B1A0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177A5E5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63F98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C06EC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220E88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862A1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44B798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4E6A5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1C36C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FEDE0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7660A5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4D872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7521AA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20A9CB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773B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2E01AD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28</w:t>
                  </w:r>
                </w:p>
              </w:tc>
              <w:tc>
                <w:tcPr>
                  <w:tcW w:w="264" w:type="pct"/>
                  <w:noWrap w:val="0"/>
                  <w:vAlign w:val="center"/>
                </w:tcPr>
                <w:p w14:paraId="4DAAF58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396B48E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6D16203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9CCD1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FBECE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1C7CC6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2C32A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087C4A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A61E7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71E0A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D5728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26971A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E895C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69200A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53310F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49CE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20F7AC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29</w:t>
                  </w:r>
                </w:p>
              </w:tc>
              <w:tc>
                <w:tcPr>
                  <w:tcW w:w="264" w:type="pct"/>
                  <w:noWrap w:val="0"/>
                  <w:vAlign w:val="center"/>
                </w:tcPr>
                <w:p w14:paraId="18C10BE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344AF0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05D0CCC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4C8D2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15230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749B0C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02832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0D1E80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3CB13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F6549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26CCA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6B66AB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5F781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76AE88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2C50CA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06B35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0369A6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30</w:t>
                  </w:r>
                </w:p>
              </w:tc>
              <w:tc>
                <w:tcPr>
                  <w:tcW w:w="264" w:type="pct"/>
                  <w:noWrap w:val="0"/>
                  <w:vAlign w:val="center"/>
                </w:tcPr>
                <w:p w14:paraId="240CC5A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2731488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0A1769E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DC4FC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C53B9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69498C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F86B0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60BCE4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05A6B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0273E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19B37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441205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5B5EF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42619C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66E831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77F4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2BD825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30</w:t>
                  </w:r>
                </w:p>
              </w:tc>
              <w:tc>
                <w:tcPr>
                  <w:tcW w:w="264" w:type="pct"/>
                  <w:noWrap w:val="0"/>
                  <w:vAlign w:val="center"/>
                </w:tcPr>
                <w:p w14:paraId="42601D2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00C9836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27EE120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F803F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7A05B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4EB1A7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D1E74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0928F2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C2D1A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423C6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C3765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2BA0C3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CABCA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1A0BC5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081AC2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2FB3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4F61C9C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31</w:t>
                  </w:r>
                </w:p>
              </w:tc>
              <w:tc>
                <w:tcPr>
                  <w:tcW w:w="264" w:type="pct"/>
                  <w:noWrap w:val="0"/>
                  <w:vAlign w:val="center"/>
                </w:tcPr>
                <w:p w14:paraId="2BAE0BA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4DCD79B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353F38A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0BDF4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66F54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19A525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2D800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4AA18D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36719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2FA87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5F0F7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796CBE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09437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58BF49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4F6A4B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34CD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40E268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32</w:t>
                  </w:r>
                </w:p>
              </w:tc>
              <w:tc>
                <w:tcPr>
                  <w:tcW w:w="264" w:type="pct"/>
                  <w:noWrap w:val="0"/>
                  <w:vAlign w:val="center"/>
                </w:tcPr>
                <w:p w14:paraId="4D84B51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30C8373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5465CB5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326B1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7A241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302A79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A36D9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35F503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086A2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9BDF0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56480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54546E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156F0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79D188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1207EB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7BDC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026618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35</w:t>
                  </w:r>
                </w:p>
              </w:tc>
              <w:tc>
                <w:tcPr>
                  <w:tcW w:w="264" w:type="pct"/>
                  <w:noWrap w:val="0"/>
                  <w:vAlign w:val="center"/>
                </w:tcPr>
                <w:p w14:paraId="1841B9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1D6B4F1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5BFECB0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E4F3D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93FBA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6712E7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6E6B5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45EB98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6DC5A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B8AB5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71CA9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3F002A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D98F5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24C6CA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492530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07BB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017D85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36</w:t>
                  </w:r>
                </w:p>
              </w:tc>
              <w:tc>
                <w:tcPr>
                  <w:tcW w:w="264" w:type="pct"/>
                  <w:noWrap w:val="0"/>
                  <w:vAlign w:val="center"/>
                </w:tcPr>
                <w:p w14:paraId="30860B1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7079B57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119BCCE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8175E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5B6C5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66829F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FC4D9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669DEE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955E2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27193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A960A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42211E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D7F4A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2F270B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63099E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2A41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0B6614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39</w:t>
                  </w:r>
                </w:p>
              </w:tc>
              <w:tc>
                <w:tcPr>
                  <w:tcW w:w="264" w:type="pct"/>
                  <w:noWrap w:val="0"/>
                  <w:vAlign w:val="center"/>
                </w:tcPr>
                <w:p w14:paraId="622C814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122931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0D86063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F8C45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7ABB2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772AE8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2F1FB9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31F615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4D6DC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30938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F36D5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1A339D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305219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370AA2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05727B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4A93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258" w:type="pct"/>
                  <w:noWrap w:val="0"/>
                  <w:vAlign w:val="center"/>
                </w:tcPr>
                <w:p w14:paraId="50A1B4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40</w:t>
                  </w:r>
                </w:p>
              </w:tc>
              <w:tc>
                <w:tcPr>
                  <w:tcW w:w="264" w:type="pct"/>
                  <w:noWrap w:val="0"/>
                  <w:vAlign w:val="center"/>
                </w:tcPr>
                <w:p w14:paraId="63613EB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40E829F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754C06E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1DAB4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6A8D8E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4065BF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7C3D2B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6704DD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007A5E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16F7F1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5A64AA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20" w:type="dxa"/>
                  <w:noWrap w:val="0"/>
                  <w:vAlign w:val="center"/>
                </w:tcPr>
                <w:p w14:paraId="295545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1" w:type="dxa"/>
                  <w:noWrap w:val="0"/>
                  <w:vAlign w:val="center"/>
                </w:tcPr>
                <w:p w14:paraId="499EAC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912" w:type="dxa"/>
                  <w:noWrap w:val="0"/>
                  <w:vAlign w:val="center"/>
                </w:tcPr>
                <w:p w14:paraId="65825B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1090" w:type="dxa"/>
                  <w:noWrap w:val="0"/>
                  <w:vAlign w:val="center"/>
                </w:tcPr>
                <w:p w14:paraId="46C499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3DED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8" w:hRule="atLeast"/>
                <w:jc w:val="center"/>
              </w:trPr>
              <w:tc>
                <w:tcPr>
                  <w:tcW w:w="523" w:type="pct"/>
                  <w:gridSpan w:val="2"/>
                  <w:noWrap w:val="0"/>
                  <w:vAlign w:val="center"/>
                </w:tcPr>
                <w:p w14:paraId="4F923D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超标率（%）</w:t>
                  </w:r>
                </w:p>
              </w:tc>
              <w:tc>
                <w:tcPr>
                  <w:tcW w:w="264" w:type="pct"/>
                  <w:noWrap w:val="0"/>
                  <w:vAlign w:val="center"/>
                </w:tcPr>
                <w:p w14:paraId="44C0577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264" w:type="pct"/>
                  <w:noWrap w:val="0"/>
                  <w:vAlign w:val="center"/>
                </w:tcPr>
                <w:p w14:paraId="7346CBB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4080346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1F312C8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4"/>
                      <w:highlight w:val="none"/>
                      <w:lang w:val="en-US" w:eastAsia="zh-CN"/>
                    </w:rPr>
                    <w:t>***</w:t>
                  </w:r>
                </w:p>
              </w:tc>
              <w:tc>
                <w:tcPr>
                  <w:tcW w:w="326" w:type="pct"/>
                  <w:noWrap w:val="0"/>
                  <w:vAlign w:val="center"/>
                </w:tcPr>
                <w:p w14:paraId="2AD33DB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332047C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等线" w:cs="Times New Roman"/>
                      <w:color w:val="auto"/>
                      <w:sz w:val="21"/>
                      <w:szCs w:val="21"/>
                      <w:highlight w:val="none"/>
                      <w:lang w:val="en-US" w:eastAsia="zh-CN"/>
                    </w:rPr>
                  </w:pPr>
                  <w:r>
                    <w:rPr>
                      <w:rFonts w:hint="eastAsia" w:ascii="Times New Roman" w:hAnsi="Times New Roman" w:eastAsia="宋体" w:cs="Times New Roman"/>
                      <w:color w:val="auto"/>
                      <w:sz w:val="24"/>
                      <w:highlight w:val="none"/>
                      <w:lang w:val="en-US" w:eastAsia="zh-CN"/>
                    </w:rPr>
                    <w:t>***</w:t>
                  </w:r>
                </w:p>
              </w:tc>
              <w:tc>
                <w:tcPr>
                  <w:tcW w:w="326" w:type="pct"/>
                  <w:noWrap w:val="0"/>
                  <w:vAlign w:val="center"/>
                </w:tcPr>
                <w:p w14:paraId="6A7BD7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等线" w:cs="Times New Roman"/>
                      <w:color w:val="auto"/>
                      <w:sz w:val="21"/>
                      <w:szCs w:val="21"/>
                      <w:highlight w:val="none"/>
                      <w:lang w:val="en-US" w:eastAsia="zh-CN"/>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551FADF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6FE0293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50BF800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26" w:type="pct"/>
                  <w:noWrap w:val="0"/>
                  <w:vAlign w:val="center"/>
                </w:tcPr>
                <w:p w14:paraId="424D63C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1C4F73C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23" w:type="pct"/>
                  <w:noWrap w:val="0"/>
                  <w:vAlign w:val="center"/>
                </w:tcPr>
                <w:p w14:paraId="345228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7" w:type="pct"/>
                  <w:noWrap w:val="0"/>
                  <w:vAlign w:val="center"/>
                </w:tcPr>
                <w:p w14:paraId="6D868F2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bl>
          <w:p w14:paraId="7F38C434">
            <w:pPr>
              <w:spacing w:line="300" w:lineRule="exact"/>
              <w:ind w:firstLine="181" w:firstLineChars="100"/>
              <w:rPr>
                <w:rFonts w:ascii="Times New Roman" w:hAnsi="Times New Roman" w:eastAsia="宋体" w:cs="Times New Roman"/>
                <w:bCs/>
                <w:color w:val="auto"/>
                <w:sz w:val="18"/>
                <w:szCs w:val="18"/>
                <w:highlight w:val="none"/>
              </w:rPr>
            </w:pPr>
            <w:r>
              <w:rPr>
                <w:rFonts w:ascii="Times New Roman" w:hAnsi="Times New Roman" w:eastAsia="宋体" w:cs="Times New Roman"/>
                <w:b/>
                <w:color w:val="auto"/>
                <w:sz w:val="18"/>
                <w:szCs w:val="18"/>
                <w:highlight w:val="none"/>
              </w:rPr>
              <w:t>注：</w:t>
            </w:r>
            <w:r>
              <w:rPr>
                <w:rFonts w:ascii="Times New Roman" w:hAnsi="Times New Roman" w:eastAsia="宋体" w:cs="Times New Roman"/>
                <w:bCs/>
                <w:color w:val="auto"/>
                <w:sz w:val="18"/>
                <w:szCs w:val="18"/>
                <w:highlight w:val="none"/>
              </w:rPr>
              <w:t>1、</w:t>
            </w:r>
            <w:r>
              <w:rPr>
                <w:rFonts w:ascii="Times New Roman" w:hAnsi="Times New Roman" w:eastAsia="宋体" w:cs="Times New Roman"/>
                <w:color w:val="auto"/>
                <w:sz w:val="18"/>
                <w:szCs w:val="18"/>
                <w:highlight w:val="none"/>
              </w:rPr>
              <w:t>表中“/”表示该项无评价数据；</w:t>
            </w:r>
          </w:p>
          <w:p w14:paraId="3E393803">
            <w:pPr>
              <w:keepNext w:val="0"/>
              <w:keepLines w:val="0"/>
              <w:pageBreakBefore w:val="0"/>
              <w:widowControl w:val="0"/>
              <w:kinsoku/>
              <w:wordWrap/>
              <w:overflowPunct/>
              <w:topLinePunct w:val="0"/>
              <w:autoSpaceDE/>
              <w:autoSpaceDN/>
              <w:bidi w:val="0"/>
              <w:adjustRightInd w:val="0"/>
              <w:snapToGrid w:val="0"/>
              <w:spacing w:line="240" w:lineRule="auto"/>
              <w:ind w:firstLine="540" w:firstLineChars="300"/>
              <w:textAlignment w:val="auto"/>
              <w:rPr>
                <w:rFonts w:hint="eastAsia" w:ascii="Times New Roman" w:hAnsi="Times New Roman" w:eastAsia="宋体" w:cs="Times New Roman"/>
                <w:color w:val="auto"/>
                <w:szCs w:val="24"/>
                <w:highlight w:val="none"/>
                <w:lang w:val="en-US" w:eastAsia="zh-CN"/>
              </w:rPr>
            </w:pPr>
            <w:r>
              <w:rPr>
                <w:rFonts w:ascii="Times New Roman" w:hAnsi="Times New Roman" w:eastAsia="宋体" w:cs="Times New Roman"/>
                <w:bCs/>
                <w:color w:val="auto"/>
                <w:sz w:val="18"/>
                <w:szCs w:val="18"/>
                <w:highlight w:val="none"/>
              </w:rPr>
              <w:t>2、</w:t>
            </w:r>
            <w:r>
              <w:rPr>
                <w:rFonts w:ascii="Times New Roman" w:hAnsi="Times New Roman" w:eastAsia="宋体" w:cs="Times New Roman"/>
                <w:color w:val="auto"/>
                <w:sz w:val="18"/>
                <w:szCs w:val="18"/>
                <w:highlight w:val="none"/>
              </w:rPr>
              <w:t>低于检出限的，未检出部分分别取检出限的</w:t>
            </w:r>
            <w:r>
              <w:rPr>
                <w:rFonts w:ascii="Times New Roman" w:hAnsi="Times New Roman" w:eastAsia="Times New Roman" w:cs="Times New Roman"/>
                <w:color w:val="auto"/>
                <w:sz w:val="18"/>
                <w:szCs w:val="18"/>
                <w:highlight w:val="none"/>
              </w:rPr>
              <w:t>1/2</w:t>
            </w:r>
            <w:r>
              <w:rPr>
                <w:rFonts w:ascii="Times New Roman" w:hAnsi="Times New Roman" w:eastAsia="宋体" w:cs="Times New Roman"/>
                <w:color w:val="auto"/>
                <w:sz w:val="18"/>
                <w:szCs w:val="18"/>
                <w:highlight w:val="none"/>
              </w:rPr>
              <w:t>参加统计计算。</w:t>
            </w:r>
          </w:p>
          <w:p w14:paraId="6429AF56">
            <w:pPr>
              <w:adjustRightInd w:val="0"/>
              <w:spacing w:line="360" w:lineRule="auto"/>
              <w:ind w:firstLine="480" w:firstLineChars="200"/>
              <w:rPr>
                <w:rFonts w:hint="default"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lang w:val="en-US" w:eastAsia="zh-CN"/>
              </w:rPr>
              <w:t>2024年9月、10月调查结果可知，溶解氧、活性磷酸盐、无机氮等监测指标出现不同程度的超标，超标率分别为34.8%、39.1%、39.1%，最大超标倍数分别为0.13倍、0.65倍、2.37倍，其他评价因子均满足所在功能区海水水质标准要求。</w:t>
            </w:r>
          </w:p>
          <w:p w14:paraId="25E5B7C6">
            <w:pPr>
              <w:adjustRightInd w:val="0"/>
              <w:spacing w:line="360" w:lineRule="auto"/>
              <w:ind w:firstLine="480" w:firstLineChars="200"/>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评价区域海水中</w:t>
            </w:r>
            <w:r>
              <w:rPr>
                <w:rFonts w:hint="eastAsia" w:ascii="Times New Roman" w:hAnsi="Times New Roman" w:eastAsia="宋体" w:cs="Times New Roman"/>
                <w:color w:val="auto"/>
                <w:sz w:val="24"/>
                <w:szCs w:val="21"/>
                <w:highlight w:val="none"/>
                <w:lang w:val="en-US" w:eastAsia="zh-CN"/>
              </w:rPr>
              <w:t>溶</w:t>
            </w:r>
            <w:r>
              <w:rPr>
                <w:rFonts w:hint="default" w:ascii="Times New Roman" w:hAnsi="Times New Roman" w:eastAsia="宋体" w:cs="Times New Roman"/>
                <w:color w:val="auto"/>
                <w:sz w:val="24"/>
                <w:szCs w:val="21"/>
                <w:highlight w:val="none"/>
              </w:rPr>
              <w:t>解氧、无机氮、活性磷酸盐</w:t>
            </w:r>
            <w:r>
              <w:rPr>
                <w:rFonts w:hint="default" w:ascii="Times New Roman" w:hAnsi="Times New Roman" w:eastAsia="宋体" w:cs="Times New Roman"/>
                <w:color w:val="auto"/>
                <w:sz w:val="24"/>
                <w:szCs w:val="21"/>
                <w:highlight w:val="none"/>
                <w:lang w:val="en-US" w:eastAsia="zh-CN"/>
              </w:rPr>
              <w:t>等因子超标原因主要是受入海河流等陆源污染物的影响，其次可能受海域养殖排污影响。</w:t>
            </w:r>
          </w:p>
          <w:p w14:paraId="30096215">
            <w:pPr>
              <w:keepNext/>
              <w:keepLines/>
              <w:widowControl/>
              <w:numPr>
                <w:ilvl w:val="3"/>
                <w:numId w:val="12"/>
              </w:numPr>
              <w:bidi w:val="0"/>
              <w:adjustRightInd w:val="0"/>
              <w:snapToGrid w:val="0"/>
              <w:spacing w:line="360" w:lineRule="auto"/>
              <w:ind w:left="0" w:leftChars="0" w:firstLine="0" w:firstLineChars="0"/>
              <w:jc w:val="both"/>
              <w:outlineLvl w:val="3"/>
              <w:rPr>
                <w:rFonts w:ascii="Times New Roman" w:hAnsi="Times New Roman" w:eastAsia="黑体" w:cs="Times New Roman"/>
                <w:b/>
                <w:bCs/>
                <w:color w:val="auto"/>
                <w:kern w:val="2"/>
                <w:sz w:val="24"/>
                <w:szCs w:val="28"/>
                <w:highlight w:val="none"/>
                <w:lang w:val="en-US" w:eastAsia="zh-CN" w:bidi="ar-SA"/>
              </w:rPr>
            </w:pPr>
            <w:r>
              <w:rPr>
                <w:rFonts w:hint="eastAsia" w:ascii="Times New Roman" w:hAnsi="Times New Roman" w:eastAsia="黑体" w:cs="Times New Roman"/>
                <w:b/>
                <w:bCs/>
                <w:color w:val="auto"/>
                <w:kern w:val="2"/>
                <w:sz w:val="24"/>
                <w:szCs w:val="28"/>
                <w:highlight w:val="none"/>
                <w:lang w:val="en-US" w:eastAsia="zh-CN" w:bidi="ar-SA"/>
              </w:rPr>
              <w:t>海洋沉积物环境</w:t>
            </w:r>
          </w:p>
          <w:p w14:paraId="7412058A">
            <w:pPr>
              <w:keepNext w:val="0"/>
              <w:keepLines w:val="0"/>
              <w:pageBreakBefore w:val="0"/>
              <w:widowControl w:val="0"/>
              <w:kinsoku/>
              <w:wordWrap/>
              <w:overflowPunct/>
              <w:topLinePunct w:val="0"/>
              <w:autoSpaceDE/>
              <w:autoSpaceDN/>
              <w:bidi w:val="0"/>
              <w:adjustRightInd w:val="0"/>
              <w:snapToGrid w:val="0"/>
              <w:ind w:firstLine="482"/>
              <w:textAlignment w:val="auto"/>
              <w:outlineLvl w:val="9"/>
              <w:rPr>
                <w:rFonts w:hint="eastAsia" w:ascii="Times New Roman" w:hAnsi="Times New Roman" w:eastAsia="宋体" w:cs="Times New Roman"/>
                <w:b/>
                <w:bCs/>
                <w:color w:val="auto"/>
                <w:szCs w:val="24"/>
                <w:highlight w:val="none"/>
                <w:u w:val="none"/>
                <w:lang w:val="en-US" w:eastAsia="zh-CN"/>
              </w:rPr>
            </w:pPr>
            <w:bookmarkStart w:id="37" w:name="_Toc6230"/>
            <w:bookmarkStart w:id="38" w:name="_Toc5512"/>
            <w:bookmarkStart w:id="39" w:name="_Toc8834"/>
            <w:bookmarkStart w:id="40" w:name="_Toc18808"/>
            <w:r>
              <w:rPr>
                <w:rFonts w:hint="eastAsia" w:ascii="Times New Roman" w:hAnsi="Times New Roman" w:eastAsia="宋体" w:cs="Times New Roman"/>
                <w:b/>
                <w:bCs/>
                <w:color w:val="auto"/>
                <w:szCs w:val="24"/>
                <w:highlight w:val="none"/>
                <w:u w:val="none"/>
                <w:lang w:val="en-US" w:eastAsia="zh-CN"/>
              </w:rPr>
              <w:t>2、秋季调查（2024年10月）</w:t>
            </w:r>
            <w:bookmarkEnd w:id="37"/>
            <w:bookmarkEnd w:id="38"/>
            <w:bookmarkEnd w:id="39"/>
            <w:bookmarkEnd w:id="40"/>
          </w:p>
          <w:p w14:paraId="04C3EDE6">
            <w:pPr>
              <w:adjustRightInd w:val="0"/>
              <w:spacing w:line="360" w:lineRule="auto"/>
              <w:ind w:firstLine="480" w:firstLineChars="200"/>
              <w:rPr>
                <w:rFonts w:hint="eastAsia"/>
                <w:color w:val="auto"/>
                <w:highlight w:val="none"/>
                <w:lang w:val="en-US" w:eastAsia="zh-CN"/>
              </w:rPr>
            </w:pPr>
            <w:r>
              <w:rPr>
                <w:rFonts w:hint="eastAsia" w:ascii="Times New Roman" w:hAnsi="Times New Roman" w:eastAsia="宋体" w:cs="Times New Roman"/>
                <w:color w:val="auto"/>
                <w:sz w:val="24"/>
                <w:szCs w:val="21"/>
                <w:highlight w:val="none"/>
                <w:lang w:val="en-US" w:eastAsia="zh-CN"/>
              </w:rPr>
              <w:t>沉积物调查与水质调查同步进行，共调查10个站位，沉积物监测结果详见表3.1-11，沉积物监测标准指数详见表3.1-20。</w:t>
            </w:r>
          </w:p>
          <w:p w14:paraId="39879DB3">
            <w:pPr>
              <w:keepNext/>
              <w:keepLines/>
              <w:widowControl w:val="0"/>
              <w:numPr>
                <w:ilvl w:val="0"/>
                <w:numId w:val="0"/>
              </w:numPr>
              <w:tabs>
                <w:tab w:val="left" w:pos="0"/>
              </w:tabs>
              <w:bidi w:val="0"/>
              <w:adjustRightInd w:val="0"/>
              <w:snapToGrid w:val="0"/>
              <w:spacing w:line="240" w:lineRule="auto"/>
              <w:ind w:leftChars="0"/>
              <w:jc w:val="center"/>
              <w:outlineLvl w:val="4"/>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表3.1-11   2024年秋季项目海洋沉积物监测结果一览表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
              <w:gridCol w:w="1042"/>
              <w:gridCol w:w="1044"/>
              <w:gridCol w:w="1044"/>
              <w:gridCol w:w="1044"/>
              <w:gridCol w:w="1044"/>
              <w:gridCol w:w="1044"/>
              <w:gridCol w:w="1044"/>
              <w:gridCol w:w="1044"/>
              <w:gridCol w:w="1044"/>
              <w:gridCol w:w="1050"/>
              <w:gridCol w:w="1055"/>
            </w:tblGrid>
            <w:tr w14:paraId="4D7C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5" w:type="pct"/>
                  <w:vMerge w:val="restart"/>
                  <w:noWrap w:val="0"/>
                  <w:vAlign w:val="center"/>
                </w:tcPr>
                <w:p w14:paraId="6AFD3012">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w:t>
                  </w:r>
                </w:p>
                <w:p w14:paraId="27A0B18B">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rPr>
                    <w:t>站位</w:t>
                  </w:r>
                </w:p>
              </w:tc>
              <w:tc>
                <w:tcPr>
                  <w:tcW w:w="415" w:type="pct"/>
                  <w:noWrap w:val="0"/>
                  <w:vAlign w:val="center"/>
                </w:tcPr>
                <w:p w14:paraId="7F127014">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石油类</w:t>
                  </w:r>
                </w:p>
              </w:tc>
              <w:tc>
                <w:tcPr>
                  <w:tcW w:w="416" w:type="pct"/>
                  <w:noWrap w:val="0"/>
                  <w:vAlign w:val="center"/>
                </w:tcPr>
                <w:p w14:paraId="010704C2">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硫化物</w:t>
                  </w:r>
                </w:p>
              </w:tc>
              <w:tc>
                <w:tcPr>
                  <w:tcW w:w="416" w:type="pct"/>
                  <w:noWrap w:val="0"/>
                  <w:vAlign w:val="center"/>
                </w:tcPr>
                <w:p w14:paraId="3CC001C3">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有机碳</w:t>
                  </w:r>
                </w:p>
              </w:tc>
              <w:tc>
                <w:tcPr>
                  <w:tcW w:w="416" w:type="pct"/>
                  <w:noWrap w:val="0"/>
                  <w:vAlign w:val="center"/>
                </w:tcPr>
                <w:p w14:paraId="76A46AB8">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总汞</w:t>
                  </w:r>
                </w:p>
              </w:tc>
              <w:tc>
                <w:tcPr>
                  <w:tcW w:w="416" w:type="pct"/>
                  <w:noWrap w:val="0"/>
                  <w:vAlign w:val="center"/>
                </w:tcPr>
                <w:p w14:paraId="2E1E46AF">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砷</w:t>
                  </w:r>
                </w:p>
              </w:tc>
              <w:tc>
                <w:tcPr>
                  <w:tcW w:w="416" w:type="pct"/>
                  <w:noWrap w:val="0"/>
                  <w:vAlign w:val="center"/>
                </w:tcPr>
                <w:p w14:paraId="2CB62090">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铜</w:t>
                  </w:r>
                </w:p>
              </w:tc>
              <w:tc>
                <w:tcPr>
                  <w:tcW w:w="416" w:type="pct"/>
                  <w:noWrap w:val="0"/>
                  <w:vAlign w:val="center"/>
                </w:tcPr>
                <w:p w14:paraId="073186B5">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锌</w:t>
                  </w:r>
                </w:p>
              </w:tc>
              <w:tc>
                <w:tcPr>
                  <w:tcW w:w="416" w:type="pct"/>
                  <w:noWrap w:val="0"/>
                  <w:vAlign w:val="center"/>
                </w:tcPr>
                <w:p w14:paraId="1AC6BE5E">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铅</w:t>
                  </w:r>
                </w:p>
              </w:tc>
              <w:tc>
                <w:tcPr>
                  <w:tcW w:w="416" w:type="pct"/>
                  <w:noWrap w:val="0"/>
                  <w:vAlign w:val="center"/>
                </w:tcPr>
                <w:p w14:paraId="7EB68D85">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镉</w:t>
                  </w:r>
                </w:p>
              </w:tc>
              <w:tc>
                <w:tcPr>
                  <w:tcW w:w="418" w:type="pct"/>
                  <w:noWrap w:val="0"/>
                  <w:vAlign w:val="center"/>
                </w:tcPr>
                <w:p w14:paraId="5254490F">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铬</w:t>
                  </w:r>
                </w:p>
              </w:tc>
              <w:tc>
                <w:tcPr>
                  <w:tcW w:w="420" w:type="pct"/>
                  <w:noWrap w:val="0"/>
                  <w:vAlign w:val="center"/>
                </w:tcPr>
                <w:p w14:paraId="62F59F0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Eh</w:t>
                  </w:r>
                </w:p>
              </w:tc>
            </w:tr>
            <w:tr w14:paraId="7F65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5" w:type="pct"/>
                  <w:vMerge w:val="continue"/>
                  <w:noWrap w:val="0"/>
                  <w:vAlign w:val="center"/>
                </w:tcPr>
                <w:p w14:paraId="36871D1B">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p>
              </w:tc>
              <w:tc>
                <w:tcPr>
                  <w:tcW w:w="415" w:type="pct"/>
                  <w:noWrap w:val="0"/>
                  <w:vAlign w:val="center"/>
                </w:tcPr>
                <w:p w14:paraId="70FCFA4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×10</w:t>
                  </w:r>
                  <w:r>
                    <w:rPr>
                      <w:rFonts w:hint="default" w:ascii="Times New Roman" w:hAnsi="Times New Roman" w:eastAsia="宋体" w:cs="Times New Roman"/>
                      <w:b/>
                      <w:bCs/>
                      <w:color w:val="auto"/>
                      <w:kern w:val="0"/>
                      <w:sz w:val="21"/>
                      <w:szCs w:val="21"/>
                      <w:highlight w:val="none"/>
                      <w:vertAlign w:val="superscript"/>
                      <w:lang w:bidi="ar"/>
                    </w:rPr>
                    <w:t>-6</w:t>
                  </w:r>
                </w:p>
              </w:tc>
              <w:tc>
                <w:tcPr>
                  <w:tcW w:w="416" w:type="pct"/>
                  <w:noWrap w:val="0"/>
                  <w:vAlign w:val="center"/>
                </w:tcPr>
                <w:p w14:paraId="4F405AA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×10</w:t>
                  </w:r>
                  <w:r>
                    <w:rPr>
                      <w:rFonts w:hint="default" w:ascii="Times New Roman" w:hAnsi="Times New Roman" w:eastAsia="宋体" w:cs="Times New Roman"/>
                      <w:b/>
                      <w:bCs/>
                      <w:color w:val="auto"/>
                      <w:kern w:val="0"/>
                      <w:sz w:val="21"/>
                      <w:szCs w:val="21"/>
                      <w:highlight w:val="none"/>
                      <w:vertAlign w:val="superscript"/>
                      <w:lang w:bidi="ar"/>
                    </w:rPr>
                    <w:t>-6</w:t>
                  </w:r>
                </w:p>
              </w:tc>
              <w:tc>
                <w:tcPr>
                  <w:tcW w:w="416" w:type="pct"/>
                  <w:noWrap w:val="0"/>
                  <w:vAlign w:val="center"/>
                </w:tcPr>
                <w:p w14:paraId="21D1F70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w:t>
                  </w:r>
                </w:p>
              </w:tc>
              <w:tc>
                <w:tcPr>
                  <w:tcW w:w="416" w:type="pct"/>
                  <w:noWrap w:val="0"/>
                  <w:vAlign w:val="center"/>
                </w:tcPr>
                <w:p w14:paraId="1C25402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×10</w:t>
                  </w:r>
                  <w:r>
                    <w:rPr>
                      <w:rFonts w:hint="default" w:ascii="Times New Roman" w:hAnsi="Times New Roman" w:eastAsia="宋体" w:cs="Times New Roman"/>
                      <w:b/>
                      <w:bCs/>
                      <w:color w:val="auto"/>
                      <w:kern w:val="0"/>
                      <w:sz w:val="21"/>
                      <w:szCs w:val="21"/>
                      <w:highlight w:val="none"/>
                      <w:vertAlign w:val="superscript"/>
                      <w:lang w:bidi="ar"/>
                    </w:rPr>
                    <w:t>-6</w:t>
                  </w:r>
                </w:p>
              </w:tc>
              <w:tc>
                <w:tcPr>
                  <w:tcW w:w="416" w:type="pct"/>
                  <w:noWrap w:val="0"/>
                  <w:vAlign w:val="center"/>
                </w:tcPr>
                <w:p w14:paraId="7AF3AC7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×10</w:t>
                  </w:r>
                  <w:r>
                    <w:rPr>
                      <w:rFonts w:hint="default" w:ascii="Times New Roman" w:hAnsi="Times New Roman" w:eastAsia="宋体" w:cs="Times New Roman"/>
                      <w:b/>
                      <w:bCs/>
                      <w:color w:val="auto"/>
                      <w:kern w:val="0"/>
                      <w:sz w:val="21"/>
                      <w:szCs w:val="21"/>
                      <w:highlight w:val="none"/>
                      <w:vertAlign w:val="superscript"/>
                      <w:lang w:bidi="ar"/>
                    </w:rPr>
                    <w:t>-6</w:t>
                  </w:r>
                </w:p>
              </w:tc>
              <w:tc>
                <w:tcPr>
                  <w:tcW w:w="416" w:type="pct"/>
                  <w:noWrap w:val="0"/>
                  <w:vAlign w:val="center"/>
                </w:tcPr>
                <w:p w14:paraId="2109829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×10</w:t>
                  </w:r>
                  <w:r>
                    <w:rPr>
                      <w:rFonts w:hint="default" w:ascii="Times New Roman" w:hAnsi="Times New Roman" w:eastAsia="宋体" w:cs="Times New Roman"/>
                      <w:b/>
                      <w:bCs/>
                      <w:color w:val="auto"/>
                      <w:kern w:val="0"/>
                      <w:sz w:val="21"/>
                      <w:szCs w:val="21"/>
                      <w:highlight w:val="none"/>
                      <w:vertAlign w:val="superscript"/>
                      <w:lang w:bidi="ar"/>
                    </w:rPr>
                    <w:t>-6</w:t>
                  </w:r>
                </w:p>
              </w:tc>
              <w:tc>
                <w:tcPr>
                  <w:tcW w:w="416" w:type="pct"/>
                  <w:noWrap w:val="0"/>
                  <w:vAlign w:val="center"/>
                </w:tcPr>
                <w:p w14:paraId="66C2E6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×10</w:t>
                  </w:r>
                  <w:r>
                    <w:rPr>
                      <w:rFonts w:hint="default" w:ascii="Times New Roman" w:hAnsi="Times New Roman" w:eastAsia="宋体" w:cs="Times New Roman"/>
                      <w:b/>
                      <w:bCs/>
                      <w:color w:val="auto"/>
                      <w:kern w:val="0"/>
                      <w:sz w:val="21"/>
                      <w:szCs w:val="21"/>
                      <w:highlight w:val="none"/>
                      <w:vertAlign w:val="superscript"/>
                      <w:lang w:bidi="ar"/>
                    </w:rPr>
                    <w:t>-6</w:t>
                  </w:r>
                </w:p>
              </w:tc>
              <w:tc>
                <w:tcPr>
                  <w:tcW w:w="416" w:type="pct"/>
                  <w:noWrap w:val="0"/>
                  <w:vAlign w:val="center"/>
                </w:tcPr>
                <w:p w14:paraId="126AAC1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×10</w:t>
                  </w:r>
                  <w:r>
                    <w:rPr>
                      <w:rFonts w:hint="default" w:ascii="Times New Roman" w:hAnsi="Times New Roman" w:eastAsia="宋体" w:cs="Times New Roman"/>
                      <w:b/>
                      <w:bCs/>
                      <w:color w:val="auto"/>
                      <w:kern w:val="0"/>
                      <w:sz w:val="21"/>
                      <w:szCs w:val="21"/>
                      <w:highlight w:val="none"/>
                      <w:vertAlign w:val="superscript"/>
                      <w:lang w:bidi="ar"/>
                    </w:rPr>
                    <w:t>-6</w:t>
                  </w:r>
                </w:p>
              </w:tc>
              <w:tc>
                <w:tcPr>
                  <w:tcW w:w="416" w:type="pct"/>
                  <w:noWrap w:val="0"/>
                  <w:vAlign w:val="center"/>
                </w:tcPr>
                <w:p w14:paraId="639F1D4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×10</w:t>
                  </w:r>
                  <w:r>
                    <w:rPr>
                      <w:rFonts w:hint="default" w:ascii="Times New Roman" w:hAnsi="Times New Roman" w:eastAsia="宋体" w:cs="Times New Roman"/>
                      <w:b/>
                      <w:bCs/>
                      <w:color w:val="auto"/>
                      <w:kern w:val="0"/>
                      <w:sz w:val="21"/>
                      <w:szCs w:val="21"/>
                      <w:highlight w:val="none"/>
                      <w:vertAlign w:val="superscript"/>
                      <w:lang w:bidi="ar"/>
                    </w:rPr>
                    <w:t>-6</w:t>
                  </w:r>
                </w:p>
              </w:tc>
              <w:tc>
                <w:tcPr>
                  <w:tcW w:w="418" w:type="pct"/>
                  <w:noWrap w:val="0"/>
                  <w:vAlign w:val="center"/>
                </w:tcPr>
                <w:p w14:paraId="7DF5765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×10</w:t>
                  </w:r>
                  <w:r>
                    <w:rPr>
                      <w:rFonts w:hint="default" w:ascii="Times New Roman" w:hAnsi="Times New Roman" w:eastAsia="宋体" w:cs="Times New Roman"/>
                      <w:b/>
                      <w:bCs/>
                      <w:color w:val="auto"/>
                      <w:kern w:val="0"/>
                      <w:sz w:val="21"/>
                      <w:szCs w:val="21"/>
                      <w:highlight w:val="none"/>
                      <w:vertAlign w:val="superscript"/>
                      <w:lang w:bidi="ar"/>
                    </w:rPr>
                    <w:t>-6</w:t>
                  </w:r>
                </w:p>
              </w:tc>
              <w:tc>
                <w:tcPr>
                  <w:tcW w:w="420" w:type="pct"/>
                  <w:noWrap w:val="0"/>
                  <w:vAlign w:val="center"/>
                </w:tcPr>
                <w:p w14:paraId="3784C50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mv</w:t>
                  </w:r>
                </w:p>
              </w:tc>
            </w:tr>
            <w:tr w14:paraId="5FCF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14:paraId="254D16B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415" w:type="pct"/>
                  <w:noWrap w:val="0"/>
                  <w:vAlign w:val="center"/>
                </w:tcPr>
                <w:p w14:paraId="149D73D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3ECC929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36F8711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02E4706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5BAD43A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25CFCFB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76F3E13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43818F9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553BA35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8" w:type="pct"/>
                  <w:noWrap w:val="0"/>
                  <w:vAlign w:val="center"/>
                </w:tcPr>
                <w:p w14:paraId="545B1F6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20" w:type="pct"/>
                  <w:noWrap w:val="0"/>
                  <w:vAlign w:val="center"/>
                </w:tcPr>
                <w:p w14:paraId="043D9C8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5B0F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14:paraId="0F48E82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415" w:type="pct"/>
                  <w:noWrap w:val="0"/>
                  <w:vAlign w:val="center"/>
                </w:tcPr>
                <w:p w14:paraId="1770B73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455FF8A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7B1A39D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097B688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3B86084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27E2A10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6146584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63222F0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66374E3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8" w:type="pct"/>
                  <w:noWrap w:val="0"/>
                  <w:vAlign w:val="center"/>
                </w:tcPr>
                <w:p w14:paraId="41273FB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20" w:type="pct"/>
                  <w:noWrap w:val="0"/>
                  <w:vAlign w:val="center"/>
                </w:tcPr>
                <w:p w14:paraId="12BEB60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538A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14:paraId="391C993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415" w:type="pct"/>
                  <w:noWrap w:val="0"/>
                  <w:vAlign w:val="center"/>
                </w:tcPr>
                <w:p w14:paraId="3FCDE09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002A94A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79660A2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209C0C8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44A610A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601C69A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0B0F19C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2D4CCA0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3449A53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8" w:type="pct"/>
                  <w:noWrap w:val="0"/>
                  <w:vAlign w:val="center"/>
                </w:tcPr>
                <w:p w14:paraId="180A272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20" w:type="pct"/>
                  <w:noWrap w:val="0"/>
                  <w:vAlign w:val="center"/>
                </w:tcPr>
                <w:p w14:paraId="460DC76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5AC0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14:paraId="13F4AAB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415" w:type="pct"/>
                  <w:noWrap w:val="0"/>
                  <w:vAlign w:val="center"/>
                </w:tcPr>
                <w:p w14:paraId="11080A0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179E711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3EF6CD0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32404D0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2EDE96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522E8DD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42861EB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3069A74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00E1BD7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8" w:type="pct"/>
                  <w:noWrap w:val="0"/>
                  <w:vAlign w:val="center"/>
                </w:tcPr>
                <w:p w14:paraId="3DCBFC8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20" w:type="pct"/>
                  <w:noWrap w:val="0"/>
                  <w:vAlign w:val="center"/>
                </w:tcPr>
                <w:p w14:paraId="4C93B85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5B5C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14:paraId="6CDB43F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415" w:type="pct"/>
                  <w:noWrap w:val="0"/>
                  <w:vAlign w:val="center"/>
                </w:tcPr>
                <w:p w14:paraId="6BEA5CF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10B6558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633DBF5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7323412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006CA7B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6BBABBB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3C060FB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22BD481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6A1F381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8" w:type="pct"/>
                  <w:noWrap w:val="0"/>
                  <w:vAlign w:val="center"/>
                </w:tcPr>
                <w:p w14:paraId="0183332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20" w:type="pct"/>
                  <w:noWrap w:val="0"/>
                  <w:vAlign w:val="center"/>
                </w:tcPr>
                <w:p w14:paraId="27A996C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14C8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14:paraId="5B52363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w:t>
                  </w:r>
                </w:p>
              </w:tc>
              <w:tc>
                <w:tcPr>
                  <w:tcW w:w="415" w:type="pct"/>
                  <w:noWrap w:val="0"/>
                  <w:vAlign w:val="center"/>
                </w:tcPr>
                <w:p w14:paraId="1A08C3C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237206B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00E6BAE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238A77C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70F4B3F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087A943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0DE22EB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1422C54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67BF598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8" w:type="pct"/>
                  <w:noWrap w:val="0"/>
                  <w:vAlign w:val="center"/>
                </w:tcPr>
                <w:p w14:paraId="4513AB1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20" w:type="pct"/>
                  <w:noWrap w:val="0"/>
                  <w:vAlign w:val="center"/>
                </w:tcPr>
                <w:p w14:paraId="29FC774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39DA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14:paraId="0E7A653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415" w:type="pct"/>
                  <w:noWrap w:val="0"/>
                  <w:vAlign w:val="center"/>
                </w:tcPr>
                <w:p w14:paraId="63FB0DE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7C35984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1C75BAF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3E7C8D8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3576001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5630479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63A576F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02FD2D6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4D84A63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8" w:type="pct"/>
                  <w:noWrap w:val="0"/>
                  <w:vAlign w:val="center"/>
                </w:tcPr>
                <w:p w14:paraId="6FF22A7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20" w:type="pct"/>
                  <w:noWrap w:val="0"/>
                  <w:vAlign w:val="center"/>
                </w:tcPr>
                <w:p w14:paraId="119F939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1897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14:paraId="2A3BBD5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415" w:type="pct"/>
                  <w:noWrap w:val="0"/>
                  <w:vAlign w:val="center"/>
                </w:tcPr>
                <w:p w14:paraId="3A3616D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3ABB992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53C7FA9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70A45F0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44912CE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3B2D62B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7E0C56C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6123EA7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1DADEDC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8" w:type="pct"/>
                  <w:noWrap w:val="0"/>
                  <w:vAlign w:val="center"/>
                </w:tcPr>
                <w:p w14:paraId="608DD95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20" w:type="pct"/>
                  <w:noWrap w:val="0"/>
                  <w:vAlign w:val="center"/>
                </w:tcPr>
                <w:p w14:paraId="2669CC5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0197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14:paraId="738D2D1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w:t>
                  </w:r>
                </w:p>
              </w:tc>
              <w:tc>
                <w:tcPr>
                  <w:tcW w:w="415" w:type="pct"/>
                  <w:noWrap w:val="0"/>
                  <w:vAlign w:val="center"/>
                </w:tcPr>
                <w:p w14:paraId="2E6CE8B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17B908C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30AB197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43E403A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14BD9E9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4984F79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1DD195C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1642C7F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0549ECE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8" w:type="pct"/>
                  <w:noWrap w:val="0"/>
                  <w:vAlign w:val="center"/>
                </w:tcPr>
                <w:p w14:paraId="00BF509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20" w:type="pct"/>
                  <w:noWrap w:val="0"/>
                  <w:vAlign w:val="center"/>
                </w:tcPr>
                <w:p w14:paraId="443EEA7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5D76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14:paraId="7291880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415" w:type="pct"/>
                  <w:noWrap w:val="0"/>
                  <w:vAlign w:val="center"/>
                </w:tcPr>
                <w:p w14:paraId="6038B61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5F3345B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5FCD1BE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5D72CE8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411FA07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503C757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13FA739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1444097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6" w:type="pct"/>
                  <w:noWrap w:val="0"/>
                  <w:vAlign w:val="center"/>
                </w:tcPr>
                <w:p w14:paraId="698EEC4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18" w:type="pct"/>
                  <w:noWrap w:val="0"/>
                  <w:vAlign w:val="center"/>
                </w:tcPr>
                <w:p w14:paraId="352E386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20" w:type="pct"/>
                  <w:noWrap w:val="0"/>
                  <w:vAlign w:val="center"/>
                </w:tcPr>
                <w:p w14:paraId="650E59D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bl>
          <w:p w14:paraId="34CBE6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Times New Roman" w:cs="Times New Roman"/>
                <w:bCs/>
                <w:color w:val="auto"/>
                <w:spacing w:val="10"/>
                <w:sz w:val="18"/>
                <w:szCs w:val="18"/>
                <w:highlight w:val="none"/>
              </w:rPr>
            </w:pPr>
            <w:r>
              <w:rPr>
                <w:rFonts w:ascii="Times New Roman" w:hAnsi="Times New Roman" w:eastAsia="宋体" w:cs="Times New Roman"/>
                <w:b/>
                <w:color w:val="auto"/>
                <w:sz w:val="18"/>
                <w:szCs w:val="18"/>
                <w:highlight w:val="none"/>
              </w:rPr>
              <w:t>注：</w:t>
            </w:r>
            <w:r>
              <w:rPr>
                <w:rFonts w:ascii="Times New Roman" w:hAnsi="Times New Roman" w:eastAsia="Times New Roman" w:cs="Times New Roman"/>
                <w:color w:val="auto"/>
                <w:sz w:val="18"/>
                <w:szCs w:val="18"/>
                <w:highlight w:val="none"/>
              </w:rPr>
              <w:t>1</w:t>
            </w: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pacing w:val="10"/>
                <w:sz w:val="18"/>
                <w:szCs w:val="18"/>
                <w:highlight w:val="none"/>
              </w:rPr>
              <w:t>带</w:t>
            </w:r>
            <w:r>
              <w:rPr>
                <w:rFonts w:ascii="Times New Roman" w:hAnsi="Times New Roman" w:eastAsia="Times New Roman" w:cs="Times New Roman"/>
                <w:bCs/>
                <w:color w:val="auto"/>
                <w:spacing w:val="10"/>
                <w:sz w:val="18"/>
                <w:szCs w:val="18"/>
                <w:highlight w:val="none"/>
              </w:rPr>
              <w:t>*</w:t>
            </w:r>
            <w:r>
              <w:rPr>
                <w:rFonts w:ascii="Times New Roman" w:hAnsi="Times New Roman" w:eastAsia="宋体" w:cs="Times New Roman"/>
                <w:bCs/>
                <w:color w:val="auto"/>
                <w:spacing w:val="10"/>
                <w:sz w:val="18"/>
                <w:szCs w:val="18"/>
                <w:highlight w:val="none"/>
              </w:rPr>
              <w:t>的监测站位表示该站沉积物采集原始双平行样，结果取其均值参加统计计算；</w:t>
            </w:r>
          </w:p>
          <w:p w14:paraId="5E2E2C80">
            <w:pPr>
              <w:keepNext w:val="0"/>
              <w:keepLines w:val="0"/>
              <w:pageBreakBefore w:val="0"/>
              <w:widowControl w:val="0"/>
              <w:kinsoku/>
              <w:wordWrap/>
              <w:overflowPunct/>
              <w:topLinePunct w:val="0"/>
              <w:autoSpaceDE/>
              <w:autoSpaceDN/>
              <w:bidi w:val="0"/>
              <w:adjustRightInd w:val="0"/>
              <w:snapToGrid w:val="0"/>
              <w:spacing w:line="240" w:lineRule="auto"/>
              <w:ind w:firstLine="360" w:firstLineChars="200"/>
              <w:textAlignment w:val="auto"/>
              <w:outlineLvl w:val="9"/>
              <w:rPr>
                <w:rFonts w:ascii="Times New Roman" w:hAnsi="Times New Roman" w:eastAsia="宋体" w:cs="Times New Roman"/>
                <w:color w:val="auto"/>
                <w:sz w:val="18"/>
                <w:szCs w:val="18"/>
                <w:highlight w:val="none"/>
              </w:rPr>
            </w:pPr>
            <w:bookmarkStart w:id="41" w:name="_Toc23452"/>
            <w:r>
              <w:rPr>
                <w:rFonts w:ascii="Times New Roman" w:hAnsi="Times New Roman" w:eastAsia="Times New Roman" w:cs="Times New Roman"/>
                <w:color w:val="auto"/>
                <w:sz w:val="18"/>
                <w:szCs w:val="18"/>
                <w:highlight w:val="none"/>
              </w:rPr>
              <w:t>2</w:t>
            </w:r>
            <w:r>
              <w:rPr>
                <w:rFonts w:ascii="Times New Roman" w:hAnsi="Times New Roman" w:eastAsia="宋体" w:cs="Times New Roman"/>
                <w:color w:val="auto"/>
                <w:sz w:val="18"/>
                <w:szCs w:val="18"/>
                <w:highlight w:val="none"/>
              </w:rPr>
              <w:t>、表中</w:t>
            </w:r>
            <w:r>
              <w:rPr>
                <w:rFonts w:ascii="Times New Roman" w:hAnsi="Times New Roman" w:eastAsia="Times New Roman" w:cs="Times New Roman"/>
                <w:color w:val="auto"/>
                <w:sz w:val="18"/>
                <w:szCs w:val="18"/>
                <w:highlight w:val="none"/>
              </w:rPr>
              <w:t>“</w:t>
            </w:r>
            <w:r>
              <w:rPr>
                <w:rFonts w:hint="eastAsia" w:ascii="Times New Roman" w:hAnsi="Times New Roman" w:eastAsia="宋体" w:cs="Times New Roman"/>
                <w:color w:val="auto"/>
                <w:sz w:val="18"/>
                <w:szCs w:val="18"/>
                <w:highlight w:val="none"/>
                <w:lang w:eastAsia="zh-CN"/>
              </w:rPr>
              <w:t>〈</w:t>
            </w:r>
            <w:r>
              <w:rPr>
                <w:rFonts w:ascii="Times New Roman" w:hAnsi="Times New Roman" w:eastAsia="Times New Roman" w:cs="Times New Roman"/>
                <w:color w:val="auto"/>
                <w:sz w:val="18"/>
                <w:szCs w:val="18"/>
                <w:highlight w:val="none"/>
              </w:rPr>
              <w:t>”</w:t>
            </w:r>
            <w:r>
              <w:rPr>
                <w:rFonts w:ascii="Times New Roman" w:hAnsi="Times New Roman" w:eastAsia="宋体" w:cs="Times New Roman"/>
                <w:color w:val="auto"/>
                <w:sz w:val="18"/>
                <w:szCs w:val="18"/>
                <w:highlight w:val="none"/>
              </w:rPr>
              <w:t>表示该站位该检测项目低于检出限；</w:t>
            </w:r>
            <w:bookmarkEnd w:id="41"/>
          </w:p>
          <w:p w14:paraId="504A7C92">
            <w:pPr>
              <w:keepNext w:val="0"/>
              <w:keepLines w:val="0"/>
              <w:pageBreakBefore w:val="0"/>
              <w:widowControl w:val="0"/>
              <w:kinsoku/>
              <w:wordWrap/>
              <w:overflowPunct/>
              <w:topLinePunct w:val="0"/>
              <w:autoSpaceDE/>
              <w:autoSpaceDN/>
              <w:bidi w:val="0"/>
              <w:adjustRightInd w:val="0"/>
              <w:snapToGrid w:val="0"/>
              <w:spacing w:line="240" w:lineRule="auto"/>
              <w:ind w:firstLine="360" w:firstLineChars="200"/>
              <w:textAlignment w:val="auto"/>
              <w:outlineLvl w:val="9"/>
              <w:rPr>
                <w:rFonts w:ascii="Times New Roman" w:hAnsi="Times New Roman" w:eastAsia="宋体" w:cs="Times New Roman"/>
                <w:color w:val="auto"/>
                <w:sz w:val="18"/>
                <w:szCs w:val="18"/>
                <w:highlight w:val="none"/>
              </w:rPr>
            </w:pPr>
            <w:r>
              <w:rPr>
                <w:rFonts w:ascii="Times New Roman" w:hAnsi="Times New Roman" w:eastAsia="Times New Roman" w:cs="Times New Roman"/>
                <w:color w:val="auto"/>
                <w:sz w:val="18"/>
                <w:szCs w:val="18"/>
                <w:highlight w:val="none"/>
              </w:rPr>
              <w:t>3</w:t>
            </w:r>
            <w:r>
              <w:rPr>
                <w:rFonts w:ascii="Times New Roman" w:hAnsi="Times New Roman" w:eastAsia="宋体" w:cs="Times New Roman"/>
                <w:color w:val="auto"/>
                <w:sz w:val="18"/>
                <w:szCs w:val="18"/>
                <w:highlight w:val="none"/>
              </w:rPr>
              <w:t>、低于检出限的，未检出部分分别取检出限的</w:t>
            </w:r>
            <w:r>
              <w:rPr>
                <w:rFonts w:ascii="Times New Roman" w:hAnsi="Times New Roman" w:eastAsia="Times New Roman" w:cs="Times New Roman"/>
                <w:color w:val="auto"/>
                <w:sz w:val="18"/>
                <w:szCs w:val="18"/>
                <w:highlight w:val="none"/>
              </w:rPr>
              <w:t>1/2</w:t>
            </w:r>
            <w:r>
              <w:rPr>
                <w:rFonts w:ascii="Times New Roman" w:hAnsi="Times New Roman" w:eastAsia="宋体" w:cs="Times New Roman"/>
                <w:color w:val="auto"/>
                <w:sz w:val="18"/>
                <w:szCs w:val="18"/>
                <w:highlight w:val="none"/>
              </w:rPr>
              <w:t>参加统计计算。</w:t>
            </w:r>
          </w:p>
          <w:p w14:paraId="49667214">
            <w:pPr>
              <w:bidi w:val="0"/>
              <w:ind w:firstLine="1440"/>
              <w:rPr>
                <w:rFonts w:ascii="Times New Roman" w:hAnsi="Times New Roman" w:eastAsia="宋体" w:cs="Times New Roman"/>
                <w:color w:val="auto"/>
                <w:szCs w:val="24"/>
                <w:highlight w:val="none"/>
              </w:rPr>
            </w:pPr>
          </w:p>
          <w:p w14:paraId="6022320D">
            <w:pPr>
              <w:keepNext/>
              <w:keepLines/>
              <w:widowControl w:val="0"/>
              <w:numPr>
                <w:ilvl w:val="0"/>
                <w:numId w:val="0"/>
              </w:numPr>
              <w:tabs>
                <w:tab w:val="left" w:pos="0"/>
              </w:tabs>
              <w:bidi w:val="0"/>
              <w:adjustRightInd w:val="0"/>
              <w:snapToGrid w:val="0"/>
              <w:spacing w:line="240" w:lineRule="auto"/>
              <w:ind w:leftChars="0"/>
              <w:jc w:val="center"/>
              <w:outlineLvl w:val="4"/>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表3.1-20   2024年秋季项目海洋沉积物监测结果标准指数统计表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345"/>
              <w:gridCol w:w="936"/>
              <w:gridCol w:w="936"/>
              <w:gridCol w:w="936"/>
              <w:gridCol w:w="1114"/>
              <w:gridCol w:w="936"/>
              <w:gridCol w:w="936"/>
              <w:gridCol w:w="936"/>
              <w:gridCol w:w="936"/>
              <w:gridCol w:w="936"/>
              <w:gridCol w:w="1187"/>
            </w:tblGrid>
            <w:tr w14:paraId="59C9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63" w:type="pct"/>
                  <w:vMerge w:val="restart"/>
                  <w:noWrap w:val="0"/>
                  <w:vAlign w:val="center"/>
                </w:tcPr>
                <w:p w14:paraId="2ACF1EEE">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w:t>
                  </w:r>
                </w:p>
                <w:p w14:paraId="7A18B32D">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站位</w:t>
                  </w:r>
                </w:p>
              </w:tc>
              <w:tc>
                <w:tcPr>
                  <w:tcW w:w="536" w:type="pct"/>
                  <w:vMerge w:val="restart"/>
                  <w:noWrap w:val="0"/>
                  <w:vAlign w:val="center"/>
                </w:tcPr>
                <w:p w14:paraId="3D5162B9">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执行标准</w:t>
                  </w:r>
                </w:p>
              </w:tc>
              <w:tc>
                <w:tcPr>
                  <w:tcW w:w="3902" w:type="pct"/>
                  <w:gridSpan w:val="10"/>
                  <w:noWrap w:val="0"/>
                  <w:vAlign w:val="center"/>
                </w:tcPr>
                <w:p w14:paraId="43328EF1">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单项标准指数</w:t>
                  </w:r>
                  <w:r>
                    <w:rPr>
                      <w:rFonts w:hint="default" w:ascii="Times New Roman" w:hAnsi="Times New Roman" w:eastAsia="宋体" w:cs="Times New Roman"/>
                      <w:b/>
                      <w:bCs/>
                      <w:i/>
                      <w:color w:val="auto"/>
                      <w:kern w:val="0"/>
                      <w:sz w:val="21"/>
                      <w:szCs w:val="21"/>
                      <w:highlight w:val="none"/>
                    </w:rPr>
                    <w:t>P</w:t>
                  </w:r>
                  <w:r>
                    <w:rPr>
                      <w:rFonts w:hint="default" w:ascii="Times New Roman" w:hAnsi="Times New Roman" w:eastAsia="宋体" w:cs="Times New Roman"/>
                      <w:b/>
                      <w:bCs/>
                      <w:i/>
                      <w:color w:val="auto"/>
                      <w:kern w:val="0"/>
                      <w:sz w:val="21"/>
                      <w:szCs w:val="21"/>
                      <w:highlight w:val="none"/>
                      <w:vertAlign w:val="subscript"/>
                    </w:rPr>
                    <w:t>i</w:t>
                  </w:r>
                </w:p>
              </w:tc>
            </w:tr>
            <w:tr w14:paraId="2CEB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63" w:type="pct"/>
                  <w:vMerge w:val="continue"/>
                  <w:noWrap w:val="0"/>
                  <w:vAlign w:val="center"/>
                </w:tcPr>
                <w:p w14:paraId="2F7081F9">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p>
              </w:tc>
              <w:tc>
                <w:tcPr>
                  <w:tcW w:w="536" w:type="pct"/>
                  <w:vMerge w:val="continue"/>
                  <w:noWrap w:val="0"/>
                  <w:vAlign w:val="top"/>
                </w:tcPr>
                <w:p w14:paraId="4E7B6DAB">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p>
              </w:tc>
              <w:tc>
                <w:tcPr>
                  <w:tcW w:w="373" w:type="pct"/>
                  <w:noWrap w:val="0"/>
                  <w:vAlign w:val="center"/>
                </w:tcPr>
                <w:p w14:paraId="056B865B">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石油类</w:t>
                  </w:r>
                </w:p>
              </w:tc>
              <w:tc>
                <w:tcPr>
                  <w:tcW w:w="373" w:type="pct"/>
                  <w:noWrap w:val="0"/>
                  <w:vAlign w:val="center"/>
                </w:tcPr>
                <w:p w14:paraId="01B17129">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硫化物</w:t>
                  </w:r>
                </w:p>
              </w:tc>
              <w:tc>
                <w:tcPr>
                  <w:tcW w:w="373" w:type="pct"/>
                  <w:noWrap w:val="0"/>
                  <w:vAlign w:val="center"/>
                </w:tcPr>
                <w:p w14:paraId="46589DEF">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有机碳</w:t>
                  </w:r>
                </w:p>
              </w:tc>
              <w:tc>
                <w:tcPr>
                  <w:tcW w:w="444" w:type="pct"/>
                  <w:noWrap w:val="0"/>
                  <w:vAlign w:val="center"/>
                </w:tcPr>
                <w:p w14:paraId="7C9F1B78">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总汞</w:t>
                  </w:r>
                </w:p>
              </w:tc>
              <w:tc>
                <w:tcPr>
                  <w:tcW w:w="373" w:type="pct"/>
                  <w:noWrap w:val="0"/>
                  <w:vAlign w:val="center"/>
                </w:tcPr>
                <w:p w14:paraId="696AEAEB">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砷</w:t>
                  </w:r>
                </w:p>
              </w:tc>
              <w:tc>
                <w:tcPr>
                  <w:tcW w:w="373" w:type="pct"/>
                  <w:noWrap w:val="0"/>
                  <w:vAlign w:val="center"/>
                </w:tcPr>
                <w:p w14:paraId="1B9B7B8B">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铜</w:t>
                  </w:r>
                </w:p>
              </w:tc>
              <w:tc>
                <w:tcPr>
                  <w:tcW w:w="373" w:type="pct"/>
                  <w:noWrap w:val="0"/>
                  <w:vAlign w:val="center"/>
                </w:tcPr>
                <w:p w14:paraId="041DF86F">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锌</w:t>
                  </w:r>
                </w:p>
              </w:tc>
              <w:tc>
                <w:tcPr>
                  <w:tcW w:w="373" w:type="pct"/>
                  <w:noWrap w:val="0"/>
                  <w:vAlign w:val="center"/>
                </w:tcPr>
                <w:p w14:paraId="4DA38AC6">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铅</w:t>
                  </w:r>
                </w:p>
              </w:tc>
              <w:tc>
                <w:tcPr>
                  <w:tcW w:w="373" w:type="pct"/>
                  <w:noWrap w:val="0"/>
                  <w:vAlign w:val="center"/>
                </w:tcPr>
                <w:p w14:paraId="5F50177E">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镉</w:t>
                  </w:r>
                </w:p>
              </w:tc>
              <w:tc>
                <w:tcPr>
                  <w:tcW w:w="473" w:type="pct"/>
                  <w:noWrap w:val="0"/>
                  <w:vAlign w:val="center"/>
                </w:tcPr>
                <w:p w14:paraId="038BC64E">
                  <w:pPr>
                    <w:keepNext w:val="0"/>
                    <w:keepLines w:val="0"/>
                    <w:pageBreakBefore w:val="0"/>
                    <w:tabs>
                      <w:tab w:val="left" w:pos="-120"/>
                    </w:tabs>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铬</w:t>
                  </w:r>
                </w:p>
              </w:tc>
            </w:tr>
            <w:tr w14:paraId="64A0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1D2BFFF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536" w:type="pct"/>
                  <w:noWrap w:val="0"/>
                  <w:vAlign w:val="center"/>
                </w:tcPr>
                <w:p w14:paraId="75EFD94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一类</w:t>
                  </w:r>
                </w:p>
              </w:tc>
              <w:tc>
                <w:tcPr>
                  <w:tcW w:w="373" w:type="pct"/>
                  <w:noWrap w:val="0"/>
                  <w:vAlign w:val="center"/>
                </w:tcPr>
                <w:p w14:paraId="6D79ECF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59BB0A3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095DEC2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44" w:type="pct"/>
                  <w:noWrap w:val="0"/>
                  <w:vAlign w:val="center"/>
                </w:tcPr>
                <w:p w14:paraId="6E9C78F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4A6C7C8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3EC0FF1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1761769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6B850E3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600CA0F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73" w:type="pct"/>
                  <w:noWrap w:val="0"/>
                  <w:vAlign w:val="center"/>
                </w:tcPr>
                <w:p w14:paraId="091A0C0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7C99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4789701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536" w:type="pct"/>
                  <w:noWrap w:val="0"/>
                  <w:vAlign w:val="center"/>
                </w:tcPr>
                <w:p w14:paraId="663F862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一类</w:t>
                  </w:r>
                </w:p>
              </w:tc>
              <w:tc>
                <w:tcPr>
                  <w:tcW w:w="373" w:type="pct"/>
                  <w:noWrap w:val="0"/>
                  <w:vAlign w:val="center"/>
                </w:tcPr>
                <w:p w14:paraId="4B62070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2F956D0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12FAC84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44" w:type="pct"/>
                  <w:noWrap w:val="0"/>
                  <w:vAlign w:val="center"/>
                </w:tcPr>
                <w:p w14:paraId="2B8BBC6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3080F44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44702E3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5732F87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3C37394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56B3DD1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73" w:type="pct"/>
                  <w:noWrap w:val="0"/>
                  <w:vAlign w:val="center"/>
                </w:tcPr>
                <w:p w14:paraId="3E1C7D0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447C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27E7672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536" w:type="pct"/>
                  <w:noWrap w:val="0"/>
                  <w:vAlign w:val="center"/>
                </w:tcPr>
                <w:p w14:paraId="11DD06C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一类</w:t>
                  </w:r>
                </w:p>
              </w:tc>
              <w:tc>
                <w:tcPr>
                  <w:tcW w:w="373" w:type="pct"/>
                  <w:noWrap w:val="0"/>
                  <w:vAlign w:val="center"/>
                </w:tcPr>
                <w:p w14:paraId="451EDAC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08EF0C1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656E54C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44" w:type="pct"/>
                  <w:noWrap w:val="0"/>
                  <w:vAlign w:val="center"/>
                </w:tcPr>
                <w:p w14:paraId="12032AE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3E08F46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43F0C13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1F59693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77B5781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3D5E9FE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73" w:type="pct"/>
                  <w:noWrap w:val="0"/>
                  <w:vAlign w:val="center"/>
                </w:tcPr>
                <w:p w14:paraId="70C5159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044E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7D43881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536" w:type="pct"/>
                  <w:noWrap w:val="0"/>
                  <w:vAlign w:val="center"/>
                </w:tcPr>
                <w:p w14:paraId="50FB473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一类</w:t>
                  </w:r>
                </w:p>
              </w:tc>
              <w:tc>
                <w:tcPr>
                  <w:tcW w:w="373" w:type="pct"/>
                  <w:noWrap w:val="0"/>
                  <w:vAlign w:val="center"/>
                </w:tcPr>
                <w:p w14:paraId="0AC62F9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1B8CCC4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34D7950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44" w:type="pct"/>
                  <w:noWrap w:val="0"/>
                  <w:vAlign w:val="center"/>
                </w:tcPr>
                <w:p w14:paraId="2243B5C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044A22F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0A1C6AE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0DA033E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602FE12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014E70B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73" w:type="pct"/>
                  <w:noWrap w:val="0"/>
                  <w:vAlign w:val="center"/>
                </w:tcPr>
                <w:p w14:paraId="765F88E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6EAA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100F2B3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536" w:type="pct"/>
                  <w:noWrap w:val="0"/>
                  <w:vAlign w:val="center"/>
                </w:tcPr>
                <w:p w14:paraId="0E3D6B8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一类</w:t>
                  </w:r>
                </w:p>
              </w:tc>
              <w:tc>
                <w:tcPr>
                  <w:tcW w:w="373" w:type="pct"/>
                  <w:noWrap w:val="0"/>
                  <w:vAlign w:val="center"/>
                </w:tcPr>
                <w:p w14:paraId="2D1F4A2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038EB3A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299D26C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44" w:type="pct"/>
                  <w:noWrap w:val="0"/>
                  <w:vAlign w:val="center"/>
                </w:tcPr>
                <w:p w14:paraId="47FD06E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5E14E66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0B1CB06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636D995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4A18857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6769DC3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73" w:type="pct"/>
                  <w:noWrap w:val="0"/>
                  <w:vAlign w:val="center"/>
                </w:tcPr>
                <w:p w14:paraId="3FBB956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1E1A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51AD231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w:t>
                  </w:r>
                </w:p>
              </w:tc>
              <w:tc>
                <w:tcPr>
                  <w:tcW w:w="536" w:type="pct"/>
                  <w:noWrap w:val="0"/>
                  <w:vAlign w:val="center"/>
                </w:tcPr>
                <w:p w14:paraId="1851E0A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二类</w:t>
                  </w:r>
                </w:p>
              </w:tc>
              <w:tc>
                <w:tcPr>
                  <w:tcW w:w="373" w:type="pct"/>
                  <w:noWrap w:val="0"/>
                  <w:vAlign w:val="center"/>
                </w:tcPr>
                <w:p w14:paraId="390D1C5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5086E5C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248E1B4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44" w:type="pct"/>
                  <w:noWrap w:val="0"/>
                  <w:vAlign w:val="center"/>
                </w:tcPr>
                <w:p w14:paraId="5796B00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5CC8BCD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567A5DB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65279B0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45DE95E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22CF200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73" w:type="pct"/>
                  <w:noWrap w:val="0"/>
                  <w:vAlign w:val="center"/>
                </w:tcPr>
                <w:p w14:paraId="5D4696C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0CBF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7F2DCFA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536" w:type="pct"/>
                  <w:noWrap w:val="0"/>
                  <w:vAlign w:val="center"/>
                </w:tcPr>
                <w:p w14:paraId="16FE47F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一类</w:t>
                  </w:r>
                </w:p>
              </w:tc>
              <w:tc>
                <w:tcPr>
                  <w:tcW w:w="373" w:type="pct"/>
                  <w:noWrap w:val="0"/>
                  <w:vAlign w:val="center"/>
                </w:tcPr>
                <w:p w14:paraId="02A87E3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5D7DCA0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2FFB697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44" w:type="pct"/>
                  <w:noWrap w:val="0"/>
                  <w:vAlign w:val="center"/>
                </w:tcPr>
                <w:p w14:paraId="3009F7B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681081D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7C1E32B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4BECFC1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695E9AC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67ACBC6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73" w:type="pct"/>
                  <w:noWrap w:val="0"/>
                  <w:vAlign w:val="center"/>
                </w:tcPr>
                <w:p w14:paraId="2C5367D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27BC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2AC5002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536" w:type="pct"/>
                  <w:noWrap w:val="0"/>
                  <w:vAlign w:val="center"/>
                </w:tcPr>
                <w:p w14:paraId="0B08D68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一类</w:t>
                  </w:r>
                </w:p>
              </w:tc>
              <w:tc>
                <w:tcPr>
                  <w:tcW w:w="373" w:type="pct"/>
                  <w:noWrap w:val="0"/>
                  <w:vAlign w:val="center"/>
                </w:tcPr>
                <w:p w14:paraId="3D7C077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6B430AD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35CBF7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44" w:type="pct"/>
                  <w:noWrap w:val="0"/>
                  <w:vAlign w:val="center"/>
                </w:tcPr>
                <w:p w14:paraId="6544D13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04DFE8C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04BE316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2050969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110FD5A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7863DFB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73" w:type="pct"/>
                  <w:noWrap w:val="0"/>
                  <w:vAlign w:val="center"/>
                </w:tcPr>
                <w:p w14:paraId="20E2E80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4C03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2372770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w:t>
                  </w:r>
                </w:p>
              </w:tc>
              <w:tc>
                <w:tcPr>
                  <w:tcW w:w="536" w:type="pct"/>
                  <w:noWrap w:val="0"/>
                  <w:vAlign w:val="center"/>
                </w:tcPr>
                <w:p w14:paraId="372BE6C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一类</w:t>
                  </w:r>
                </w:p>
              </w:tc>
              <w:tc>
                <w:tcPr>
                  <w:tcW w:w="373" w:type="pct"/>
                  <w:noWrap w:val="0"/>
                  <w:vAlign w:val="center"/>
                </w:tcPr>
                <w:p w14:paraId="7D95DBA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2940F68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1D93321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44" w:type="pct"/>
                  <w:noWrap w:val="0"/>
                  <w:vAlign w:val="center"/>
                </w:tcPr>
                <w:p w14:paraId="244B50A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47ACDE2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78A4EEB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400065E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4762A6A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59CBB67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73" w:type="pct"/>
                  <w:noWrap w:val="0"/>
                  <w:vAlign w:val="center"/>
                </w:tcPr>
                <w:p w14:paraId="32D8F6B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30CB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3405054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536" w:type="pct"/>
                  <w:noWrap w:val="0"/>
                  <w:vAlign w:val="center"/>
                </w:tcPr>
                <w:p w14:paraId="6472CD9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二类</w:t>
                  </w:r>
                </w:p>
              </w:tc>
              <w:tc>
                <w:tcPr>
                  <w:tcW w:w="373" w:type="pct"/>
                  <w:noWrap w:val="0"/>
                  <w:vAlign w:val="center"/>
                </w:tcPr>
                <w:p w14:paraId="301787C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3A432E9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7CFAEC8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44" w:type="pct"/>
                  <w:noWrap w:val="0"/>
                  <w:vAlign w:val="center"/>
                </w:tcPr>
                <w:p w14:paraId="350C2C4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2822DDD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224EFC7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09F2A3E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6D2E4EC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153F818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73" w:type="pct"/>
                  <w:noWrap w:val="0"/>
                  <w:vAlign w:val="center"/>
                </w:tcPr>
                <w:p w14:paraId="3030D72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r w14:paraId="166A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8" w:type="pct"/>
                  <w:gridSpan w:val="2"/>
                  <w:noWrap w:val="0"/>
                  <w:vAlign w:val="center"/>
                </w:tcPr>
                <w:p w14:paraId="6F7C9F7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rPr>
                    <w:t>超标率%</w:t>
                  </w:r>
                </w:p>
              </w:tc>
              <w:tc>
                <w:tcPr>
                  <w:tcW w:w="373" w:type="pct"/>
                  <w:noWrap w:val="0"/>
                  <w:vAlign w:val="center"/>
                </w:tcPr>
                <w:p w14:paraId="35857F8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w:t>
                  </w:r>
                </w:p>
              </w:tc>
              <w:tc>
                <w:tcPr>
                  <w:tcW w:w="373" w:type="pct"/>
                  <w:noWrap w:val="0"/>
                  <w:vAlign w:val="center"/>
                </w:tcPr>
                <w:p w14:paraId="6B86648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1459C5F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44" w:type="pct"/>
                  <w:noWrap w:val="0"/>
                  <w:vAlign w:val="center"/>
                </w:tcPr>
                <w:p w14:paraId="1212E93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4268802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126AE70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4BE6115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5382FF0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373" w:type="pct"/>
                  <w:noWrap w:val="0"/>
                  <w:vAlign w:val="center"/>
                </w:tcPr>
                <w:p w14:paraId="12FC465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c>
                <w:tcPr>
                  <w:tcW w:w="473" w:type="pct"/>
                  <w:noWrap w:val="0"/>
                  <w:vAlign w:val="center"/>
                </w:tcPr>
                <w:p w14:paraId="4D8668A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highlight w:val="none"/>
                      <w:lang w:val="en-US" w:eastAsia="zh-CN"/>
                    </w:rPr>
                    <w:t>***</w:t>
                  </w:r>
                </w:p>
              </w:tc>
            </w:tr>
          </w:tbl>
          <w:p w14:paraId="59809CA2">
            <w:pPr>
              <w:keepNext w:val="0"/>
              <w:keepLines w:val="0"/>
              <w:pageBreakBefore w:val="0"/>
              <w:widowControl w:val="0"/>
              <w:kinsoku/>
              <w:wordWrap/>
              <w:overflowPunct/>
              <w:topLinePunct w:val="0"/>
              <w:autoSpaceDE/>
              <w:autoSpaceDN/>
              <w:bidi w:val="0"/>
              <w:adjustRightInd/>
              <w:snapToGrid/>
              <w:ind w:firstLine="361" w:firstLineChars="200"/>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b/>
                <w:color w:val="auto"/>
                <w:sz w:val="18"/>
                <w:szCs w:val="18"/>
                <w:highlight w:val="none"/>
              </w:rPr>
              <w:t>注：</w:t>
            </w:r>
            <w:r>
              <w:rPr>
                <w:rFonts w:ascii="Times New Roman" w:hAnsi="Times New Roman" w:eastAsia="宋体" w:cs="Times New Roman"/>
                <w:color w:val="auto"/>
                <w:sz w:val="18"/>
                <w:szCs w:val="18"/>
                <w:highlight w:val="none"/>
              </w:rPr>
              <w:t>低于检出限的，未检出部分分别取检出限的</w:t>
            </w:r>
            <w:r>
              <w:rPr>
                <w:rFonts w:ascii="Times New Roman" w:hAnsi="Times New Roman" w:eastAsia="Times New Roman" w:cs="Times New Roman"/>
                <w:color w:val="auto"/>
                <w:sz w:val="18"/>
                <w:szCs w:val="18"/>
                <w:highlight w:val="none"/>
              </w:rPr>
              <w:t>1/2</w:t>
            </w:r>
            <w:r>
              <w:rPr>
                <w:rFonts w:ascii="Times New Roman" w:hAnsi="Times New Roman" w:eastAsia="宋体" w:cs="Times New Roman"/>
                <w:color w:val="auto"/>
                <w:sz w:val="18"/>
                <w:szCs w:val="18"/>
                <w:highlight w:val="none"/>
              </w:rPr>
              <w:t>参加统计计算。</w:t>
            </w:r>
          </w:p>
          <w:p w14:paraId="186FF557">
            <w:pPr>
              <w:adjustRightInd w:val="0"/>
              <w:spacing w:line="360" w:lineRule="auto"/>
              <w:ind w:firstLine="480" w:firstLineChars="200"/>
              <w:rPr>
                <w:rFonts w:hint="eastAsia"/>
                <w:color w:val="auto"/>
                <w:sz w:val="24"/>
                <w:highlight w:val="none"/>
              </w:rPr>
            </w:pPr>
            <w:r>
              <w:rPr>
                <w:rFonts w:hint="eastAsia" w:ascii="Times New Roman" w:hAnsi="Times New Roman" w:eastAsia="宋体" w:cs="Times New Roman"/>
                <w:color w:val="auto"/>
                <w:sz w:val="24"/>
                <w:szCs w:val="21"/>
                <w:highlight w:val="none"/>
                <w:lang w:val="en-US" w:eastAsia="zh-CN"/>
              </w:rPr>
              <w:t>由监测结果可知，16号站位的铜超出</w:t>
            </w:r>
            <w:r>
              <w:rPr>
                <w:rFonts w:hint="eastAsia" w:ascii="Times New Roman" w:hAnsi="Times New Roman" w:eastAsia="宋体" w:cs="Times New Roman"/>
                <w:color w:val="auto"/>
                <w:sz w:val="24"/>
                <w:szCs w:val="21"/>
                <w:highlight w:val="none"/>
              </w:rPr>
              <w:t>《海洋沉积物质量》（GB18668-2002）中第一类</w:t>
            </w:r>
            <w:r>
              <w:rPr>
                <w:rFonts w:hint="eastAsia" w:ascii="Times New Roman" w:hAnsi="Times New Roman" w:eastAsia="宋体" w:cs="Times New Roman"/>
                <w:color w:val="auto"/>
                <w:sz w:val="24"/>
                <w:szCs w:val="21"/>
                <w:highlight w:val="none"/>
                <w:lang w:val="en-US" w:eastAsia="zh-CN"/>
              </w:rPr>
              <w:t>标准要求限值，符合</w:t>
            </w:r>
            <w:r>
              <w:rPr>
                <w:rFonts w:hint="eastAsia" w:ascii="Times New Roman" w:hAnsi="Times New Roman" w:eastAsia="宋体" w:cs="Times New Roman"/>
                <w:color w:val="auto"/>
                <w:sz w:val="24"/>
                <w:szCs w:val="21"/>
                <w:highlight w:val="none"/>
              </w:rPr>
              <w:t>第</w:t>
            </w:r>
            <w:r>
              <w:rPr>
                <w:rFonts w:hint="eastAsia" w:ascii="Times New Roman" w:hAnsi="Times New Roman" w:eastAsia="宋体" w:cs="Times New Roman"/>
                <w:color w:val="auto"/>
                <w:sz w:val="24"/>
                <w:szCs w:val="21"/>
                <w:highlight w:val="none"/>
                <w:lang w:val="en-US" w:eastAsia="zh-CN"/>
              </w:rPr>
              <w:t>二</w:t>
            </w:r>
            <w:r>
              <w:rPr>
                <w:rFonts w:hint="eastAsia" w:ascii="Times New Roman" w:hAnsi="Times New Roman" w:eastAsia="宋体" w:cs="Times New Roman"/>
                <w:color w:val="auto"/>
                <w:sz w:val="24"/>
                <w:szCs w:val="21"/>
                <w:highlight w:val="none"/>
              </w:rPr>
              <w:t>类</w:t>
            </w:r>
            <w:r>
              <w:rPr>
                <w:rFonts w:hint="eastAsia" w:ascii="Times New Roman" w:hAnsi="Times New Roman" w:eastAsia="宋体" w:cs="Times New Roman"/>
                <w:color w:val="auto"/>
                <w:sz w:val="24"/>
                <w:szCs w:val="21"/>
                <w:highlight w:val="none"/>
                <w:lang w:val="en-US" w:eastAsia="zh-CN"/>
              </w:rPr>
              <w:t>标准要求限值，其余各</w:t>
            </w:r>
            <w:r>
              <w:rPr>
                <w:rFonts w:hint="eastAsia" w:ascii="Times New Roman" w:hAnsi="Times New Roman" w:eastAsia="宋体" w:cs="Times New Roman"/>
                <w:color w:val="auto"/>
                <w:sz w:val="24"/>
                <w:szCs w:val="21"/>
                <w:highlight w:val="none"/>
              </w:rPr>
              <w:t>评价因子的标准指数均小于1</w:t>
            </w:r>
            <w:r>
              <w:rPr>
                <w:rFonts w:hint="eastAsia" w:ascii="Times New Roman" w:hAnsi="Times New Roman" w:eastAsia="宋体" w:cs="Times New Roman"/>
                <w:color w:val="auto"/>
                <w:sz w:val="24"/>
                <w:szCs w:val="21"/>
                <w:highlight w:val="none"/>
                <w:lang w:eastAsia="zh-CN"/>
              </w:rPr>
              <w:t>；</w:t>
            </w:r>
            <w:r>
              <w:rPr>
                <w:rFonts w:hint="eastAsia" w:ascii="Times New Roman" w:hAnsi="Times New Roman" w:eastAsia="宋体" w:cs="Times New Roman"/>
                <w:color w:val="auto"/>
                <w:sz w:val="24"/>
                <w:szCs w:val="21"/>
                <w:highlight w:val="none"/>
                <w:lang w:val="en-US" w:eastAsia="zh-CN"/>
              </w:rPr>
              <w:t>其余</w:t>
            </w:r>
            <w:r>
              <w:rPr>
                <w:rFonts w:hint="eastAsia" w:ascii="Times New Roman" w:hAnsi="Times New Roman" w:eastAsia="宋体" w:cs="Times New Roman"/>
                <w:color w:val="auto"/>
                <w:sz w:val="24"/>
                <w:szCs w:val="21"/>
                <w:highlight w:val="none"/>
              </w:rPr>
              <w:t>各站沉积物各评价因子均符合相应功能区标准的要求，调查区域沉积物质量</w:t>
            </w:r>
            <w:r>
              <w:rPr>
                <w:rFonts w:hint="eastAsia" w:ascii="Times New Roman" w:hAnsi="Times New Roman" w:eastAsia="宋体" w:cs="Times New Roman"/>
                <w:color w:val="auto"/>
                <w:sz w:val="24"/>
                <w:szCs w:val="21"/>
                <w:highlight w:val="none"/>
                <w:lang w:val="en-US" w:eastAsia="zh-CN"/>
              </w:rPr>
              <w:t>总体</w:t>
            </w:r>
            <w:r>
              <w:rPr>
                <w:rFonts w:hint="eastAsia" w:ascii="Times New Roman" w:hAnsi="Times New Roman" w:eastAsia="宋体" w:cs="Times New Roman"/>
                <w:color w:val="auto"/>
                <w:sz w:val="24"/>
                <w:szCs w:val="21"/>
                <w:highlight w:val="none"/>
              </w:rPr>
              <w:t>良好</w:t>
            </w:r>
            <w:r>
              <w:rPr>
                <w:rFonts w:hint="eastAsia" w:ascii="Times New Roman" w:hAnsi="Times New Roman" w:eastAsia="宋体" w:cs="Times New Roman"/>
                <w:color w:val="auto"/>
                <w:sz w:val="24"/>
                <w:szCs w:val="21"/>
                <w:highlight w:val="none"/>
                <w:lang w:eastAsia="zh-CN"/>
              </w:rPr>
              <w:t>。</w:t>
            </w:r>
            <w:r>
              <w:rPr>
                <w:rFonts w:hint="eastAsia" w:ascii="Times New Roman" w:hAnsi="Times New Roman" w:eastAsia="宋体" w:cs="Times New Roman"/>
                <w:color w:val="auto"/>
                <w:sz w:val="24"/>
                <w:szCs w:val="21"/>
                <w:highlight w:val="none"/>
                <w:lang w:val="en-US" w:eastAsia="zh-CN"/>
              </w:rPr>
              <w:t>16号点位靠近港口航运区，可能受船舶影响。</w:t>
            </w:r>
          </w:p>
          <w:p w14:paraId="0799B8F5">
            <w:pPr>
              <w:pStyle w:val="9"/>
              <w:rPr>
                <w:rFonts w:hint="eastAsia"/>
                <w:color w:val="auto"/>
                <w:sz w:val="24"/>
                <w:highlight w:val="none"/>
              </w:rPr>
            </w:pPr>
          </w:p>
        </w:tc>
      </w:tr>
    </w:tbl>
    <w:p w14:paraId="4CCA10E7">
      <w:pPr>
        <w:rPr>
          <w:color w:val="auto"/>
          <w:highlight w:val="none"/>
        </w:rPr>
        <w:sectPr>
          <w:pgSz w:w="16840" w:h="11907" w:orient="landscape"/>
          <w:pgMar w:top="1531" w:right="1701" w:bottom="1531" w:left="2127" w:header="851" w:footer="851" w:gutter="0"/>
          <w:cols w:space="720" w:num="1"/>
          <w:docGrid w:linePitch="312" w:charSpace="0"/>
        </w:sectPr>
      </w:pPr>
    </w:p>
    <w:p w14:paraId="501AC785">
      <w:pPr>
        <w:pStyle w:val="9"/>
        <w:rPr>
          <w:color w:val="auto"/>
          <w:highlight w:val="none"/>
        </w:rPr>
      </w:pPr>
    </w:p>
    <w:tbl>
      <w:tblPr>
        <w:tblStyle w:val="4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3"/>
        <w:gridCol w:w="8768"/>
      </w:tblGrid>
      <w:tr w14:paraId="7B658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62" w:type="pct"/>
            <w:noWrap w:val="0"/>
            <w:vAlign w:val="center"/>
          </w:tcPr>
          <w:p w14:paraId="4F306B97">
            <w:pPr>
              <w:adjustRightInd w:val="0"/>
              <w:snapToGrid w:val="0"/>
              <w:jc w:val="center"/>
              <w:rPr>
                <w:rFonts w:hint="eastAsia" w:ascii="宋体" w:hAnsi="宋体" w:cs="宋体"/>
                <w:color w:val="auto"/>
                <w:kern w:val="0"/>
                <w:sz w:val="24"/>
                <w:szCs w:val="21"/>
                <w:highlight w:val="none"/>
                <w:lang w:val="en-US" w:eastAsia="zh-CN"/>
              </w:rPr>
            </w:pPr>
          </w:p>
        </w:tc>
        <w:tc>
          <w:tcPr>
            <w:tcW w:w="4837" w:type="pct"/>
            <w:noWrap w:val="0"/>
            <w:vAlign w:val="center"/>
          </w:tcPr>
          <w:p w14:paraId="48F9F3D7">
            <w:pPr>
              <w:keepNext/>
              <w:keepLines/>
              <w:widowControl/>
              <w:numPr>
                <w:ilvl w:val="3"/>
                <w:numId w:val="12"/>
              </w:numPr>
              <w:bidi w:val="0"/>
              <w:adjustRightInd w:val="0"/>
              <w:snapToGrid w:val="0"/>
              <w:spacing w:line="360" w:lineRule="auto"/>
              <w:ind w:left="0" w:leftChars="0" w:firstLine="0" w:firstLineChars="0"/>
              <w:jc w:val="both"/>
              <w:outlineLvl w:val="3"/>
              <w:rPr>
                <w:rFonts w:ascii="Times New Roman" w:hAnsi="Times New Roman" w:eastAsia="黑体" w:cs="Times New Roman"/>
                <w:b/>
                <w:bCs/>
                <w:color w:val="auto"/>
                <w:kern w:val="2"/>
                <w:sz w:val="24"/>
                <w:szCs w:val="28"/>
                <w:highlight w:val="none"/>
                <w:lang w:val="en-US" w:eastAsia="zh-CN" w:bidi="ar-SA"/>
              </w:rPr>
            </w:pPr>
            <w:r>
              <w:rPr>
                <w:rFonts w:hint="eastAsia" w:ascii="Times New Roman" w:hAnsi="Times New Roman" w:eastAsia="黑体" w:cs="Times New Roman"/>
                <w:b/>
                <w:bCs/>
                <w:color w:val="auto"/>
                <w:kern w:val="2"/>
                <w:sz w:val="24"/>
                <w:szCs w:val="28"/>
                <w:highlight w:val="none"/>
                <w:lang w:val="en-US" w:eastAsia="zh-CN" w:bidi="ar-SA"/>
              </w:rPr>
              <w:t>海洋生态环境</w:t>
            </w:r>
          </w:p>
          <w:p w14:paraId="107ED15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秋季调查数据为于2024年9月11日—13日（1~21号站位）、10月16日—19日（22~42号站位）</w:t>
            </w:r>
            <w:r>
              <w:rPr>
                <w:rFonts w:hint="default" w:ascii="Times New Roman" w:hAnsi="Times New Roman" w:eastAsia="宋体" w:cs="Times New Roman"/>
                <w:color w:val="auto"/>
                <w:sz w:val="24"/>
                <w:szCs w:val="24"/>
                <w:highlight w:val="none"/>
              </w:rPr>
              <w:t>对项目区及附近海洋生态和生物资源（包括叶绿素a、浮游植物、浮游动物、底栖生物、潮间带生物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进行调查采样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共布</w:t>
            </w:r>
            <w:r>
              <w:rPr>
                <w:rFonts w:hint="default" w:ascii="Times New Roman" w:hAnsi="Times New Roman" w:eastAsia="宋体" w:cs="Times New Roman"/>
                <w:color w:val="auto"/>
                <w:sz w:val="24"/>
                <w:szCs w:val="24"/>
                <w:highlight w:val="none"/>
                <w:lang w:val="en-US" w:eastAsia="zh-CN"/>
              </w:rPr>
              <w:t>设</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个海洋生态测站、</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个潮间带调查断面。</w:t>
            </w:r>
          </w:p>
          <w:p w14:paraId="32AAAEA3">
            <w:pPr>
              <w:spacing w:line="360" w:lineRule="auto"/>
              <w:textAlignment w:val="baseline"/>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略</w:t>
            </w:r>
          </w:p>
          <w:p w14:paraId="797ACA1F">
            <w:pPr>
              <w:spacing w:line="360" w:lineRule="auto"/>
              <w:textAlignment w:val="baseline"/>
              <w:rPr>
                <w:rFonts w:hint="eastAsia"/>
                <w:b/>
                <w:color w:val="auto"/>
                <w:sz w:val="28"/>
                <w:szCs w:val="28"/>
                <w:highlight w:val="none"/>
                <w:u w:val="single"/>
                <w:lang w:val="en-US" w:eastAsia="zh-CN"/>
              </w:rPr>
            </w:pPr>
            <w:r>
              <w:rPr>
                <w:rFonts w:hint="eastAsia"/>
                <w:b/>
                <w:color w:val="auto"/>
                <w:sz w:val="28"/>
                <w:szCs w:val="28"/>
                <w:highlight w:val="none"/>
                <w:u w:val="single"/>
                <w:lang w:val="en-US" w:eastAsia="zh-CN"/>
              </w:rPr>
              <w:t>3.1.4疏浚物现状</w:t>
            </w:r>
          </w:p>
          <w:p w14:paraId="0C43C0BB">
            <w:pPr>
              <w:widowControl/>
              <w:spacing w:line="360" w:lineRule="auto"/>
              <w:ind w:firstLine="480" w:firstLineChars="200"/>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本章节资料引用《钦州港金谷港区金鼓江作业区19#泊位码头停泊及回旋水域清淤疏浚项目疏浚物海洋倾倒检测评价报告》调查监测成果进行分析评价，详见附件5。</w:t>
            </w:r>
          </w:p>
          <w:p w14:paraId="1038068C">
            <w:pPr>
              <w:keepNext/>
              <w:keepLines/>
              <w:pageBreakBefore w:val="0"/>
              <w:widowControl/>
              <w:numPr>
                <w:ilvl w:val="0"/>
                <w:numId w:val="0"/>
              </w:numPr>
              <w:tabs>
                <w:tab w:val="left" w:pos="0"/>
              </w:tabs>
              <w:kinsoku/>
              <w:wordWrap/>
              <w:overflowPunct/>
              <w:topLinePunct w:val="0"/>
              <w:autoSpaceDE/>
              <w:autoSpaceDN/>
              <w:bidi w:val="0"/>
              <w:adjustRightInd w:val="0"/>
              <w:snapToGrid w:val="0"/>
              <w:spacing w:line="360" w:lineRule="auto"/>
              <w:ind w:leftChars="200"/>
              <w:jc w:val="both"/>
              <w:textAlignment w:val="auto"/>
              <w:outlineLvl w:val="3"/>
              <w:rPr>
                <w:rFonts w:hint="eastAsia" w:ascii="Times New Roman" w:hAnsi="Times New Roman" w:eastAsia="黑体" w:cs="Times New Roman"/>
                <w:b/>
                <w:bCs/>
                <w:color w:val="auto"/>
                <w:kern w:val="2"/>
                <w:sz w:val="24"/>
                <w:szCs w:val="28"/>
                <w:highlight w:val="none"/>
                <w:u w:val="single"/>
                <w:lang w:val="en-US" w:eastAsia="zh-CN" w:bidi="ar-SA"/>
              </w:rPr>
            </w:pPr>
            <w:r>
              <w:rPr>
                <w:rFonts w:hint="eastAsia" w:ascii="Times New Roman" w:hAnsi="Times New Roman" w:eastAsia="黑体" w:cs="Times New Roman"/>
                <w:b/>
                <w:bCs/>
                <w:color w:val="auto"/>
                <w:kern w:val="2"/>
                <w:sz w:val="24"/>
                <w:szCs w:val="28"/>
                <w:highlight w:val="none"/>
                <w:u w:val="single"/>
                <w:lang w:val="en-US" w:eastAsia="zh-CN" w:bidi="ar-SA"/>
              </w:rPr>
              <w:t>3.1.4.1调查时间及点位</w:t>
            </w:r>
          </w:p>
          <w:p w14:paraId="24E34156">
            <w:pPr>
              <w:keepNext/>
              <w:keepLines/>
              <w:widowControl w:val="0"/>
              <w:numPr>
                <w:ilvl w:val="0"/>
                <w:numId w:val="0"/>
              </w:numPr>
              <w:tabs>
                <w:tab w:val="left" w:pos="0"/>
              </w:tabs>
              <w:bidi w:val="0"/>
              <w:adjustRightInd w:val="0"/>
              <w:snapToGrid w:val="0"/>
              <w:spacing w:line="360" w:lineRule="auto"/>
              <w:ind w:leftChars="0"/>
              <w:jc w:val="center"/>
              <w:outlineLvl w:val="4"/>
              <w:rPr>
                <w:rFonts w:hint="default" w:ascii="Times New Roman" w:hAnsi="Times New Roman" w:eastAsia="宋体" w:cs="Times New Roman"/>
                <w:b/>
                <w:bCs/>
                <w:color w:val="auto"/>
                <w:kern w:val="2"/>
                <w:sz w:val="21"/>
                <w:szCs w:val="21"/>
                <w:highlight w:val="none"/>
                <w:u w:val="single"/>
                <w:lang w:val="en-US" w:eastAsia="zh-CN" w:bidi="ar-SA"/>
              </w:rPr>
            </w:pPr>
            <w:r>
              <w:rPr>
                <w:rFonts w:hint="eastAsia" w:ascii="Times New Roman" w:hAnsi="Times New Roman" w:eastAsia="宋体" w:cs="Times New Roman"/>
                <w:b/>
                <w:bCs/>
                <w:color w:val="auto"/>
                <w:kern w:val="2"/>
                <w:sz w:val="21"/>
                <w:szCs w:val="21"/>
                <w:highlight w:val="none"/>
                <w:u w:val="single"/>
                <w:lang w:val="en-US" w:eastAsia="zh-CN" w:bidi="ar-SA"/>
              </w:rPr>
              <w:t>表3.1-38疏浚物</w:t>
            </w:r>
            <w:r>
              <w:rPr>
                <w:rFonts w:hint="eastAsia" w:cs="Times New Roman"/>
                <w:b/>
                <w:bCs/>
                <w:color w:val="auto"/>
                <w:kern w:val="2"/>
                <w:sz w:val="21"/>
                <w:szCs w:val="21"/>
                <w:highlight w:val="none"/>
                <w:u w:val="single"/>
                <w:lang w:val="en-US" w:eastAsia="zh-CN" w:bidi="ar-SA"/>
              </w:rPr>
              <w:t>监测点位</w:t>
            </w:r>
            <w:r>
              <w:rPr>
                <w:rFonts w:hint="eastAsia" w:ascii="Times New Roman" w:hAnsi="Times New Roman" w:eastAsia="宋体" w:cs="Times New Roman"/>
                <w:b/>
                <w:bCs/>
                <w:color w:val="auto"/>
                <w:kern w:val="2"/>
                <w:sz w:val="21"/>
                <w:szCs w:val="21"/>
                <w:highlight w:val="none"/>
                <w:u w:val="single"/>
                <w:lang w:val="en-US" w:eastAsia="zh-CN" w:bidi="ar-SA"/>
              </w:rPr>
              <w:t>及水深实测记录</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1758"/>
              <w:gridCol w:w="1889"/>
              <w:gridCol w:w="1061"/>
              <w:gridCol w:w="2238"/>
            </w:tblGrid>
            <w:tr w14:paraId="5B6A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3" w:type="pct"/>
                  <w:noWrap w:val="0"/>
                  <w:vAlign w:val="center"/>
                </w:tcPr>
                <w:p w14:paraId="057EC8B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hAnsi="Times New Roman" w:eastAsia="宋体" w:cs="Times New Roman"/>
                      <w:i w:val="0"/>
                      <w:iCs w:val="0"/>
                      <w:color w:val="auto"/>
                      <w:kern w:val="0"/>
                      <w:sz w:val="21"/>
                      <w:szCs w:val="21"/>
                      <w:highlight w:val="none"/>
                      <w:u w:val="single"/>
                      <w:lang w:val="en-US" w:eastAsia="zh-CN" w:bidi="ar"/>
                    </w:rPr>
                    <w:t>站点编号</w:t>
                  </w:r>
                </w:p>
              </w:tc>
              <w:tc>
                <w:tcPr>
                  <w:tcW w:w="1029" w:type="pct"/>
                  <w:noWrap w:val="0"/>
                  <w:vAlign w:val="center"/>
                </w:tcPr>
                <w:p w14:paraId="396E4D5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hAnsi="Times New Roman" w:eastAsia="宋体" w:cs="Times New Roman"/>
                      <w:i w:val="0"/>
                      <w:iCs w:val="0"/>
                      <w:color w:val="auto"/>
                      <w:kern w:val="0"/>
                      <w:sz w:val="21"/>
                      <w:szCs w:val="21"/>
                      <w:highlight w:val="none"/>
                      <w:u w:val="single"/>
                      <w:lang w:val="en-US" w:eastAsia="zh-CN" w:bidi="ar"/>
                    </w:rPr>
                    <w:t>经度</w:t>
                  </w:r>
                </w:p>
              </w:tc>
              <w:tc>
                <w:tcPr>
                  <w:tcW w:w="1106" w:type="pct"/>
                  <w:noWrap w:val="0"/>
                  <w:vAlign w:val="center"/>
                </w:tcPr>
                <w:p w14:paraId="21CFCFE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hAnsi="Times New Roman" w:eastAsia="宋体" w:cs="Times New Roman"/>
                      <w:i w:val="0"/>
                      <w:iCs w:val="0"/>
                      <w:color w:val="auto"/>
                      <w:kern w:val="0"/>
                      <w:sz w:val="21"/>
                      <w:szCs w:val="21"/>
                      <w:highlight w:val="none"/>
                      <w:u w:val="single"/>
                      <w:lang w:val="en-US" w:eastAsia="zh-CN" w:bidi="ar"/>
                    </w:rPr>
                    <w:t>纬度</w:t>
                  </w:r>
                </w:p>
              </w:tc>
              <w:tc>
                <w:tcPr>
                  <w:tcW w:w="621" w:type="pct"/>
                  <w:noWrap w:val="0"/>
                  <w:vAlign w:val="center"/>
                </w:tcPr>
                <w:p w14:paraId="1EC2851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hAnsi="Times New Roman" w:eastAsia="宋体" w:cs="Times New Roman"/>
                      <w:i w:val="0"/>
                      <w:iCs w:val="0"/>
                      <w:color w:val="auto"/>
                      <w:kern w:val="0"/>
                      <w:sz w:val="21"/>
                      <w:szCs w:val="21"/>
                      <w:highlight w:val="none"/>
                      <w:u w:val="single"/>
                      <w:lang w:val="en-US" w:eastAsia="zh-CN" w:bidi="ar"/>
                    </w:rPr>
                    <w:t>水深（m）</w:t>
                  </w:r>
                </w:p>
              </w:tc>
              <w:tc>
                <w:tcPr>
                  <w:tcW w:w="1308" w:type="pct"/>
                  <w:noWrap w:val="0"/>
                  <w:vAlign w:val="center"/>
                </w:tcPr>
                <w:p w14:paraId="5B43F47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hAnsi="Times New Roman" w:eastAsia="宋体" w:cs="Times New Roman"/>
                      <w:i w:val="0"/>
                      <w:iCs w:val="0"/>
                      <w:color w:val="auto"/>
                      <w:kern w:val="0"/>
                      <w:sz w:val="21"/>
                      <w:szCs w:val="21"/>
                      <w:highlight w:val="none"/>
                      <w:u w:val="single"/>
                      <w:lang w:val="en-US" w:eastAsia="zh-CN" w:bidi="ar"/>
                    </w:rPr>
                    <w:t>样品性状</w:t>
                  </w:r>
                </w:p>
              </w:tc>
            </w:tr>
            <w:tr w14:paraId="61AC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3" w:type="pct"/>
                  <w:noWrap w:val="0"/>
                  <w:vAlign w:val="top"/>
                </w:tcPr>
                <w:p w14:paraId="4B06FEE3">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default" w:ascii="Times New Roman" w:hAnsi="Times New Roman" w:eastAsia="宋体" w:cs="Times New Roman"/>
                      <w:color w:val="auto"/>
                      <w:spacing w:val="2"/>
                      <w:sz w:val="21"/>
                      <w:szCs w:val="21"/>
                      <w:u w:val="single"/>
                    </w:rPr>
                    <w:t>GQ7</w:t>
                  </w:r>
                </w:p>
              </w:tc>
              <w:tc>
                <w:tcPr>
                  <w:tcW w:w="1029" w:type="pct"/>
                  <w:noWrap w:val="0"/>
                  <w:vAlign w:val="top"/>
                </w:tcPr>
                <w:p w14:paraId="542AF4D1">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eastAsia" w:ascii="Times New Roman" w:hAnsi="Times New Roman" w:eastAsia="宋体" w:cs="Times New Roman"/>
                      <w:color w:val="auto"/>
                      <w:sz w:val="24"/>
                      <w:highlight w:val="none"/>
                      <w:lang w:val="en-US" w:eastAsia="zh-CN"/>
                    </w:rPr>
                    <w:t>***</w:t>
                  </w:r>
                </w:p>
              </w:tc>
              <w:tc>
                <w:tcPr>
                  <w:tcW w:w="1106" w:type="pct"/>
                  <w:noWrap w:val="0"/>
                  <w:vAlign w:val="top"/>
                </w:tcPr>
                <w:p w14:paraId="1B2F7B23">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eastAsia" w:ascii="Times New Roman" w:hAnsi="Times New Roman" w:eastAsia="宋体" w:cs="Times New Roman"/>
                      <w:color w:val="auto"/>
                      <w:sz w:val="24"/>
                      <w:highlight w:val="none"/>
                      <w:lang w:val="en-US" w:eastAsia="zh-CN"/>
                    </w:rPr>
                    <w:t>***</w:t>
                  </w:r>
                </w:p>
              </w:tc>
              <w:tc>
                <w:tcPr>
                  <w:tcW w:w="621" w:type="pct"/>
                  <w:noWrap w:val="0"/>
                  <w:vAlign w:val="top"/>
                </w:tcPr>
                <w:p w14:paraId="587B5AFB">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eastAsia" w:ascii="Times New Roman" w:hAnsi="Times New Roman" w:eastAsia="宋体" w:cs="Times New Roman"/>
                      <w:color w:val="auto"/>
                      <w:sz w:val="24"/>
                      <w:highlight w:val="none"/>
                      <w:lang w:val="en-US" w:eastAsia="zh-CN"/>
                    </w:rPr>
                    <w:t>***</w:t>
                  </w:r>
                </w:p>
              </w:tc>
              <w:tc>
                <w:tcPr>
                  <w:tcW w:w="1308" w:type="pct"/>
                  <w:noWrap w:val="0"/>
                  <w:vAlign w:val="top"/>
                </w:tcPr>
                <w:p w14:paraId="4E40F672">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eastAsia" w:ascii="Times New Roman" w:hAnsi="Times New Roman" w:eastAsia="宋体" w:cs="Times New Roman"/>
                      <w:color w:val="auto"/>
                      <w:sz w:val="24"/>
                      <w:highlight w:val="none"/>
                      <w:lang w:val="en-US" w:eastAsia="zh-CN"/>
                    </w:rPr>
                    <w:t>***</w:t>
                  </w:r>
                </w:p>
              </w:tc>
            </w:tr>
            <w:tr w14:paraId="1343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3" w:type="pct"/>
                  <w:noWrap w:val="0"/>
                  <w:vAlign w:val="top"/>
                </w:tcPr>
                <w:p w14:paraId="04ADB0FC">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default" w:ascii="Times New Roman" w:hAnsi="Times New Roman" w:eastAsia="宋体" w:cs="Times New Roman"/>
                      <w:color w:val="auto"/>
                      <w:spacing w:val="2"/>
                      <w:sz w:val="21"/>
                      <w:szCs w:val="21"/>
                      <w:u w:val="single"/>
                    </w:rPr>
                    <w:t>GQ8</w:t>
                  </w:r>
                </w:p>
              </w:tc>
              <w:tc>
                <w:tcPr>
                  <w:tcW w:w="1029" w:type="pct"/>
                  <w:noWrap w:val="0"/>
                  <w:vAlign w:val="top"/>
                </w:tcPr>
                <w:p w14:paraId="14EB0D27">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eastAsia" w:ascii="Times New Roman" w:hAnsi="Times New Roman" w:eastAsia="宋体" w:cs="Times New Roman"/>
                      <w:color w:val="auto"/>
                      <w:sz w:val="24"/>
                      <w:highlight w:val="none"/>
                      <w:lang w:val="en-US" w:eastAsia="zh-CN"/>
                    </w:rPr>
                    <w:t>***</w:t>
                  </w:r>
                </w:p>
              </w:tc>
              <w:tc>
                <w:tcPr>
                  <w:tcW w:w="1106" w:type="pct"/>
                  <w:noWrap w:val="0"/>
                  <w:vAlign w:val="top"/>
                </w:tcPr>
                <w:p w14:paraId="788B237E">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eastAsia" w:ascii="Times New Roman" w:hAnsi="Times New Roman" w:eastAsia="宋体" w:cs="Times New Roman"/>
                      <w:color w:val="auto"/>
                      <w:sz w:val="24"/>
                      <w:highlight w:val="none"/>
                      <w:lang w:val="en-US" w:eastAsia="zh-CN"/>
                    </w:rPr>
                    <w:t>***</w:t>
                  </w:r>
                </w:p>
              </w:tc>
              <w:tc>
                <w:tcPr>
                  <w:tcW w:w="621" w:type="pct"/>
                  <w:noWrap w:val="0"/>
                  <w:vAlign w:val="top"/>
                </w:tcPr>
                <w:p w14:paraId="4BED39A4">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eastAsia" w:ascii="Times New Roman" w:hAnsi="Times New Roman" w:eastAsia="宋体" w:cs="Times New Roman"/>
                      <w:color w:val="auto"/>
                      <w:sz w:val="24"/>
                      <w:highlight w:val="none"/>
                      <w:lang w:val="en-US" w:eastAsia="zh-CN"/>
                    </w:rPr>
                    <w:t>***</w:t>
                  </w:r>
                </w:p>
              </w:tc>
              <w:tc>
                <w:tcPr>
                  <w:tcW w:w="1308" w:type="pct"/>
                  <w:noWrap w:val="0"/>
                  <w:vAlign w:val="top"/>
                </w:tcPr>
                <w:p w14:paraId="4EF8511E">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eastAsia" w:ascii="Times New Roman" w:hAnsi="Times New Roman" w:eastAsia="宋体" w:cs="Times New Roman"/>
                      <w:color w:val="auto"/>
                      <w:sz w:val="24"/>
                      <w:highlight w:val="none"/>
                      <w:lang w:val="en-US" w:eastAsia="zh-CN"/>
                    </w:rPr>
                    <w:t>***</w:t>
                  </w:r>
                </w:p>
              </w:tc>
            </w:tr>
            <w:tr w14:paraId="5959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3" w:type="pct"/>
                  <w:noWrap w:val="0"/>
                  <w:vAlign w:val="top"/>
                </w:tcPr>
                <w:p w14:paraId="7FBC481B">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default" w:ascii="Times New Roman" w:hAnsi="Times New Roman" w:eastAsia="宋体" w:cs="Times New Roman"/>
                      <w:color w:val="auto"/>
                      <w:spacing w:val="2"/>
                      <w:sz w:val="21"/>
                      <w:szCs w:val="21"/>
                      <w:u w:val="single"/>
                    </w:rPr>
                    <w:t>GQ9（对照点）</w:t>
                  </w:r>
                </w:p>
              </w:tc>
              <w:tc>
                <w:tcPr>
                  <w:tcW w:w="1029" w:type="pct"/>
                  <w:noWrap w:val="0"/>
                  <w:vAlign w:val="top"/>
                </w:tcPr>
                <w:p w14:paraId="24667DAE">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eastAsia" w:ascii="Times New Roman" w:hAnsi="Times New Roman" w:eastAsia="宋体" w:cs="Times New Roman"/>
                      <w:color w:val="auto"/>
                      <w:sz w:val="24"/>
                      <w:highlight w:val="none"/>
                      <w:lang w:val="en-US" w:eastAsia="zh-CN"/>
                    </w:rPr>
                    <w:t>***</w:t>
                  </w:r>
                </w:p>
              </w:tc>
              <w:tc>
                <w:tcPr>
                  <w:tcW w:w="1106" w:type="pct"/>
                  <w:noWrap w:val="0"/>
                  <w:vAlign w:val="top"/>
                </w:tcPr>
                <w:p w14:paraId="381EC3BB">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eastAsia" w:ascii="Times New Roman" w:hAnsi="Times New Roman" w:eastAsia="宋体" w:cs="Times New Roman"/>
                      <w:color w:val="auto"/>
                      <w:sz w:val="24"/>
                      <w:highlight w:val="none"/>
                      <w:lang w:val="en-US" w:eastAsia="zh-CN"/>
                    </w:rPr>
                    <w:t>***</w:t>
                  </w:r>
                </w:p>
              </w:tc>
              <w:tc>
                <w:tcPr>
                  <w:tcW w:w="621" w:type="pct"/>
                  <w:noWrap w:val="0"/>
                  <w:vAlign w:val="top"/>
                </w:tcPr>
                <w:p w14:paraId="3946F802">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eastAsia" w:ascii="Times New Roman" w:hAnsi="Times New Roman" w:eastAsia="宋体" w:cs="Times New Roman"/>
                      <w:color w:val="auto"/>
                      <w:sz w:val="24"/>
                      <w:highlight w:val="none"/>
                      <w:lang w:val="en-US" w:eastAsia="zh-CN"/>
                    </w:rPr>
                    <w:t>***</w:t>
                  </w:r>
                </w:p>
              </w:tc>
              <w:tc>
                <w:tcPr>
                  <w:tcW w:w="1308" w:type="pct"/>
                  <w:noWrap w:val="0"/>
                  <w:vAlign w:val="top"/>
                </w:tcPr>
                <w:p w14:paraId="43716611">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color w:val="auto"/>
                      <w:spacing w:val="2"/>
                      <w:sz w:val="21"/>
                      <w:szCs w:val="21"/>
                      <w:u w:val="single"/>
                      <w:lang w:val="en-US" w:eastAsia="zh-CN"/>
                    </w:rPr>
                  </w:pPr>
                  <w:r>
                    <w:rPr>
                      <w:rFonts w:hint="eastAsia" w:ascii="Times New Roman" w:hAnsi="Times New Roman" w:eastAsia="宋体" w:cs="Times New Roman"/>
                      <w:color w:val="auto"/>
                      <w:sz w:val="24"/>
                      <w:highlight w:val="none"/>
                      <w:lang w:val="en-US" w:eastAsia="zh-CN"/>
                    </w:rPr>
                    <w:t>***</w:t>
                  </w:r>
                </w:p>
              </w:tc>
            </w:tr>
            <w:tr w14:paraId="724C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3" w:type="pct"/>
                  <w:noWrap w:val="0"/>
                  <w:vAlign w:val="center"/>
                </w:tcPr>
                <w:p w14:paraId="732DFEA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hAnsi="Times New Roman" w:eastAsia="宋体" w:cs="Times New Roman"/>
                      <w:i w:val="0"/>
                      <w:iCs w:val="0"/>
                      <w:color w:val="auto"/>
                      <w:kern w:val="0"/>
                      <w:sz w:val="21"/>
                      <w:szCs w:val="21"/>
                      <w:highlight w:val="none"/>
                      <w:u w:val="single"/>
                      <w:lang w:val="en-US" w:eastAsia="zh-CN" w:bidi="ar"/>
                    </w:rPr>
                    <w:t>其他情况记录</w:t>
                  </w:r>
                </w:p>
              </w:tc>
              <w:tc>
                <w:tcPr>
                  <w:tcW w:w="4066" w:type="pct"/>
                  <w:gridSpan w:val="4"/>
                  <w:noWrap w:val="0"/>
                  <w:vAlign w:val="center"/>
                </w:tcPr>
                <w:p w14:paraId="12CD59C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hAnsi="Times New Roman" w:eastAsia="宋体" w:cs="Times New Roman"/>
                      <w:i w:val="0"/>
                      <w:iCs w:val="0"/>
                      <w:color w:val="auto"/>
                      <w:kern w:val="0"/>
                      <w:sz w:val="21"/>
                      <w:szCs w:val="21"/>
                      <w:highlight w:val="none"/>
                      <w:u w:val="single"/>
                      <w:lang w:val="en-US" w:eastAsia="zh-CN" w:bidi="ar"/>
                    </w:rPr>
                    <w:t>GQ9为背景对照点</w:t>
                  </w:r>
                </w:p>
              </w:tc>
            </w:tr>
          </w:tbl>
          <w:p w14:paraId="7DC9AAB5">
            <w:pPr>
              <w:keepNext/>
              <w:keepLines/>
              <w:pageBreakBefore w:val="0"/>
              <w:widowControl/>
              <w:numPr>
                <w:ilvl w:val="0"/>
                <w:numId w:val="0"/>
              </w:numPr>
              <w:tabs>
                <w:tab w:val="left" w:pos="0"/>
              </w:tabs>
              <w:kinsoku/>
              <w:wordWrap/>
              <w:overflowPunct/>
              <w:topLinePunct w:val="0"/>
              <w:autoSpaceDE/>
              <w:autoSpaceDN/>
              <w:bidi w:val="0"/>
              <w:adjustRightInd w:val="0"/>
              <w:snapToGrid w:val="0"/>
              <w:spacing w:line="360" w:lineRule="auto"/>
              <w:ind w:leftChars="200"/>
              <w:jc w:val="both"/>
              <w:textAlignment w:val="auto"/>
              <w:outlineLvl w:val="3"/>
              <w:rPr>
                <w:rFonts w:hint="eastAsia" w:ascii="Times New Roman" w:hAnsi="Times New Roman" w:eastAsia="黑体" w:cs="Times New Roman"/>
                <w:b/>
                <w:bCs/>
                <w:color w:val="auto"/>
                <w:kern w:val="2"/>
                <w:sz w:val="24"/>
                <w:szCs w:val="28"/>
                <w:highlight w:val="none"/>
                <w:u w:val="single"/>
                <w:lang w:val="en-US" w:eastAsia="zh-CN" w:bidi="ar-SA"/>
              </w:rPr>
            </w:pPr>
            <w:r>
              <w:rPr>
                <w:rFonts w:hint="eastAsia" w:ascii="Times New Roman" w:hAnsi="Times New Roman" w:eastAsia="黑体" w:cs="Times New Roman"/>
                <w:b/>
                <w:bCs/>
                <w:color w:val="auto"/>
                <w:kern w:val="2"/>
                <w:sz w:val="24"/>
                <w:szCs w:val="28"/>
                <w:highlight w:val="none"/>
                <w:u w:val="single"/>
                <w:lang w:val="en-US" w:eastAsia="zh-CN" w:bidi="ar-SA"/>
              </w:rPr>
              <w:t>3.1.4.2调查项目及分析方法</w:t>
            </w:r>
          </w:p>
          <w:p w14:paraId="0B6AEA6D">
            <w:pPr>
              <w:widowControl/>
              <w:spacing w:line="360" w:lineRule="auto"/>
              <w:ind w:firstLine="480" w:firstLineChars="200"/>
              <w:rPr>
                <w:rFonts w:hint="eastAsia" w:ascii="Times New Roman" w:hAnsi="Times New Roman" w:eastAsia="宋体" w:cs="Times New Roman"/>
                <w:color w:val="auto"/>
                <w:sz w:val="24"/>
                <w:highlight w:val="none"/>
                <w:u w:val="single"/>
              </w:rPr>
            </w:pPr>
            <w:r>
              <w:rPr>
                <w:rFonts w:hint="eastAsia" w:ascii="Times New Roman" w:hAnsi="Times New Roman" w:eastAsia="宋体" w:cs="Times New Roman"/>
                <w:color w:val="auto"/>
                <w:sz w:val="24"/>
                <w:highlight w:val="none"/>
                <w:u w:val="single"/>
                <w:lang w:val="en-US" w:eastAsia="zh-CN"/>
              </w:rPr>
              <w:t>样品的采集、贮存、运输及分析均按《海洋监测规范》（</w:t>
            </w:r>
            <w:r>
              <w:rPr>
                <w:rFonts w:hint="default" w:ascii="Times New Roman" w:hAnsi="Times New Roman" w:eastAsia="宋体" w:cs="Times New Roman"/>
                <w:color w:val="auto"/>
                <w:sz w:val="24"/>
                <w:highlight w:val="none"/>
                <w:u w:val="single"/>
                <w:lang w:val="en-US" w:eastAsia="zh-CN"/>
              </w:rPr>
              <w:t>GB 17378-2007</w:t>
            </w:r>
            <w:r>
              <w:rPr>
                <w:rFonts w:hint="eastAsia" w:ascii="Times New Roman" w:hAnsi="Times New Roman" w:eastAsia="宋体" w:cs="Times New Roman"/>
                <w:color w:val="auto"/>
                <w:sz w:val="24"/>
                <w:highlight w:val="none"/>
                <w:u w:val="single"/>
                <w:lang w:val="en-US" w:eastAsia="zh-CN"/>
              </w:rPr>
              <w:t>）、《海洋调查规范》（</w:t>
            </w:r>
            <w:r>
              <w:rPr>
                <w:rFonts w:hint="default" w:ascii="Times New Roman" w:hAnsi="Times New Roman" w:eastAsia="宋体" w:cs="Times New Roman"/>
                <w:color w:val="auto"/>
                <w:sz w:val="24"/>
                <w:highlight w:val="none"/>
                <w:u w:val="single"/>
                <w:lang w:val="en-US" w:eastAsia="zh-CN"/>
              </w:rPr>
              <w:t>GB/T 12763-2007</w:t>
            </w:r>
            <w:r>
              <w:rPr>
                <w:rFonts w:hint="eastAsia" w:ascii="Times New Roman" w:hAnsi="Times New Roman" w:eastAsia="宋体" w:cs="Times New Roman"/>
                <w:color w:val="auto"/>
                <w:sz w:val="24"/>
                <w:highlight w:val="none"/>
                <w:u w:val="single"/>
                <w:lang w:val="en-US" w:eastAsia="zh-CN"/>
              </w:rPr>
              <w:t>）的规定执行。</w:t>
            </w:r>
          </w:p>
          <w:p w14:paraId="64F608E9">
            <w:pPr>
              <w:widowControl/>
              <w:spacing w:line="360" w:lineRule="auto"/>
              <w:ind w:firstLine="480" w:firstLineChars="200"/>
              <w:rPr>
                <w:rFonts w:hint="eastAsia" w:ascii="Times New Roman" w:hAnsi="Times New Roman" w:eastAsia="宋体" w:cs="Times New Roman"/>
                <w:color w:val="auto"/>
                <w:sz w:val="24"/>
                <w:highlight w:val="none"/>
                <w:u w:val="single"/>
              </w:rPr>
            </w:pPr>
            <w:r>
              <w:rPr>
                <w:rFonts w:hint="eastAsia" w:ascii="Times New Roman" w:hAnsi="Times New Roman" w:eastAsia="宋体" w:cs="Times New Roman"/>
                <w:color w:val="auto"/>
                <w:sz w:val="24"/>
                <w:highlight w:val="none"/>
                <w:u w:val="single"/>
                <w:lang w:val="en-US" w:eastAsia="zh-CN"/>
              </w:rPr>
              <w:t>调查项目：铜、锌、铅、镉、总汞、铬、砷、硫化物、有机碳、石油类、粒度等。疏浚物检测分析方法详见表 3.1-39。</w:t>
            </w:r>
          </w:p>
          <w:p w14:paraId="2D4D9DDA">
            <w:pPr>
              <w:keepNext/>
              <w:keepLines/>
              <w:widowControl w:val="0"/>
              <w:numPr>
                <w:ilvl w:val="0"/>
                <w:numId w:val="0"/>
              </w:numPr>
              <w:tabs>
                <w:tab w:val="left" w:pos="0"/>
              </w:tabs>
              <w:bidi w:val="0"/>
              <w:adjustRightInd w:val="0"/>
              <w:snapToGrid w:val="0"/>
              <w:spacing w:line="360" w:lineRule="auto"/>
              <w:ind w:leftChars="0"/>
              <w:jc w:val="center"/>
              <w:outlineLvl w:val="4"/>
              <w:rPr>
                <w:rFonts w:hint="default" w:ascii="Times New Roman" w:hAnsi="Times New Roman" w:eastAsia="宋体" w:cs="Times New Roman"/>
                <w:b/>
                <w:bCs/>
                <w:color w:val="auto"/>
                <w:kern w:val="2"/>
                <w:sz w:val="21"/>
                <w:szCs w:val="21"/>
                <w:highlight w:val="none"/>
                <w:u w:val="single"/>
                <w:lang w:val="en-US" w:eastAsia="zh-CN" w:bidi="ar-SA"/>
              </w:rPr>
            </w:pPr>
            <w:r>
              <w:rPr>
                <w:rFonts w:hint="eastAsia" w:ascii="Times New Roman" w:hAnsi="Times New Roman" w:eastAsia="宋体" w:cs="Times New Roman"/>
                <w:b/>
                <w:bCs/>
                <w:color w:val="auto"/>
                <w:kern w:val="2"/>
                <w:sz w:val="21"/>
                <w:szCs w:val="21"/>
                <w:highlight w:val="none"/>
                <w:u w:val="single"/>
                <w:lang w:val="en-US" w:eastAsia="zh-CN" w:bidi="ar-SA"/>
              </w:rPr>
              <w:t>表3.1-38检测分析方法</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993"/>
              <w:gridCol w:w="5258"/>
              <w:gridCol w:w="1634"/>
            </w:tblGrid>
            <w:tr w14:paraId="0C0E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6EA1B13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序号</w:t>
                  </w:r>
                </w:p>
              </w:tc>
              <w:tc>
                <w:tcPr>
                  <w:tcW w:w="581" w:type="pct"/>
                  <w:noWrap w:val="0"/>
                  <w:vAlign w:val="center"/>
                </w:tcPr>
                <w:p w14:paraId="63D757E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检测项目</w:t>
                  </w:r>
                </w:p>
              </w:tc>
              <w:tc>
                <w:tcPr>
                  <w:tcW w:w="3078" w:type="pct"/>
                  <w:noWrap w:val="0"/>
                  <w:vAlign w:val="center"/>
                </w:tcPr>
                <w:p w14:paraId="0ED102A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检测方法</w:t>
                  </w:r>
                </w:p>
              </w:tc>
              <w:tc>
                <w:tcPr>
                  <w:tcW w:w="956" w:type="pct"/>
                  <w:noWrap w:val="0"/>
                  <w:vAlign w:val="center"/>
                </w:tcPr>
                <w:p w14:paraId="5C83C85C">
                  <w:pPr>
                    <w:keepNext w:val="0"/>
                    <w:keepLines w:val="0"/>
                    <w:pageBreakBefore w:val="0"/>
                    <w:widowControl/>
                    <w:suppressLineNumbers w:val="0"/>
                    <w:kinsoku/>
                    <w:wordWrap/>
                    <w:overflowPunct/>
                    <w:topLinePunct w:val="0"/>
                    <w:autoSpaceDE/>
                    <w:autoSpaceDN/>
                    <w:bidi w:val="0"/>
                    <w:adjustRightInd/>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方法检出限或检出范围</w:t>
                  </w:r>
                </w:p>
              </w:tc>
            </w:tr>
            <w:tr w14:paraId="6B27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3" w:type="pct"/>
                  <w:noWrap w:val="0"/>
                  <w:vAlign w:val="center"/>
                </w:tcPr>
                <w:p w14:paraId="69700D0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1</w:t>
                  </w:r>
                </w:p>
              </w:tc>
              <w:tc>
                <w:tcPr>
                  <w:tcW w:w="581" w:type="pct"/>
                  <w:noWrap w:val="0"/>
                  <w:vAlign w:val="center"/>
                </w:tcPr>
                <w:p w14:paraId="64B68336">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镉</w:t>
                  </w:r>
                </w:p>
              </w:tc>
              <w:tc>
                <w:tcPr>
                  <w:tcW w:w="3078" w:type="pct"/>
                  <w:noWrap w:val="0"/>
                  <w:vAlign w:val="center"/>
                </w:tcPr>
                <w:p w14:paraId="2F6E077F">
                  <w:pPr>
                    <w:pStyle w:val="230"/>
                    <w:keepNext w:val="0"/>
                    <w:keepLines w:val="0"/>
                    <w:pageBreakBefore w:val="0"/>
                    <w:widowControl/>
                    <w:kinsoku/>
                    <w:wordWrap/>
                    <w:overflowPunct/>
                    <w:topLinePunct w:val="0"/>
                    <w:autoSpaceDE/>
                    <w:autoSpaceDN/>
                    <w:bidi w:val="0"/>
                    <w:adjustRightInd/>
                    <w:spacing w:before="44" w:line="228" w:lineRule="auto"/>
                    <w:ind w:left="121"/>
                    <w:jc w:val="center"/>
                    <w:rPr>
                      <w:rFonts w:hint="eastAsia" w:ascii="Times New Roman" w:hAnsi="Times New Roman" w:cs="Times New Roman"/>
                      <w:color w:val="auto"/>
                      <w:spacing w:val="6"/>
                      <w:sz w:val="21"/>
                      <w:szCs w:val="21"/>
                      <w:u w:val="single"/>
                      <w:lang w:val="en-US" w:eastAsia="zh-CN"/>
                    </w:rPr>
                  </w:pPr>
                  <w:r>
                    <w:rPr>
                      <w:rFonts w:hint="default" w:ascii="Times New Roman" w:hAnsi="Times New Roman" w:eastAsia="宋体" w:cs="Times New Roman"/>
                      <w:color w:val="auto"/>
                      <w:spacing w:val="6"/>
                      <w:sz w:val="21"/>
                      <w:szCs w:val="21"/>
                      <w:u w:val="single"/>
                    </w:rPr>
                    <w:t>海洋监测规范</w:t>
                  </w:r>
                  <w:r>
                    <w:rPr>
                      <w:rFonts w:hint="eastAsia" w:ascii="Times New Roman" w:hAnsi="Times New Roman" w:cs="Times New Roman"/>
                      <w:color w:val="auto"/>
                      <w:spacing w:val="6"/>
                      <w:sz w:val="21"/>
                      <w:szCs w:val="21"/>
                      <w:u w:val="single"/>
                      <w:lang w:val="en-US" w:eastAsia="zh-CN"/>
                    </w:rPr>
                    <w:t xml:space="preserve"> </w:t>
                  </w:r>
                  <w:r>
                    <w:rPr>
                      <w:rFonts w:hint="default" w:ascii="Times New Roman" w:hAnsi="Times New Roman" w:eastAsia="宋体" w:cs="Times New Roman"/>
                      <w:color w:val="auto"/>
                      <w:spacing w:val="6"/>
                      <w:sz w:val="21"/>
                      <w:szCs w:val="21"/>
                      <w:u w:val="single"/>
                    </w:rPr>
                    <w:t>第5部分：沉淀物分析</w:t>
                  </w:r>
                  <w:r>
                    <w:rPr>
                      <w:rFonts w:hint="eastAsia" w:ascii="Times New Roman" w:hAnsi="Times New Roman" w:cs="Times New Roman"/>
                      <w:color w:val="auto"/>
                      <w:spacing w:val="6"/>
                      <w:sz w:val="21"/>
                      <w:szCs w:val="21"/>
                      <w:u w:val="single"/>
                      <w:lang w:val="en-US" w:eastAsia="zh-CN"/>
                    </w:rPr>
                    <w:t xml:space="preserve"> </w:t>
                  </w:r>
                </w:p>
                <w:p w14:paraId="3E1DA37E">
                  <w:pPr>
                    <w:pStyle w:val="230"/>
                    <w:keepNext w:val="0"/>
                    <w:keepLines w:val="0"/>
                    <w:pageBreakBefore w:val="0"/>
                    <w:widowControl/>
                    <w:kinsoku/>
                    <w:wordWrap/>
                    <w:overflowPunct/>
                    <w:topLinePunct w:val="0"/>
                    <w:autoSpaceDE/>
                    <w:autoSpaceDN/>
                    <w:bidi w:val="0"/>
                    <w:adjustRightInd/>
                    <w:spacing w:before="44" w:line="228" w:lineRule="auto"/>
                    <w:ind w:left="121"/>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6"/>
                      <w:sz w:val="21"/>
                      <w:szCs w:val="21"/>
                      <w:u w:val="single"/>
                    </w:rPr>
                    <w:t>8.1无</w:t>
                  </w:r>
                  <w:r>
                    <w:rPr>
                      <w:rFonts w:hint="default" w:ascii="Times New Roman" w:hAnsi="Times New Roman" w:eastAsia="宋体" w:cs="Times New Roman"/>
                      <w:color w:val="auto"/>
                      <w:spacing w:val="5"/>
                      <w:sz w:val="21"/>
                      <w:szCs w:val="21"/>
                      <w:u w:val="single"/>
                    </w:rPr>
                    <w:t>火焰原子吸收分光光度法（</w:t>
                  </w:r>
                  <w:r>
                    <w:rPr>
                      <w:rFonts w:hint="default" w:ascii="Times New Roman" w:hAnsi="Times New Roman" w:eastAsia="宋体" w:cs="Times New Roman"/>
                      <w:color w:val="auto"/>
                      <w:sz w:val="21"/>
                      <w:szCs w:val="21"/>
                      <w:u w:val="single"/>
                    </w:rPr>
                    <w:t>GB</w:t>
                  </w:r>
                  <w:r>
                    <w:rPr>
                      <w:rFonts w:hint="default" w:ascii="Times New Roman" w:hAnsi="Times New Roman" w:eastAsia="宋体" w:cs="Times New Roman"/>
                      <w:color w:val="auto"/>
                      <w:spacing w:val="5"/>
                      <w:sz w:val="21"/>
                      <w:szCs w:val="21"/>
                      <w:u w:val="single"/>
                    </w:rPr>
                    <w:t>17378.5-2007）</w:t>
                  </w:r>
                </w:p>
              </w:tc>
              <w:tc>
                <w:tcPr>
                  <w:tcW w:w="956" w:type="pct"/>
                  <w:noWrap w:val="0"/>
                  <w:vAlign w:val="center"/>
                </w:tcPr>
                <w:p w14:paraId="4A09B90C">
                  <w:pPr>
                    <w:pStyle w:val="230"/>
                    <w:keepNext w:val="0"/>
                    <w:keepLines w:val="0"/>
                    <w:pageBreakBefore w:val="0"/>
                    <w:widowControl/>
                    <w:kinsoku/>
                    <w:wordWrap/>
                    <w:overflowPunct/>
                    <w:topLinePunct w:val="0"/>
                    <w:autoSpaceDE/>
                    <w:autoSpaceDN/>
                    <w:bidi w:val="0"/>
                    <w:adjustRightInd/>
                    <w:spacing w:before="178" w:line="231" w:lineRule="auto"/>
                    <w:ind w:left="138" w:leftChars="0"/>
                    <w:jc w:val="both"/>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0.04(ω/10</w:t>
                  </w:r>
                  <w:r>
                    <w:rPr>
                      <w:rFonts w:hint="default" w:ascii="Times New Roman" w:hAnsi="Times New Roman" w:eastAsia="宋体" w:cs="Times New Roman"/>
                      <w:color w:val="auto"/>
                      <w:spacing w:val="-2"/>
                      <w:position w:val="6"/>
                      <w:sz w:val="21"/>
                      <w:szCs w:val="21"/>
                      <w:u w:val="single"/>
                      <w:vertAlign w:val="superscript"/>
                    </w:rPr>
                    <w:t>-6</w:t>
                  </w:r>
                  <w:r>
                    <w:rPr>
                      <w:rFonts w:hint="default" w:ascii="Times New Roman" w:hAnsi="Times New Roman" w:eastAsia="宋体" w:cs="Times New Roman"/>
                      <w:color w:val="auto"/>
                      <w:spacing w:val="-2"/>
                      <w:sz w:val="21"/>
                      <w:szCs w:val="21"/>
                      <w:u w:val="single"/>
                    </w:rPr>
                    <w:t>）</w:t>
                  </w:r>
                </w:p>
              </w:tc>
            </w:tr>
            <w:tr w14:paraId="6418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7BA9B0C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2</w:t>
                  </w:r>
                </w:p>
              </w:tc>
              <w:tc>
                <w:tcPr>
                  <w:tcW w:w="581" w:type="pct"/>
                  <w:noWrap w:val="0"/>
                  <w:vAlign w:val="center"/>
                </w:tcPr>
                <w:p w14:paraId="7F4CEEAD">
                  <w:pPr>
                    <w:keepNext w:val="0"/>
                    <w:keepLines w:val="0"/>
                    <w:pageBreakBefore w:val="0"/>
                    <w:widowControl/>
                    <w:kinsoku/>
                    <w:wordWrap/>
                    <w:overflowPunct/>
                    <w:topLinePunct w:val="0"/>
                    <w:autoSpaceDE/>
                    <w:autoSpaceDN/>
                    <w:bidi w:val="0"/>
                    <w:adjustRightInd/>
                    <w:spacing w:before="179" w:line="230" w:lineRule="auto"/>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1"/>
                      <w:sz w:val="21"/>
                      <w:szCs w:val="21"/>
                      <w:u w:val="single"/>
                    </w:rPr>
                    <w:t>铬</w:t>
                  </w:r>
                </w:p>
              </w:tc>
              <w:tc>
                <w:tcPr>
                  <w:tcW w:w="3078" w:type="pct"/>
                  <w:noWrap w:val="0"/>
                  <w:vAlign w:val="center"/>
                </w:tcPr>
                <w:p w14:paraId="358FDD16">
                  <w:pPr>
                    <w:pStyle w:val="230"/>
                    <w:keepNext w:val="0"/>
                    <w:keepLines w:val="0"/>
                    <w:pageBreakBefore w:val="0"/>
                    <w:widowControl/>
                    <w:kinsoku/>
                    <w:wordWrap/>
                    <w:overflowPunct/>
                    <w:topLinePunct w:val="0"/>
                    <w:autoSpaceDE/>
                    <w:autoSpaceDN/>
                    <w:bidi w:val="0"/>
                    <w:adjustRightInd/>
                    <w:spacing w:before="44" w:line="228" w:lineRule="auto"/>
                    <w:ind w:left="109"/>
                    <w:jc w:val="center"/>
                    <w:rPr>
                      <w:rFonts w:hint="default" w:ascii="Times New Roman" w:hAnsi="Times New Roman" w:eastAsia="宋体" w:cs="Times New Roman"/>
                      <w:color w:val="auto"/>
                      <w:spacing w:val="2"/>
                      <w:sz w:val="21"/>
                      <w:szCs w:val="21"/>
                      <w:u w:val="single"/>
                    </w:rPr>
                  </w:pPr>
                  <w:r>
                    <w:rPr>
                      <w:rFonts w:hint="default" w:ascii="Times New Roman" w:hAnsi="Times New Roman" w:eastAsia="宋体" w:cs="Times New Roman"/>
                      <w:color w:val="auto"/>
                      <w:spacing w:val="2"/>
                      <w:sz w:val="21"/>
                      <w:szCs w:val="21"/>
                      <w:u w:val="single"/>
                    </w:rPr>
                    <w:t>海洋监测规范</w:t>
                  </w:r>
                  <w:r>
                    <w:rPr>
                      <w:rFonts w:hint="eastAsia" w:ascii="Times New Roman" w:hAnsi="Times New Roman" w:cs="Times New Roman"/>
                      <w:color w:val="auto"/>
                      <w:spacing w:val="2"/>
                      <w:sz w:val="21"/>
                      <w:szCs w:val="21"/>
                      <w:u w:val="single"/>
                      <w:lang w:val="en-US" w:eastAsia="zh-CN"/>
                    </w:rPr>
                    <w:t xml:space="preserve"> </w:t>
                  </w:r>
                  <w:r>
                    <w:rPr>
                      <w:rFonts w:hint="default" w:ascii="Times New Roman" w:hAnsi="Times New Roman" w:eastAsia="宋体" w:cs="Times New Roman"/>
                      <w:color w:val="auto"/>
                      <w:spacing w:val="2"/>
                      <w:sz w:val="21"/>
                      <w:szCs w:val="21"/>
                      <w:u w:val="single"/>
                    </w:rPr>
                    <w:t>第5部分：沉淀物分析</w:t>
                  </w:r>
                </w:p>
                <w:p w14:paraId="414FEC75">
                  <w:pPr>
                    <w:pStyle w:val="230"/>
                    <w:keepNext w:val="0"/>
                    <w:keepLines w:val="0"/>
                    <w:pageBreakBefore w:val="0"/>
                    <w:widowControl/>
                    <w:kinsoku/>
                    <w:wordWrap/>
                    <w:overflowPunct/>
                    <w:topLinePunct w:val="0"/>
                    <w:autoSpaceDE/>
                    <w:autoSpaceDN/>
                    <w:bidi w:val="0"/>
                    <w:adjustRightInd/>
                    <w:spacing w:before="44" w:line="228" w:lineRule="auto"/>
                    <w:ind w:left="109"/>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10.1无火焰原</w:t>
                  </w:r>
                  <w:r>
                    <w:rPr>
                      <w:rFonts w:hint="default" w:ascii="Times New Roman" w:hAnsi="Times New Roman" w:eastAsia="宋体" w:cs="Times New Roman"/>
                      <w:color w:val="auto"/>
                      <w:spacing w:val="5"/>
                      <w:sz w:val="21"/>
                      <w:szCs w:val="21"/>
                      <w:u w:val="single"/>
                    </w:rPr>
                    <w:t>子吸收分光光度法（</w:t>
                  </w:r>
                  <w:r>
                    <w:rPr>
                      <w:rFonts w:hint="default" w:ascii="Times New Roman" w:hAnsi="Times New Roman" w:eastAsia="宋体" w:cs="Times New Roman"/>
                      <w:color w:val="auto"/>
                      <w:sz w:val="21"/>
                      <w:szCs w:val="21"/>
                      <w:u w:val="single"/>
                    </w:rPr>
                    <w:t>GB</w:t>
                  </w:r>
                  <w:r>
                    <w:rPr>
                      <w:rFonts w:hint="default" w:ascii="Times New Roman" w:hAnsi="Times New Roman" w:eastAsia="宋体" w:cs="Times New Roman"/>
                      <w:color w:val="auto"/>
                      <w:spacing w:val="5"/>
                      <w:sz w:val="21"/>
                      <w:szCs w:val="21"/>
                      <w:u w:val="single"/>
                    </w:rPr>
                    <w:t>17378.5-2007）</w:t>
                  </w:r>
                </w:p>
              </w:tc>
              <w:tc>
                <w:tcPr>
                  <w:tcW w:w="956" w:type="pct"/>
                  <w:noWrap w:val="0"/>
                  <w:vAlign w:val="center"/>
                </w:tcPr>
                <w:p w14:paraId="642FA7A4">
                  <w:pPr>
                    <w:pStyle w:val="230"/>
                    <w:keepNext w:val="0"/>
                    <w:keepLines w:val="0"/>
                    <w:pageBreakBefore w:val="0"/>
                    <w:widowControl/>
                    <w:kinsoku/>
                    <w:wordWrap/>
                    <w:overflowPunct/>
                    <w:topLinePunct w:val="0"/>
                    <w:autoSpaceDE/>
                    <w:autoSpaceDN/>
                    <w:bidi w:val="0"/>
                    <w:adjustRightInd/>
                    <w:spacing w:before="178" w:line="231" w:lineRule="auto"/>
                    <w:ind w:left="187" w:leftChars="0"/>
                    <w:jc w:val="both"/>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2.0(ω/10</w:t>
                  </w:r>
                  <w:r>
                    <w:rPr>
                      <w:rFonts w:hint="default" w:ascii="Times New Roman" w:hAnsi="Times New Roman" w:eastAsia="宋体" w:cs="Times New Roman"/>
                      <w:color w:val="auto"/>
                      <w:spacing w:val="-2"/>
                      <w:position w:val="6"/>
                      <w:sz w:val="21"/>
                      <w:szCs w:val="21"/>
                      <w:u w:val="single"/>
                      <w:vertAlign w:val="superscript"/>
                    </w:rPr>
                    <w:t>-6</w:t>
                  </w:r>
                  <w:r>
                    <w:rPr>
                      <w:rFonts w:hint="default" w:ascii="Times New Roman" w:hAnsi="Times New Roman" w:eastAsia="宋体" w:cs="Times New Roman"/>
                      <w:color w:val="auto"/>
                      <w:spacing w:val="-2"/>
                      <w:sz w:val="21"/>
                      <w:szCs w:val="21"/>
                      <w:u w:val="single"/>
                    </w:rPr>
                    <w:t>）</w:t>
                  </w:r>
                </w:p>
              </w:tc>
            </w:tr>
            <w:tr w14:paraId="7290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4AC762F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3</w:t>
                  </w:r>
                </w:p>
              </w:tc>
              <w:tc>
                <w:tcPr>
                  <w:tcW w:w="581" w:type="pct"/>
                  <w:noWrap w:val="0"/>
                  <w:vAlign w:val="center"/>
                </w:tcPr>
                <w:p w14:paraId="20778C95">
                  <w:pPr>
                    <w:keepNext w:val="0"/>
                    <w:keepLines w:val="0"/>
                    <w:pageBreakBefore w:val="0"/>
                    <w:widowControl/>
                    <w:kinsoku/>
                    <w:wordWrap/>
                    <w:overflowPunct/>
                    <w:topLinePunct w:val="0"/>
                    <w:autoSpaceDE/>
                    <w:autoSpaceDN/>
                    <w:bidi w:val="0"/>
                    <w:adjustRightInd/>
                    <w:spacing w:before="180" w:line="228" w:lineRule="auto"/>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1"/>
                      <w:sz w:val="21"/>
                      <w:szCs w:val="21"/>
                      <w:u w:val="single"/>
                    </w:rPr>
                    <w:t>锌</w:t>
                  </w:r>
                </w:p>
              </w:tc>
              <w:tc>
                <w:tcPr>
                  <w:tcW w:w="3078" w:type="pct"/>
                  <w:noWrap w:val="0"/>
                  <w:vAlign w:val="center"/>
                </w:tcPr>
                <w:p w14:paraId="3C83C2EF">
                  <w:pPr>
                    <w:pStyle w:val="230"/>
                    <w:keepNext w:val="0"/>
                    <w:keepLines w:val="0"/>
                    <w:pageBreakBefore w:val="0"/>
                    <w:widowControl/>
                    <w:kinsoku/>
                    <w:wordWrap/>
                    <w:overflowPunct/>
                    <w:topLinePunct w:val="0"/>
                    <w:autoSpaceDE/>
                    <w:autoSpaceDN/>
                    <w:bidi w:val="0"/>
                    <w:adjustRightInd/>
                    <w:spacing w:before="45" w:line="228" w:lineRule="auto"/>
                    <w:ind w:left="109"/>
                    <w:jc w:val="center"/>
                    <w:rPr>
                      <w:rFonts w:hint="default" w:ascii="Times New Roman" w:hAnsi="Times New Roman" w:eastAsia="宋体" w:cs="Times New Roman"/>
                      <w:color w:val="auto"/>
                      <w:spacing w:val="6"/>
                      <w:sz w:val="21"/>
                      <w:szCs w:val="21"/>
                      <w:u w:val="single"/>
                    </w:rPr>
                  </w:pPr>
                  <w:r>
                    <w:rPr>
                      <w:rFonts w:hint="default" w:ascii="Times New Roman" w:hAnsi="Times New Roman" w:eastAsia="宋体" w:cs="Times New Roman"/>
                      <w:color w:val="auto"/>
                      <w:spacing w:val="6"/>
                      <w:sz w:val="21"/>
                      <w:szCs w:val="21"/>
                      <w:u w:val="single"/>
                    </w:rPr>
                    <w:t>海洋监测规范</w:t>
                  </w:r>
                  <w:r>
                    <w:rPr>
                      <w:rFonts w:hint="eastAsia" w:ascii="Times New Roman" w:hAnsi="Times New Roman" w:cs="Times New Roman"/>
                      <w:color w:val="auto"/>
                      <w:spacing w:val="6"/>
                      <w:sz w:val="21"/>
                      <w:szCs w:val="21"/>
                      <w:u w:val="single"/>
                      <w:lang w:val="en-US" w:eastAsia="zh-CN"/>
                    </w:rPr>
                    <w:t xml:space="preserve"> </w:t>
                  </w:r>
                  <w:r>
                    <w:rPr>
                      <w:rFonts w:hint="default" w:ascii="Times New Roman" w:hAnsi="Times New Roman" w:eastAsia="宋体" w:cs="Times New Roman"/>
                      <w:color w:val="auto"/>
                      <w:spacing w:val="6"/>
                      <w:sz w:val="21"/>
                      <w:szCs w:val="21"/>
                      <w:u w:val="single"/>
                    </w:rPr>
                    <w:t>第5部分：沉淀物分析</w:t>
                  </w:r>
                </w:p>
                <w:p w14:paraId="0775B57D">
                  <w:pPr>
                    <w:pStyle w:val="230"/>
                    <w:keepNext w:val="0"/>
                    <w:keepLines w:val="0"/>
                    <w:pageBreakBefore w:val="0"/>
                    <w:widowControl/>
                    <w:kinsoku/>
                    <w:wordWrap/>
                    <w:overflowPunct/>
                    <w:topLinePunct w:val="0"/>
                    <w:autoSpaceDE/>
                    <w:autoSpaceDN/>
                    <w:bidi w:val="0"/>
                    <w:adjustRightInd/>
                    <w:spacing w:before="45" w:line="228" w:lineRule="auto"/>
                    <w:ind w:left="109"/>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6"/>
                      <w:sz w:val="21"/>
                      <w:szCs w:val="21"/>
                      <w:u w:val="single"/>
                    </w:rPr>
                    <w:t>9火焰原子吸</w:t>
                  </w:r>
                  <w:r>
                    <w:rPr>
                      <w:rFonts w:hint="default" w:ascii="Times New Roman" w:hAnsi="Times New Roman" w:eastAsia="宋体" w:cs="Times New Roman"/>
                      <w:color w:val="auto"/>
                      <w:spacing w:val="4"/>
                      <w:sz w:val="21"/>
                      <w:szCs w:val="21"/>
                      <w:u w:val="single"/>
                    </w:rPr>
                    <w:t>收分光光度法（</w:t>
                  </w:r>
                  <w:r>
                    <w:rPr>
                      <w:rFonts w:hint="default" w:ascii="Times New Roman" w:hAnsi="Times New Roman" w:eastAsia="宋体" w:cs="Times New Roman"/>
                      <w:color w:val="auto"/>
                      <w:sz w:val="21"/>
                      <w:szCs w:val="21"/>
                      <w:u w:val="single"/>
                    </w:rPr>
                    <w:t>GB</w:t>
                  </w:r>
                  <w:r>
                    <w:rPr>
                      <w:rFonts w:hint="default" w:ascii="Times New Roman" w:hAnsi="Times New Roman" w:eastAsia="宋体" w:cs="Times New Roman"/>
                      <w:color w:val="auto"/>
                      <w:spacing w:val="4"/>
                      <w:sz w:val="21"/>
                      <w:szCs w:val="21"/>
                      <w:u w:val="single"/>
                    </w:rPr>
                    <w:t>17378.5-2007）</w:t>
                  </w:r>
                </w:p>
              </w:tc>
              <w:tc>
                <w:tcPr>
                  <w:tcW w:w="956" w:type="pct"/>
                  <w:noWrap w:val="0"/>
                  <w:vAlign w:val="center"/>
                </w:tcPr>
                <w:p w14:paraId="00C47D3B">
                  <w:pPr>
                    <w:pStyle w:val="230"/>
                    <w:keepNext w:val="0"/>
                    <w:keepLines w:val="0"/>
                    <w:pageBreakBefore w:val="0"/>
                    <w:widowControl/>
                    <w:kinsoku/>
                    <w:wordWrap/>
                    <w:overflowPunct/>
                    <w:topLinePunct w:val="0"/>
                    <w:autoSpaceDE/>
                    <w:autoSpaceDN/>
                    <w:bidi w:val="0"/>
                    <w:adjustRightInd/>
                    <w:spacing w:before="179" w:line="231" w:lineRule="auto"/>
                    <w:ind w:left="192" w:leftChars="0"/>
                    <w:jc w:val="both"/>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6.0(ω/10</w:t>
                  </w:r>
                  <w:r>
                    <w:rPr>
                      <w:rFonts w:hint="default" w:ascii="Times New Roman" w:hAnsi="Times New Roman" w:eastAsia="宋体" w:cs="Times New Roman"/>
                      <w:color w:val="auto"/>
                      <w:spacing w:val="-2"/>
                      <w:position w:val="6"/>
                      <w:sz w:val="21"/>
                      <w:szCs w:val="21"/>
                      <w:u w:val="single"/>
                      <w:vertAlign w:val="superscript"/>
                    </w:rPr>
                    <w:t>-6</w:t>
                  </w:r>
                  <w:r>
                    <w:rPr>
                      <w:rFonts w:hint="default" w:ascii="Times New Roman" w:hAnsi="Times New Roman" w:eastAsia="宋体" w:cs="Times New Roman"/>
                      <w:color w:val="auto"/>
                      <w:spacing w:val="-2"/>
                      <w:sz w:val="21"/>
                      <w:szCs w:val="21"/>
                      <w:u w:val="single"/>
                    </w:rPr>
                    <w:t>）</w:t>
                  </w:r>
                </w:p>
              </w:tc>
            </w:tr>
            <w:tr w14:paraId="0DDE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54DBE74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4</w:t>
                  </w:r>
                </w:p>
              </w:tc>
              <w:tc>
                <w:tcPr>
                  <w:tcW w:w="581" w:type="pct"/>
                  <w:noWrap w:val="0"/>
                  <w:vAlign w:val="center"/>
                </w:tcPr>
                <w:p w14:paraId="262921BF">
                  <w:pPr>
                    <w:keepNext w:val="0"/>
                    <w:keepLines w:val="0"/>
                    <w:pageBreakBefore w:val="0"/>
                    <w:widowControl/>
                    <w:kinsoku/>
                    <w:wordWrap/>
                    <w:overflowPunct/>
                    <w:topLinePunct w:val="0"/>
                    <w:autoSpaceDE/>
                    <w:autoSpaceDN/>
                    <w:bidi w:val="0"/>
                    <w:adjustRightInd/>
                    <w:spacing w:before="180" w:line="232" w:lineRule="auto"/>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z w:val="21"/>
                      <w:szCs w:val="21"/>
                      <w:u w:val="single"/>
                    </w:rPr>
                    <w:t>铅</w:t>
                  </w:r>
                </w:p>
              </w:tc>
              <w:tc>
                <w:tcPr>
                  <w:tcW w:w="3078" w:type="pct"/>
                  <w:noWrap w:val="0"/>
                  <w:vAlign w:val="center"/>
                </w:tcPr>
                <w:p w14:paraId="1EDA96FF">
                  <w:pPr>
                    <w:pStyle w:val="230"/>
                    <w:keepNext w:val="0"/>
                    <w:keepLines w:val="0"/>
                    <w:pageBreakBefore w:val="0"/>
                    <w:widowControl/>
                    <w:kinsoku/>
                    <w:wordWrap/>
                    <w:overflowPunct/>
                    <w:topLinePunct w:val="0"/>
                    <w:autoSpaceDE/>
                    <w:autoSpaceDN/>
                    <w:bidi w:val="0"/>
                    <w:adjustRightInd/>
                    <w:spacing w:before="45" w:line="228" w:lineRule="auto"/>
                    <w:ind w:left="121"/>
                    <w:jc w:val="center"/>
                    <w:rPr>
                      <w:rFonts w:hint="default" w:ascii="Times New Roman" w:hAnsi="Times New Roman" w:eastAsia="宋体" w:cs="Times New Roman"/>
                      <w:color w:val="auto"/>
                      <w:spacing w:val="6"/>
                      <w:sz w:val="21"/>
                      <w:szCs w:val="21"/>
                      <w:u w:val="single"/>
                    </w:rPr>
                  </w:pPr>
                  <w:r>
                    <w:rPr>
                      <w:rFonts w:hint="default" w:ascii="Times New Roman" w:hAnsi="Times New Roman" w:eastAsia="宋体" w:cs="Times New Roman"/>
                      <w:color w:val="auto"/>
                      <w:spacing w:val="6"/>
                      <w:sz w:val="21"/>
                      <w:szCs w:val="21"/>
                      <w:u w:val="single"/>
                    </w:rPr>
                    <w:t>海洋监测规范</w:t>
                  </w:r>
                  <w:r>
                    <w:rPr>
                      <w:rFonts w:hint="eastAsia" w:ascii="Times New Roman" w:hAnsi="Times New Roman" w:cs="Times New Roman"/>
                      <w:color w:val="auto"/>
                      <w:spacing w:val="6"/>
                      <w:sz w:val="21"/>
                      <w:szCs w:val="21"/>
                      <w:u w:val="single"/>
                      <w:lang w:val="en-US" w:eastAsia="zh-CN"/>
                    </w:rPr>
                    <w:t xml:space="preserve"> </w:t>
                  </w:r>
                  <w:r>
                    <w:rPr>
                      <w:rFonts w:hint="default" w:ascii="Times New Roman" w:hAnsi="Times New Roman" w:eastAsia="宋体" w:cs="Times New Roman"/>
                      <w:color w:val="auto"/>
                      <w:spacing w:val="6"/>
                      <w:sz w:val="21"/>
                      <w:szCs w:val="21"/>
                      <w:u w:val="single"/>
                    </w:rPr>
                    <w:t>第5部分：沉淀物分析</w:t>
                  </w:r>
                </w:p>
                <w:p w14:paraId="26EDE791">
                  <w:pPr>
                    <w:pStyle w:val="230"/>
                    <w:keepNext w:val="0"/>
                    <w:keepLines w:val="0"/>
                    <w:pageBreakBefore w:val="0"/>
                    <w:widowControl/>
                    <w:kinsoku/>
                    <w:wordWrap/>
                    <w:overflowPunct/>
                    <w:topLinePunct w:val="0"/>
                    <w:autoSpaceDE/>
                    <w:autoSpaceDN/>
                    <w:bidi w:val="0"/>
                    <w:adjustRightInd/>
                    <w:spacing w:before="45" w:line="228" w:lineRule="auto"/>
                    <w:ind w:left="121"/>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6"/>
                      <w:sz w:val="21"/>
                      <w:szCs w:val="21"/>
                      <w:u w:val="single"/>
                    </w:rPr>
                    <w:t>7.1无火焰原</w:t>
                  </w:r>
                  <w:r>
                    <w:rPr>
                      <w:rFonts w:hint="default" w:ascii="Times New Roman" w:hAnsi="Times New Roman" w:eastAsia="宋体" w:cs="Times New Roman"/>
                      <w:color w:val="auto"/>
                      <w:spacing w:val="5"/>
                      <w:sz w:val="21"/>
                      <w:szCs w:val="21"/>
                      <w:u w:val="single"/>
                    </w:rPr>
                    <w:t>子吸收分光光度法（</w:t>
                  </w:r>
                  <w:r>
                    <w:rPr>
                      <w:rFonts w:hint="default" w:ascii="Times New Roman" w:hAnsi="Times New Roman" w:eastAsia="宋体" w:cs="Times New Roman"/>
                      <w:color w:val="auto"/>
                      <w:sz w:val="21"/>
                      <w:szCs w:val="21"/>
                      <w:u w:val="single"/>
                    </w:rPr>
                    <w:t>GB</w:t>
                  </w:r>
                  <w:r>
                    <w:rPr>
                      <w:rFonts w:hint="default" w:ascii="Times New Roman" w:hAnsi="Times New Roman" w:eastAsia="宋体" w:cs="Times New Roman"/>
                      <w:color w:val="auto"/>
                      <w:spacing w:val="5"/>
                      <w:sz w:val="21"/>
                      <w:szCs w:val="21"/>
                      <w:u w:val="single"/>
                    </w:rPr>
                    <w:t>17378.5-2007）</w:t>
                  </w:r>
                </w:p>
              </w:tc>
              <w:tc>
                <w:tcPr>
                  <w:tcW w:w="956" w:type="pct"/>
                  <w:noWrap w:val="0"/>
                  <w:vAlign w:val="center"/>
                </w:tcPr>
                <w:p w14:paraId="02ADFBB7">
                  <w:pPr>
                    <w:pStyle w:val="230"/>
                    <w:keepNext w:val="0"/>
                    <w:keepLines w:val="0"/>
                    <w:pageBreakBefore w:val="0"/>
                    <w:widowControl/>
                    <w:kinsoku/>
                    <w:wordWrap/>
                    <w:overflowPunct/>
                    <w:topLinePunct w:val="0"/>
                    <w:autoSpaceDE/>
                    <w:autoSpaceDN/>
                    <w:bidi w:val="0"/>
                    <w:adjustRightInd/>
                    <w:spacing w:before="179" w:line="231" w:lineRule="auto"/>
                    <w:ind w:left="207" w:leftChars="0"/>
                    <w:jc w:val="both"/>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4"/>
                      <w:sz w:val="21"/>
                      <w:szCs w:val="21"/>
                      <w:u w:val="single"/>
                    </w:rPr>
                    <w:t>1.0</w:t>
                  </w:r>
                  <w:r>
                    <w:rPr>
                      <w:rFonts w:hint="default" w:ascii="Times New Roman" w:hAnsi="Times New Roman" w:eastAsia="宋体" w:cs="Times New Roman"/>
                      <w:color w:val="auto"/>
                      <w:spacing w:val="-2"/>
                      <w:sz w:val="21"/>
                      <w:szCs w:val="21"/>
                      <w:u w:val="single"/>
                    </w:rPr>
                    <w:t>(ω/10</w:t>
                  </w:r>
                  <w:r>
                    <w:rPr>
                      <w:rFonts w:hint="default" w:ascii="Times New Roman" w:hAnsi="Times New Roman" w:eastAsia="宋体" w:cs="Times New Roman"/>
                      <w:color w:val="auto"/>
                      <w:spacing w:val="-2"/>
                      <w:position w:val="6"/>
                      <w:sz w:val="21"/>
                      <w:szCs w:val="21"/>
                      <w:u w:val="single"/>
                      <w:vertAlign w:val="superscript"/>
                    </w:rPr>
                    <w:t>-6</w:t>
                  </w:r>
                  <w:r>
                    <w:rPr>
                      <w:rFonts w:hint="default" w:ascii="Times New Roman" w:hAnsi="Times New Roman" w:eastAsia="宋体" w:cs="Times New Roman"/>
                      <w:color w:val="auto"/>
                      <w:spacing w:val="-2"/>
                      <w:sz w:val="21"/>
                      <w:szCs w:val="21"/>
                      <w:u w:val="single"/>
                    </w:rPr>
                    <w:t>）</w:t>
                  </w:r>
                </w:p>
              </w:tc>
            </w:tr>
            <w:tr w14:paraId="408B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7BDBAE7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5</w:t>
                  </w:r>
                </w:p>
              </w:tc>
              <w:tc>
                <w:tcPr>
                  <w:tcW w:w="581" w:type="pct"/>
                  <w:noWrap w:val="0"/>
                  <w:vAlign w:val="center"/>
                </w:tcPr>
                <w:p w14:paraId="79F60832">
                  <w:pPr>
                    <w:keepNext w:val="0"/>
                    <w:keepLines w:val="0"/>
                    <w:pageBreakBefore w:val="0"/>
                    <w:widowControl/>
                    <w:kinsoku/>
                    <w:wordWrap/>
                    <w:overflowPunct/>
                    <w:topLinePunct w:val="0"/>
                    <w:autoSpaceDE/>
                    <w:autoSpaceDN/>
                    <w:bidi w:val="0"/>
                    <w:adjustRightInd/>
                    <w:spacing w:before="182" w:line="228" w:lineRule="auto"/>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1"/>
                      <w:sz w:val="21"/>
                      <w:szCs w:val="21"/>
                      <w:u w:val="single"/>
                    </w:rPr>
                    <w:t>砷</w:t>
                  </w:r>
                </w:p>
              </w:tc>
              <w:tc>
                <w:tcPr>
                  <w:tcW w:w="3078" w:type="pct"/>
                  <w:noWrap w:val="0"/>
                  <w:vAlign w:val="center"/>
                </w:tcPr>
                <w:p w14:paraId="2D69724E">
                  <w:pPr>
                    <w:pStyle w:val="230"/>
                    <w:keepNext w:val="0"/>
                    <w:keepLines w:val="0"/>
                    <w:pageBreakBefore w:val="0"/>
                    <w:widowControl/>
                    <w:kinsoku/>
                    <w:wordWrap/>
                    <w:overflowPunct/>
                    <w:topLinePunct w:val="0"/>
                    <w:autoSpaceDE/>
                    <w:autoSpaceDN/>
                    <w:bidi w:val="0"/>
                    <w:adjustRightInd/>
                    <w:spacing w:before="45" w:line="228" w:lineRule="auto"/>
                    <w:ind w:left="110"/>
                    <w:jc w:val="center"/>
                    <w:rPr>
                      <w:rFonts w:hint="default" w:ascii="Times New Roman" w:hAnsi="Times New Roman" w:eastAsia="宋体" w:cs="Times New Roman"/>
                      <w:color w:val="auto"/>
                      <w:spacing w:val="2"/>
                      <w:sz w:val="21"/>
                      <w:szCs w:val="21"/>
                      <w:u w:val="single"/>
                    </w:rPr>
                  </w:pPr>
                  <w:r>
                    <w:rPr>
                      <w:rFonts w:hint="default" w:ascii="Times New Roman" w:hAnsi="Times New Roman" w:eastAsia="宋体" w:cs="Times New Roman"/>
                      <w:color w:val="auto"/>
                      <w:spacing w:val="2"/>
                      <w:sz w:val="21"/>
                      <w:szCs w:val="21"/>
                      <w:u w:val="single"/>
                    </w:rPr>
                    <w:t>海洋监测规范</w:t>
                  </w:r>
                  <w:r>
                    <w:rPr>
                      <w:rFonts w:hint="eastAsia" w:ascii="Times New Roman" w:hAnsi="Times New Roman" w:cs="Times New Roman"/>
                      <w:color w:val="auto"/>
                      <w:spacing w:val="2"/>
                      <w:sz w:val="21"/>
                      <w:szCs w:val="21"/>
                      <w:u w:val="single"/>
                      <w:lang w:val="en-US" w:eastAsia="zh-CN"/>
                    </w:rPr>
                    <w:t xml:space="preserve"> </w:t>
                  </w:r>
                  <w:r>
                    <w:rPr>
                      <w:rFonts w:hint="default" w:ascii="Times New Roman" w:hAnsi="Times New Roman" w:eastAsia="宋体" w:cs="Times New Roman"/>
                      <w:color w:val="auto"/>
                      <w:spacing w:val="2"/>
                      <w:sz w:val="21"/>
                      <w:szCs w:val="21"/>
                      <w:u w:val="single"/>
                    </w:rPr>
                    <w:t>第5部分：沉淀物分析</w:t>
                  </w:r>
                </w:p>
                <w:p w14:paraId="1856403E">
                  <w:pPr>
                    <w:pStyle w:val="230"/>
                    <w:keepNext w:val="0"/>
                    <w:keepLines w:val="0"/>
                    <w:pageBreakBefore w:val="0"/>
                    <w:widowControl/>
                    <w:kinsoku/>
                    <w:wordWrap/>
                    <w:overflowPunct/>
                    <w:topLinePunct w:val="0"/>
                    <w:autoSpaceDE/>
                    <w:autoSpaceDN/>
                    <w:bidi w:val="0"/>
                    <w:adjustRightInd/>
                    <w:spacing w:before="45" w:line="228" w:lineRule="auto"/>
                    <w:ind w:left="110"/>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11.1原子荧光</w:t>
                  </w:r>
                  <w:r>
                    <w:rPr>
                      <w:rFonts w:hint="default" w:ascii="Times New Roman" w:hAnsi="Times New Roman" w:eastAsia="宋体" w:cs="Times New Roman"/>
                      <w:color w:val="auto"/>
                      <w:spacing w:val="3"/>
                      <w:sz w:val="21"/>
                      <w:szCs w:val="21"/>
                      <w:u w:val="single"/>
                    </w:rPr>
                    <w:t>法（</w:t>
                  </w:r>
                  <w:r>
                    <w:rPr>
                      <w:rFonts w:hint="default" w:ascii="Times New Roman" w:hAnsi="Times New Roman" w:eastAsia="宋体" w:cs="Times New Roman"/>
                      <w:color w:val="auto"/>
                      <w:sz w:val="21"/>
                      <w:szCs w:val="21"/>
                      <w:u w:val="single"/>
                    </w:rPr>
                    <w:t>GB</w:t>
                  </w:r>
                  <w:r>
                    <w:rPr>
                      <w:rFonts w:hint="default" w:ascii="Times New Roman" w:hAnsi="Times New Roman" w:eastAsia="宋体" w:cs="Times New Roman"/>
                      <w:color w:val="auto"/>
                      <w:spacing w:val="3"/>
                      <w:sz w:val="21"/>
                      <w:szCs w:val="21"/>
                      <w:u w:val="single"/>
                    </w:rPr>
                    <w:t>17378.5-2007）</w:t>
                  </w:r>
                </w:p>
              </w:tc>
              <w:tc>
                <w:tcPr>
                  <w:tcW w:w="956" w:type="pct"/>
                  <w:noWrap w:val="0"/>
                  <w:vAlign w:val="center"/>
                </w:tcPr>
                <w:p w14:paraId="7EDE2F24">
                  <w:pPr>
                    <w:pStyle w:val="230"/>
                    <w:keepNext w:val="0"/>
                    <w:keepLines w:val="0"/>
                    <w:pageBreakBefore w:val="0"/>
                    <w:widowControl/>
                    <w:kinsoku/>
                    <w:wordWrap/>
                    <w:overflowPunct/>
                    <w:topLinePunct w:val="0"/>
                    <w:autoSpaceDE/>
                    <w:autoSpaceDN/>
                    <w:bidi w:val="0"/>
                    <w:adjustRightInd/>
                    <w:spacing w:before="181" w:line="231" w:lineRule="auto"/>
                    <w:ind w:left="147" w:leftChars="0"/>
                    <w:jc w:val="both"/>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0.06(ω/10</w:t>
                  </w:r>
                  <w:r>
                    <w:rPr>
                      <w:rFonts w:hint="default" w:ascii="Times New Roman" w:hAnsi="Times New Roman" w:eastAsia="宋体" w:cs="Times New Roman"/>
                      <w:color w:val="auto"/>
                      <w:spacing w:val="-2"/>
                      <w:position w:val="6"/>
                      <w:sz w:val="21"/>
                      <w:szCs w:val="21"/>
                      <w:u w:val="single"/>
                      <w:vertAlign w:val="superscript"/>
                    </w:rPr>
                    <w:t>-6</w:t>
                  </w:r>
                  <w:r>
                    <w:rPr>
                      <w:rFonts w:hint="default" w:ascii="Times New Roman" w:hAnsi="Times New Roman" w:eastAsia="宋体" w:cs="Times New Roman"/>
                      <w:color w:val="auto"/>
                      <w:spacing w:val="-2"/>
                      <w:sz w:val="21"/>
                      <w:szCs w:val="21"/>
                      <w:u w:val="single"/>
                    </w:rPr>
                    <w:t>）</w:t>
                  </w:r>
                </w:p>
              </w:tc>
            </w:tr>
            <w:tr w14:paraId="40B4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6FB30A0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6</w:t>
                  </w:r>
                </w:p>
              </w:tc>
              <w:tc>
                <w:tcPr>
                  <w:tcW w:w="581" w:type="pct"/>
                  <w:noWrap w:val="0"/>
                  <w:vAlign w:val="center"/>
                </w:tcPr>
                <w:p w14:paraId="38A8A239">
                  <w:pPr>
                    <w:keepNext w:val="0"/>
                    <w:keepLines w:val="0"/>
                    <w:pageBreakBefore w:val="0"/>
                    <w:widowControl/>
                    <w:kinsoku/>
                    <w:wordWrap/>
                    <w:overflowPunct/>
                    <w:topLinePunct w:val="0"/>
                    <w:autoSpaceDE/>
                    <w:autoSpaceDN/>
                    <w:bidi w:val="0"/>
                    <w:adjustRightInd/>
                    <w:spacing w:before="165" w:line="229" w:lineRule="auto"/>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z w:val="21"/>
                      <w:szCs w:val="21"/>
                      <w:u w:val="single"/>
                    </w:rPr>
                    <w:t>铜</w:t>
                  </w:r>
                </w:p>
              </w:tc>
              <w:tc>
                <w:tcPr>
                  <w:tcW w:w="3078" w:type="pct"/>
                  <w:noWrap w:val="0"/>
                  <w:vAlign w:val="center"/>
                </w:tcPr>
                <w:p w14:paraId="47F9DCBB">
                  <w:pPr>
                    <w:pStyle w:val="230"/>
                    <w:keepNext w:val="0"/>
                    <w:keepLines w:val="0"/>
                    <w:pageBreakBefore w:val="0"/>
                    <w:widowControl/>
                    <w:kinsoku/>
                    <w:wordWrap/>
                    <w:overflowPunct/>
                    <w:topLinePunct w:val="0"/>
                    <w:autoSpaceDE/>
                    <w:autoSpaceDN/>
                    <w:bidi w:val="0"/>
                    <w:adjustRightInd/>
                    <w:spacing w:before="30" w:line="228" w:lineRule="auto"/>
                    <w:ind w:left="122"/>
                    <w:jc w:val="center"/>
                    <w:rPr>
                      <w:rFonts w:hint="default" w:ascii="Times New Roman" w:hAnsi="Times New Roman" w:eastAsia="宋体" w:cs="Times New Roman"/>
                      <w:color w:val="auto"/>
                      <w:spacing w:val="7"/>
                      <w:sz w:val="21"/>
                      <w:szCs w:val="21"/>
                      <w:u w:val="single"/>
                    </w:rPr>
                  </w:pPr>
                  <w:r>
                    <w:rPr>
                      <w:rFonts w:hint="default" w:ascii="Times New Roman" w:hAnsi="Times New Roman" w:eastAsia="宋体" w:cs="Times New Roman"/>
                      <w:color w:val="auto"/>
                      <w:spacing w:val="7"/>
                      <w:sz w:val="21"/>
                      <w:szCs w:val="21"/>
                      <w:u w:val="single"/>
                    </w:rPr>
                    <w:t>海洋监测规范</w:t>
                  </w:r>
                  <w:r>
                    <w:rPr>
                      <w:rFonts w:hint="eastAsia" w:ascii="Times New Roman" w:hAnsi="Times New Roman" w:cs="Times New Roman"/>
                      <w:color w:val="auto"/>
                      <w:spacing w:val="7"/>
                      <w:sz w:val="21"/>
                      <w:szCs w:val="21"/>
                      <w:u w:val="single"/>
                      <w:lang w:val="en-US" w:eastAsia="zh-CN"/>
                    </w:rPr>
                    <w:t xml:space="preserve"> </w:t>
                  </w:r>
                  <w:r>
                    <w:rPr>
                      <w:rFonts w:hint="default" w:ascii="Times New Roman" w:hAnsi="Times New Roman" w:eastAsia="宋体" w:cs="Times New Roman"/>
                      <w:color w:val="auto"/>
                      <w:spacing w:val="7"/>
                      <w:sz w:val="21"/>
                      <w:szCs w:val="21"/>
                      <w:u w:val="single"/>
                    </w:rPr>
                    <w:t>第5部分：沉淀物分析</w:t>
                  </w:r>
                </w:p>
                <w:p w14:paraId="067644AF">
                  <w:pPr>
                    <w:pStyle w:val="230"/>
                    <w:keepNext w:val="0"/>
                    <w:keepLines w:val="0"/>
                    <w:pageBreakBefore w:val="0"/>
                    <w:widowControl/>
                    <w:kinsoku/>
                    <w:wordWrap/>
                    <w:overflowPunct/>
                    <w:topLinePunct w:val="0"/>
                    <w:autoSpaceDE/>
                    <w:autoSpaceDN/>
                    <w:bidi w:val="0"/>
                    <w:adjustRightInd/>
                    <w:spacing w:before="30" w:line="228" w:lineRule="auto"/>
                    <w:ind w:left="122"/>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7"/>
                      <w:sz w:val="21"/>
                      <w:szCs w:val="21"/>
                      <w:u w:val="single"/>
                    </w:rPr>
                    <w:t>6.2火焰原子</w:t>
                  </w:r>
                  <w:r>
                    <w:rPr>
                      <w:rFonts w:hint="default" w:ascii="Times New Roman" w:hAnsi="Times New Roman" w:eastAsia="宋体" w:cs="Times New Roman"/>
                      <w:color w:val="auto"/>
                      <w:spacing w:val="5"/>
                      <w:sz w:val="21"/>
                      <w:szCs w:val="21"/>
                      <w:u w:val="single"/>
                    </w:rPr>
                    <w:t>吸收分光光度法（</w:t>
                  </w:r>
                  <w:r>
                    <w:rPr>
                      <w:rFonts w:hint="default" w:ascii="Times New Roman" w:hAnsi="Times New Roman" w:eastAsia="宋体" w:cs="Times New Roman"/>
                      <w:color w:val="auto"/>
                      <w:sz w:val="21"/>
                      <w:szCs w:val="21"/>
                      <w:u w:val="single"/>
                    </w:rPr>
                    <w:t>GB</w:t>
                  </w:r>
                  <w:r>
                    <w:rPr>
                      <w:rFonts w:hint="default" w:ascii="Times New Roman" w:hAnsi="Times New Roman" w:eastAsia="宋体" w:cs="Times New Roman"/>
                      <w:color w:val="auto"/>
                      <w:spacing w:val="5"/>
                      <w:sz w:val="21"/>
                      <w:szCs w:val="21"/>
                      <w:u w:val="single"/>
                    </w:rPr>
                    <w:t>17378.5-2007）</w:t>
                  </w:r>
                </w:p>
              </w:tc>
              <w:tc>
                <w:tcPr>
                  <w:tcW w:w="956" w:type="pct"/>
                  <w:noWrap w:val="0"/>
                  <w:vAlign w:val="center"/>
                </w:tcPr>
                <w:p w14:paraId="739CC9DE">
                  <w:pPr>
                    <w:pStyle w:val="230"/>
                    <w:keepNext w:val="0"/>
                    <w:keepLines w:val="0"/>
                    <w:pageBreakBefore w:val="0"/>
                    <w:widowControl/>
                    <w:kinsoku/>
                    <w:wordWrap/>
                    <w:overflowPunct/>
                    <w:topLinePunct w:val="0"/>
                    <w:autoSpaceDE/>
                    <w:autoSpaceDN/>
                    <w:bidi w:val="0"/>
                    <w:adjustRightInd/>
                    <w:spacing w:before="164" w:line="231" w:lineRule="auto"/>
                    <w:ind w:left="196" w:leftChars="0"/>
                    <w:jc w:val="both"/>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2.0(ω/10</w:t>
                  </w:r>
                  <w:r>
                    <w:rPr>
                      <w:rFonts w:hint="default" w:ascii="Times New Roman" w:hAnsi="Times New Roman" w:eastAsia="宋体" w:cs="Times New Roman"/>
                      <w:color w:val="auto"/>
                      <w:spacing w:val="-2"/>
                      <w:position w:val="6"/>
                      <w:sz w:val="21"/>
                      <w:szCs w:val="21"/>
                      <w:u w:val="single"/>
                      <w:vertAlign w:val="superscript"/>
                    </w:rPr>
                    <w:t>-6</w:t>
                  </w:r>
                  <w:r>
                    <w:rPr>
                      <w:rFonts w:hint="default" w:ascii="Times New Roman" w:hAnsi="Times New Roman" w:eastAsia="宋体" w:cs="Times New Roman"/>
                      <w:color w:val="auto"/>
                      <w:spacing w:val="-2"/>
                      <w:sz w:val="21"/>
                      <w:szCs w:val="21"/>
                      <w:u w:val="single"/>
                    </w:rPr>
                    <w:t>）</w:t>
                  </w:r>
                </w:p>
              </w:tc>
            </w:tr>
            <w:tr w14:paraId="4282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4864375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7</w:t>
                  </w:r>
                </w:p>
              </w:tc>
              <w:tc>
                <w:tcPr>
                  <w:tcW w:w="581" w:type="pct"/>
                  <w:noWrap w:val="0"/>
                  <w:vAlign w:val="center"/>
                </w:tcPr>
                <w:p w14:paraId="01701DDF">
                  <w:pPr>
                    <w:keepNext w:val="0"/>
                    <w:keepLines w:val="0"/>
                    <w:pageBreakBefore w:val="0"/>
                    <w:widowControl/>
                    <w:kinsoku/>
                    <w:wordWrap/>
                    <w:overflowPunct/>
                    <w:topLinePunct w:val="0"/>
                    <w:autoSpaceDE/>
                    <w:autoSpaceDN/>
                    <w:bidi w:val="0"/>
                    <w:adjustRightInd/>
                    <w:spacing w:before="169" w:line="228" w:lineRule="auto"/>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总汞</w:t>
                  </w:r>
                </w:p>
              </w:tc>
              <w:tc>
                <w:tcPr>
                  <w:tcW w:w="3078" w:type="pct"/>
                  <w:noWrap w:val="0"/>
                  <w:vAlign w:val="center"/>
                </w:tcPr>
                <w:p w14:paraId="6FCCB7D2">
                  <w:pPr>
                    <w:pStyle w:val="230"/>
                    <w:keepNext w:val="0"/>
                    <w:keepLines w:val="0"/>
                    <w:pageBreakBefore w:val="0"/>
                    <w:widowControl/>
                    <w:kinsoku/>
                    <w:wordWrap/>
                    <w:overflowPunct/>
                    <w:topLinePunct w:val="0"/>
                    <w:autoSpaceDE/>
                    <w:autoSpaceDN/>
                    <w:bidi w:val="0"/>
                    <w:adjustRightInd/>
                    <w:spacing w:before="31" w:line="228" w:lineRule="auto"/>
                    <w:ind w:left="122"/>
                    <w:jc w:val="center"/>
                    <w:rPr>
                      <w:rFonts w:hint="default" w:ascii="Times New Roman" w:hAnsi="Times New Roman" w:eastAsia="宋体" w:cs="Times New Roman"/>
                      <w:color w:val="auto"/>
                      <w:spacing w:val="6"/>
                      <w:sz w:val="21"/>
                      <w:szCs w:val="21"/>
                      <w:u w:val="single"/>
                    </w:rPr>
                  </w:pPr>
                  <w:r>
                    <w:rPr>
                      <w:rFonts w:hint="default" w:ascii="Times New Roman" w:hAnsi="Times New Roman" w:eastAsia="宋体" w:cs="Times New Roman"/>
                      <w:color w:val="auto"/>
                      <w:spacing w:val="6"/>
                      <w:sz w:val="21"/>
                      <w:szCs w:val="21"/>
                      <w:u w:val="single"/>
                    </w:rPr>
                    <w:t>海洋监测规范</w:t>
                  </w:r>
                  <w:r>
                    <w:rPr>
                      <w:rFonts w:hint="eastAsia" w:ascii="Times New Roman" w:hAnsi="Times New Roman" w:cs="Times New Roman"/>
                      <w:color w:val="auto"/>
                      <w:spacing w:val="6"/>
                      <w:sz w:val="21"/>
                      <w:szCs w:val="21"/>
                      <w:u w:val="single"/>
                      <w:lang w:val="en-US" w:eastAsia="zh-CN"/>
                    </w:rPr>
                    <w:t xml:space="preserve"> </w:t>
                  </w:r>
                  <w:r>
                    <w:rPr>
                      <w:rFonts w:hint="default" w:ascii="Times New Roman" w:hAnsi="Times New Roman" w:eastAsia="宋体" w:cs="Times New Roman"/>
                      <w:color w:val="auto"/>
                      <w:spacing w:val="6"/>
                      <w:sz w:val="21"/>
                      <w:szCs w:val="21"/>
                      <w:u w:val="single"/>
                    </w:rPr>
                    <w:t>第5部分：沉淀物分析</w:t>
                  </w:r>
                </w:p>
                <w:p w14:paraId="1E9C8801">
                  <w:pPr>
                    <w:pStyle w:val="230"/>
                    <w:keepNext w:val="0"/>
                    <w:keepLines w:val="0"/>
                    <w:pageBreakBefore w:val="0"/>
                    <w:widowControl/>
                    <w:kinsoku/>
                    <w:wordWrap/>
                    <w:overflowPunct/>
                    <w:topLinePunct w:val="0"/>
                    <w:autoSpaceDE/>
                    <w:autoSpaceDN/>
                    <w:bidi w:val="0"/>
                    <w:adjustRightInd/>
                    <w:spacing w:before="31" w:line="228" w:lineRule="auto"/>
                    <w:ind w:left="122"/>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6"/>
                      <w:sz w:val="21"/>
                      <w:szCs w:val="21"/>
                      <w:u w:val="single"/>
                    </w:rPr>
                    <w:t>5</w:t>
                  </w:r>
                  <w:r>
                    <w:rPr>
                      <w:rFonts w:hint="default" w:ascii="Times New Roman" w:hAnsi="Times New Roman" w:eastAsia="宋体" w:cs="Times New Roman"/>
                      <w:color w:val="auto"/>
                      <w:spacing w:val="5"/>
                      <w:sz w:val="21"/>
                      <w:szCs w:val="21"/>
                      <w:u w:val="single"/>
                    </w:rPr>
                    <w:t>.1原子荧光</w:t>
                  </w:r>
                  <w:r>
                    <w:rPr>
                      <w:rFonts w:hint="default" w:ascii="Times New Roman" w:hAnsi="Times New Roman" w:eastAsia="宋体" w:cs="Times New Roman"/>
                      <w:color w:val="auto"/>
                      <w:spacing w:val="3"/>
                      <w:sz w:val="21"/>
                      <w:szCs w:val="21"/>
                      <w:u w:val="single"/>
                    </w:rPr>
                    <w:t>法（</w:t>
                  </w:r>
                  <w:r>
                    <w:rPr>
                      <w:rFonts w:hint="default" w:ascii="Times New Roman" w:hAnsi="Times New Roman" w:eastAsia="宋体" w:cs="Times New Roman"/>
                      <w:color w:val="auto"/>
                      <w:sz w:val="21"/>
                      <w:szCs w:val="21"/>
                      <w:u w:val="single"/>
                    </w:rPr>
                    <w:t>GB</w:t>
                  </w:r>
                  <w:r>
                    <w:rPr>
                      <w:rFonts w:hint="default" w:ascii="Times New Roman" w:hAnsi="Times New Roman" w:eastAsia="宋体" w:cs="Times New Roman"/>
                      <w:color w:val="auto"/>
                      <w:spacing w:val="3"/>
                      <w:sz w:val="21"/>
                      <w:szCs w:val="21"/>
                      <w:u w:val="single"/>
                    </w:rPr>
                    <w:t>17378.5-2007）</w:t>
                  </w:r>
                </w:p>
              </w:tc>
              <w:tc>
                <w:tcPr>
                  <w:tcW w:w="956" w:type="pct"/>
                  <w:noWrap w:val="0"/>
                  <w:vAlign w:val="center"/>
                </w:tcPr>
                <w:p w14:paraId="4804DBA7">
                  <w:pPr>
                    <w:pStyle w:val="230"/>
                    <w:keepNext w:val="0"/>
                    <w:keepLines w:val="0"/>
                    <w:pageBreakBefore w:val="0"/>
                    <w:widowControl/>
                    <w:kinsoku/>
                    <w:wordWrap/>
                    <w:overflowPunct/>
                    <w:topLinePunct w:val="0"/>
                    <w:autoSpaceDE/>
                    <w:autoSpaceDN/>
                    <w:bidi w:val="0"/>
                    <w:adjustRightInd/>
                    <w:spacing w:before="168" w:line="231" w:lineRule="auto"/>
                    <w:ind w:left="125" w:leftChars="0"/>
                    <w:jc w:val="both"/>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1"/>
                      <w:sz w:val="21"/>
                      <w:szCs w:val="21"/>
                      <w:u w:val="single"/>
                    </w:rPr>
                    <w:t>0.002</w:t>
                  </w:r>
                  <w:r>
                    <w:rPr>
                      <w:rFonts w:hint="default" w:ascii="Times New Roman" w:hAnsi="Times New Roman" w:eastAsia="宋体" w:cs="Times New Roman"/>
                      <w:color w:val="auto"/>
                      <w:spacing w:val="-2"/>
                      <w:sz w:val="21"/>
                      <w:szCs w:val="21"/>
                      <w:u w:val="single"/>
                    </w:rPr>
                    <w:t>(ω/10</w:t>
                  </w:r>
                  <w:r>
                    <w:rPr>
                      <w:rFonts w:hint="default" w:ascii="Times New Roman" w:hAnsi="Times New Roman" w:eastAsia="宋体" w:cs="Times New Roman"/>
                      <w:color w:val="auto"/>
                      <w:spacing w:val="-2"/>
                      <w:position w:val="6"/>
                      <w:sz w:val="21"/>
                      <w:szCs w:val="21"/>
                      <w:u w:val="single"/>
                      <w:vertAlign w:val="superscript"/>
                    </w:rPr>
                    <w:t>-6</w:t>
                  </w:r>
                  <w:r>
                    <w:rPr>
                      <w:rFonts w:hint="default" w:ascii="Times New Roman" w:hAnsi="Times New Roman" w:eastAsia="宋体" w:cs="Times New Roman"/>
                      <w:color w:val="auto"/>
                      <w:spacing w:val="-2"/>
                      <w:sz w:val="21"/>
                      <w:szCs w:val="21"/>
                      <w:u w:val="single"/>
                    </w:rPr>
                    <w:t>）</w:t>
                  </w:r>
                </w:p>
              </w:tc>
            </w:tr>
            <w:tr w14:paraId="470B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1C16E76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8</w:t>
                  </w:r>
                </w:p>
              </w:tc>
              <w:tc>
                <w:tcPr>
                  <w:tcW w:w="581" w:type="pct"/>
                  <w:noWrap w:val="0"/>
                  <w:vAlign w:val="center"/>
                </w:tcPr>
                <w:p w14:paraId="42E7EC2D">
                  <w:pPr>
                    <w:keepNext w:val="0"/>
                    <w:keepLines w:val="0"/>
                    <w:pageBreakBefore w:val="0"/>
                    <w:widowControl/>
                    <w:kinsoku/>
                    <w:wordWrap/>
                    <w:overflowPunct/>
                    <w:topLinePunct w:val="0"/>
                    <w:autoSpaceDE/>
                    <w:autoSpaceDN/>
                    <w:bidi w:val="0"/>
                    <w:adjustRightInd/>
                    <w:spacing w:before="169" w:line="227" w:lineRule="auto"/>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6"/>
                      <w:sz w:val="21"/>
                      <w:szCs w:val="21"/>
                      <w:u w:val="single"/>
                    </w:rPr>
                    <w:t>有机碳</w:t>
                  </w:r>
                </w:p>
              </w:tc>
              <w:tc>
                <w:tcPr>
                  <w:tcW w:w="3078" w:type="pct"/>
                  <w:noWrap w:val="0"/>
                  <w:vAlign w:val="center"/>
                </w:tcPr>
                <w:p w14:paraId="7EECC982">
                  <w:pPr>
                    <w:pStyle w:val="230"/>
                    <w:keepNext w:val="0"/>
                    <w:keepLines w:val="0"/>
                    <w:pageBreakBefore w:val="0"/>
                    <w:widowControl/>
                    <w:kinsoku/>
                    <w:wordWrap/>
                    <w:overflowPunct/>
                    <w:topLinePunct w:val="0"/>
                    <w:autoSpaceDE/>
                    <w:autoSpaceDN/>
                    <w:bidi w:val="0"/>
                    <w:adjustRightInd/>
                    <w:spacing w:before="34" w:line="228" w:lineRule="auto"/>
                    <w:ind w:left="110"/>
                    <w:jc w:val="center"/>
                    <w:rPr>
                      <w:rFonts w:hint="default" w:ascii="Times New Roman" w:hAnsi="Times New Roman" w:eastAsia="宋体" w:cs="Times New Roman"/>
                      <w:color w:val="auto"/>
                      <w:spacing w:val="2"/>
                      <w:sz w:val="21"/>
                      <w:szCs w:val="21"/>
                      <w:u w:val="single"/>
                    </w:rPr>
                  </w:pPr>
                  <w:r>
                    <w:rPr>
                      <w:rFonts w:hint="default" w:ascii="Times New Roman" w:hAnsi="Times New Roman" w:eastAsia="宋体" w:cs="Times New Roman"/>
                      <w:color w:val="auto"/>
                      <w:spacing w:val="2"/>
                      <w:sz w:val="21"/>
                      <w:szCs w:val="21"/>
                      <w:u w:val="single"/>
                    </w:rPr>
                    <w:t>海洋监测规范</w:t>
                  </w:r>
                  <w:r>
                    <w:rPr>
                      <w:rFonts w:hint="eastAsia" w:ascii="Times New Roman" w:hAnsi="Times New Roman" w:cs="Times New Roman"/>
                      <w:color w:val="auto"/>
                      <w:spacing w:val="2"/>
                      <w:sz w:val="21"/>
                      <w:szCs w:val="21"/>
                      <w:u w:val="single"/>
                      <w:lang w:val="en-US" w:eastAsia="zh-CN"/>
                    </w:rPr>
                    <w:t xml:space="preserve"> </w:t>
                  </w:r>
                  <w:r>
                    <w:rPr>
                      <w:rFonts w:hint="default" w:ascii="Times New Roman" w:hAnsi="Times New Roman" w:eastAsia="宋体" w:cs="Times New Roman"/>
                      <w:color w:val="auto"/>
                      <w:spacing w:val="2"/>
                      <w:sz w:val="21"/>
                      <w:szCs w:val="21"/>
                      <w:u w:val="single"/>
                    </w:rPr>
                    <w:t>第5部分：沉淀物分析</w:t>
                  </w:r>
                </w:p>
                <w:p w14:paraId="14523B07">
                  <w:pPr>
                    <w:pStyle w:val="230"/>
                    <w:keepNext w:val="0"/>
                    <w:keepLines w:val="0"/>
                    <w:pageBreakBefore w:val="0"/>
                    <w:widowControl/>
                    <w:kinsoku/>
                    <w:wordWrap/>
                    <w:overflowPunct/>
                    <w:topLinePunct w:val="0"/>
                    <w:autoSpaceDE/>
                    <w:autoSpaceDN/>
                    <w:bidi w:val="0"/>
                    <w:adjustRightInd/>
                    <w:spacing w:before="34" w:line="228" w:lineRule="auto"/>
                    <w:ind w:left="110"/>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18.1重铬酸钾</w:t>
                  </w:r>
                  <w:r>
                    <w:rPr>
                      <w:rFonts w:hint="default" w:ascii="Times New Roman" w:hAnsi="Times New Roman" w:eastAsia="宋体" w:cs="Times New Roman"/>
                      <w:color w:val="auto"/>
                      <w:spacing w:val="5"/>
                      <w:sz w:val="21"/>
                      <w:szCs w:val="21"/>
                      <w:u w:val="single"/>
                    </w:rPr>
                    <w:t>氧化-还原容量法（</w:t>
                  </w:r>
                  <w:r>
                    <w:rPr>
                      <w:rFonts w:hint="default" w:ascii="Times New Roman" w:hAnsi="Times New Roman" w:eastAsia="宋体" w:cs="Times New Roman"/>
                      <w:color w:val="auto"/>
                      <w:sz w:val="21"/>
                      <w:szCs w:val="21"/>
                      <w:u w:val="single"/>
                    </w:rPr>
                    <w:t>GB</w:t>
                  </w:r>
                  <w:r>
                    <w:rPr>
                      <w:rFonts w:hint="default" w:ascii="Times New Roman" w:hAnsi="Times New Roman" w:eastAsia="宋体" w:cs="Times New Roman"/>
                      <w:color w:val="auto"/>
                      <w:spacing w:val="5"/>
                      <w:sz w:val="21"/>
                      <w:szCs w:val="21"/>
                      <w:u w:val="single"/>
                    </w:rPr>
                    <w:t>17378.5-2007）</w:t>
                  </w:r>
                </w:p>
              </w:tc>
              <w:tc>
                <w:tcPr>
                  <w:tcW w:w="956" w:type="pct"/>
                  <w:noWrap w:val="0"/>
                  <w:vAlign w:val="center"/>
                </w:tcPr>
                <w:p w14:paraId="4886E0F4">
                  <w:pPr>
                    <w:pStyle w:val="230"/>
                    <w:keepNext w:val="0"/>
                    <w:keepLines w:val="0"/>
                    <w:pageBreakBefore w:val="0"/>
                    <w:widowControl/>
                    <w:kinsoku/>
                    <w:wordWrap/>
                    <w:overflowPunct/>
                    <w:topLinePunct w:val="0"/>
                    <w:autoSpaceDE/>
                    <w:autoSpaceDN/>
                    <w:bidi w:val="0"/>
                    <w:adjustRightInd/>
                    <w:spacing w:before="201" w:line="199" w:lineRule="auto"/>
                    <w:ind w:left="766" w:leftChars="0"/>
                    <w:jc w:val="both"/>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w:t>
                  </w:r>
                </w:p>
              </w:tc>
            </w:tr>
            <w:tr w14:paraId="2B57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24BAB22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9</w:t>
                  </w:r>
                </w:p>
              </w:tc>
              <w:tc>
                <w:tcPr>
                  <w:tcW w:w="581" w:type="pct"/>
                  <w:noWrap w:val="0"/>
                  <w:vAlign w:val="center"/>
                </w:tcPr>
                <w:p w14:paraId="4E67F44D">
                  <w:pPr>
                    <w:keepNext w:val="0"/>
                    <w:keepLines w:val="0"/>
                    <w:pageBreakBefore w:val="0"/>
                    <w:widowControl/>
                    <w:kinsoku/>
                    <w:wordWrap/>
                    <w:overflowPunct/>
                    <w:topLinePunct w:val="0"/>
                    <w:autoSpaceDE/>
                    <w:autoSpaceDN/>
                    <w:bidi w:val="0"/>
                    <w:adjustRightInd/>
                    <w:spacing w:before="169" w:line="229" w:lineRule="auto"/>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7"/>
                      <w:sz w:val="21"/>
                      <w:szCs w:val="21"/>
                      <w:u w:val="single"/>
                    </w:rPr>
                    <w:t>硫化物</w:t>
                  </w:r>
                </w:p>
              </w:tc>
              <w:tc>
                <w:tcPr>
                  <w:tcW w:w="3078" w:type="pct"/>
                  <w:noWrap w:val="0"/>
                  <w:vAlign w:val="center"/>
                </w:tcPr>
                <w:p w14:paraId="494C74A6">
                  <w:pPr>
                    <w:pStyle w:val="230"/>
                    <w:keepNext w:val="0"/>
                    <w:keepLines w:val="0"/>
                    <w:pageBreakBefore w:val="0"/>
                    <w:widowControl/>
                    <w:kinsoku/>
                    <w:wordWrap/>
                    <w:overflowPunct/>
                    <w:topLinePunct w:val="0"/>
                    <w:autoSpaceDE/>
                    <w:autoSpaceDN/>
                    <w:bidi w:val="0"/>
                    <w:adjustRightInd/>
                    <w:spacing w:before="35" w:line="228" w:lineRule="auto"/>
                    <w:ind w:left="110"/>
                    <w:jc w:val="center"/>
                    <w:rPr>
                      <w:rFonts w:hint="default" w:ascii="Times New Roman" w:hAnsi="Times New Roman" w:eastAsia="宋体" w:cs="Times New Roman"/>
                      <w:color w:val="auto"/>
                      <w:spacing w:val="2"/>
                      <w:sz w:val="21"/>
                      <w:szCs w:val="21"/>
                      <w:u w:val="single"/>
                    </w:rPr>
                  </w:pPr>
                  <w:r>
                    <w:rPr>
                      <w:rFonts w:hint="default" w:ascii="Times New Roman" w:hAnsi="Times New Roman" w:eastAsia="宋体" w:cs="Times New Roman"/>
                      <w:color w:val="auto"/>
                      <w:spacing w:val="2"/>
                      <w:sz w:val="21"/>
                      <w:szCs w:val="21"/>
                      <w:u w:val="single"/>
                    </w:rPr>
                    <w:t>海洋监测规范</w:t>
                  </w:r>
                  <w:r>
                    <w:rPr>
                      <w:rFonts w:hint="eastAsia" w:ascii="Times New Roman" w:hAnsi="Times New Roman" w:cs="Times New Roman"/>
                      <w:color w:val="auto"/>
                      <w:spacing w:val="2"/>
                      <w:sz w:val="21"/>
                      <w:szCs w:val="21"/>
                      <w:u w:val="single"/>
                      <w:lang w:val="en-US" w:eastAsia="zh-CN"/>
                    </w:rPr>
                    <w:t xml:space="preserve"> </w:t>
                  </w:r>
                  <w:r>
                    <w:rPr>
                      <w:rFonts w:hint="default" w:ascii="Times New Roman" w:hAnsi="Times New Roman" w:eastAsia="宋体" w:cs="Times New Roman"/>
                      <w:color w:val="auto"/>
                      <w:spacing w:val="2"/>
                      <w:sz w:val="21"/>
                      <w:szCs w:val="21"/>
                      <w:u w:val="single"/>
                    </w:rPr>
                    <w:t>第5部分：沉积物分析</w:t>
                  </w:r>
                </w:p>
                <w:p w14:paraId="6BE30ACF">
                  <w:pPr>
                    <w:pStyle w:val="230"/>
                    <w:keepNext w:val="0"/>
                    <w:keepLines w:val="0"/>
                    <w:pageBreakBefore w:val="0"/>
                    <w:widowControl/>
                    <w:kinsoku/>
                    <w:wordWrap/>
                    <w:overflowPunct/>
                    <w:topLinePunct w:val="0"/>
                    <w:autoSpaceDE/>
                    <w:autoSpaceDN/>
                    <w:bidi w:val="0"/>
                    <w:adjustRightInd/>
                    <w:spacing w:before="35" w:line="228" w:lineRule="auto"/>
                    <w:ind w:left="110"/>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17.1亚甲基蓝</w:t>
                  </w:r>
                  <w:r>
                    <w:rPr>
                      <w:rFonts w:hint="default" w:ascii="Times New Roman" w:hAnsi="Times New Roman" w:eastAsia="宋体" w:cs="Times New Roman"/>
                      <w:color w:val="auto"/>
                      <w:spacing w:val="4"/>
                      <w:sz w:val="21"/>
                      <w:szCs w:val="21"/>
                      <w:u w:val="single"/>
                    </w:rPr>
                    <w:t>分光光度法（</w:t>
                  </w:r>
                  <w:r>
                    <w:rPr>
                      <w:rFonts w:hint="default" w:ascii="Times New Roman" w:hAnsi="Times New Roman" w:eastAsia="宋体" w:cs="Times New Roman"/>
                      <w:color w:val="auto"/>
                      <w:sz w:val="21"/>
                      <w:szCs w:val="21"/>
                      <w:u w:val="single"/>
                    </w:rPr>
                    <w:t>GB</w:t>
                  </w:r>
                  <w:r>
                    <w:rPr>
                      <w:rFonts w:hint="default" w:ascii="Times New Roman" w:hAnsi="Times New Roman" w:eastAsia="宋体" w:cs="Times New Roman"/>
                      <w:color w:val="auto"/>
                      <w:spacing w:val="4"/>
                      <w:sz w:val="21"/>
                      <w:szCs w:val="21"/>
                      <w:u w:val="single"/>
                    </w:rPr>
                    <w:t>17378.5-2007）</w:t>
                  </w:r>
                </w:p>
              </w:tc>
              <w:tc>
                <w:tcPr>
                  <w:tcW w:w="956" w:type="pct"/>
                  <w:noWrap w:val="0"/>
                  <w:vAlign w:val="center"/>
                </w:tcPr>
                <w:p w14:paraId="11F5C1DC">
                  <w:pPr>
                    <w:pStyle w:val="230"/>
                    <w:keepNext w:val="0"/>
                    <w:keepLines w:val="0"/>
                    <w:pageBreakBefore w:val="0"/>
                    <w:widowControl/>
                    <w:kinsoku/>
                    <w:wordWrap/>
                    <w:overflowPunct/>
                    <w:topLinePunct w:val="0"/>
                    <w:autoSpaceDE/>
                    <w:autoSpaceDN/>
                    <w:bidi w:val="0"/>
                    <w:adjustRightInd/>
                    <w:spacing w:before="169" w:line="231" w:lineRule="auto"/>
                    <w:ind w:left="199" w:leftChars="0"/>
                    <w:jc w:val="both"/>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0.3(ω/10</w:t>
                  </w:r>
                  <w:r>
                    <w:rPr>
                      <w:rFonts w:hint="default" w:ascii="Times New Roman" w:hAnsi="Times New Roman" w:eastAsia="宋体" w:cs="Times New Roman"/>
                      <w:color w:val="auto"/>
                      <w:spacing w:val="-2"/>
                      <w:position w:val="6"/>
                      <w:sz w:val="21"/>
                      <w:szCs w:val="21"/>
                      <w:u w:val="single"/>
                      <w:vertAlign w:val="superscript"/>
                    </w:rPr>
                    <w:t>-6</w:t>
                  </w:r>
                  <w:r>
                    <w:rPr>
                      <w:rFonts w:hint="default" w:ascii="Times New Roman" w:hAnsi="Times New Roman" w:eastAsia="宋体" w:cs="Times New Roman"/>
                      <w:color w:val="auto"/>
                      <w:spacing w:val="-2"/>
                      <w:sz w:val="21"/>
                      <w:szCs w:val="21"/>
                      <w:u w:val="single"/>
                    </w:rPr>
                    <w:t>）</w:t>
                  </w:r>
                </w:p>
              </w:tc>
            </w:tr>
            <w:tr w14:paraId="33A1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5DB1507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10</w:t>
                  </w:r>
                </w:p>
              </w:tc>
              <w:tc>
                <w:tcPr>
                  <w:tcW w:w="581" w:type="pct"/>
                  <w:noWrap w:val="0"/>
                  <w:vAlign w:val="center"/>
                </w:tcPr>
                <w:p w14:paraId="07E078D6">
                  <w:pPr>
                    <w:keepNext w:val="0"/>
                    <w:keepLines w:val="0"/>
                    <w:pageBreakBefore w:val="0"/>
                    <w:widowControl/>
                    <w:kinsoku/>
                    <w:wordWrap/>
                    <w:overflowPunct/>
                    <w:topLinePunct w:val="0"/>
                    <w:autoSpaceDE/>
                    <w:autoSpaceDN/>
                    <w:bidi w:val="0"/>
                    <w:adjustRightInd/>
                    <w:spacing w:before="170" w:line="228" w:lineRule="auto"/>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6"/>
                      <w:sz w:val="21"/>
                      <w:szCs w:val="21"/>
                      <w:u w:val="single"/>
                    </w:rPr>
                    <w:t>石油类</w:t>
                  </w:r>
                </w:p>
              </w:tc>
              <w:tc>
                <w:tcPr>
                  <w:tcW w:w="3078" w:type="pct"/>
                  <w:noWrap w:val="0"/>
                  <w:vAlign w:val="center"/>
                </w:tcPr>
                <w:p w14:paraId="61916C96">
                  <w:pPr>
                    <w:pStyle w:val="230"/>
                    <w:keepNext w:val="0"/>
                    <w:keepLines w:val="0"/>
                    <w:pageBreakBefore w:val="0"/>
                    <w:widowControl/>
                    <w:kinsoku/>
                    <w:wordWrap/>
                    <w:overflowPunct/>
                    <w:topLinePunct w:val="0"/>
                    <w:autoSpaceDE/>
                    <w:autoSpaceDN/>
                    <w:bidi w:val="0"/>
                    <w:adjustRightInd/>
                    <w:spacing w:before="36" w:line="228" w:lineRule="auto"/>
                    <w:ind w:left="122"/>
                    <w:jc w:val="center"/>
                    <w:rPr>
                      <w:rFonts w:hint="default" w:ascii="Times New Roman" w:hAnsi="Times New Roman" w:eastAsia="宋体" w:cs="Times New Roman"/>
                      <w:color w:val="auto"/>
                      <w:spacing w:val="5"/>
                      <w:sz w:val="21"/>
                      <w:szCs w:val="21"/>
                      <w:u w:val="single"/>
                    </w:rPr>
                  </w:pPr>
                  <w:r>
                    <w:rPr>
                      <w:rFonts w:hint="default" w:ascii="Times New Roman" w:hAnsi="Times New Roman" w:eastAsia="宋体" w:cs="Times New Roman"/>
                      <w:color w:val="auto"/>
                      <w:spacing w:val="5"/>
                      <w:sz w:val="21"/>
                      <w:szCs w:val="21"/>
                      <w:u w:val="single"/>
                    </w:rPr>
                    <w:t>海洋监测规范</w:t>
                  </w:r>
                  <w:r>
                    <w:rPr>
                      <w:rFonts w:hint="eastAsia" w:ascii="Times New Roman" w:hAnsi="Times New Roman" w:cs="Times New Roman"/>
                      <w:color w:val="auto"/>
                      <w:spacing w:val="5"/>
                      <w:sz w:val="21"/>
                      <w:szCs w:val="21"/>
                      <w:u w:val="single"/>
                      <w:lang w:val="en-US" w:eastAsia="zh-CN"/>
                    </w:rPr>
                    <w:t xml:space="preserve"> </w:t>
                  </w:r>
                  <w:r>
                    <w:rPr>
                      <w:rFonts w:hint="default" w:ascii="Times New Roman" w:hAnsi="Times New Roman" w:eastAsia="宋体" w:cs="Times New Roman"/>
                      <w:color w:val="auto"/>
                      <w:spacing w:val="5"/>
                      <w:sz w:val="21"/>
                      <w:szCs w:val="21"/>
                      <w:u w:val="single"/>
                    </w:rPr>
                    <w:t>第5部分：沉积物分析</w:t>
                  </w:r>
                </w:p>
                <w:p w14:paraId="029E0122">
                  <w:pPr>
                    <w:pStyle w:val="230"/>
                    <w:keepNext w:val="0"/>
                    <w:keepLines w:val="0"/>
                    <w:pageBreakBefore w:val="0"/>
                    <w:widowControl/>
                    <w:kinsoku/>
                    <w:wordWrap/>
                    <w:overflowPunct/>
                    <w:topLinePunct w:val="0"/>
                    <w:autoSpaceDE/>
                    <w:autoSpaceDN/>
                    <w:bidi w:val="0"/>
                    <w:adjustRightInd/>
                    <w:spacing w:before="36" w:line="228" w:lineRule="auto"/>
                    <w:ind w:left="122"/>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5"/>
                      <w:sz w:val="21"/>
                      <w:szCs w:val="21"/>
                      <w:u w:val="single"/>
                    </w:rPr>
                    <w:t>13.1荧光分光</w:t>
                  </w:r>
                  <w:r>
                    <w:rPr>
                      <w:rFonts w:hint="default" w:ascii="Times New Roman" w:hAnsi="Times New Roman" w:eastAsia="宋体" w:cs="Times New Roman"/>
                      <w:color w:val="auto"/>
                      <w:spacing w:val="4"/>
                      <w:sz w:val="21"/>
                      <w:szCs w:val="21"/>
                      <w:u w:val="single"/>
                    </w:rPr>
                    <w:t>光度法（</w:t>
                  </w:r>
                  <w:r>
                    <w:rPr>
                      <w:rFonts w:hint="default" w:ascii="Times New Roman" w:hAnsi="Times New Roman" w:eastAsia="宋体" w:cs="Times New Roman"/>
                      <w:color w:val="auto"/>
                      <w:sz w:val="21"/>
                      <w:szCs w:val="21"/>
                      <w:u w:val="single"/>
                    </w:rPr>
                    <w:t>GB</w:t>
                  </w:r>
                  <w:r>
                    <w:rPr>
                      <w:rFonts w:hint="default" w:ascii="Times New Roman" w:hAnsi="Times New Roman" w:eastAsia="宋体" w:cs="Times New Roman"/>
                      <w:color w:val="auto"/>
                      <w:spacing w:val="4"/>
                      <w:sz w:val="21"/>
                      <w:szCs w:val="21"/>
                      <w:u w:val="single"/>
                    </w:rPr>
                    <w:t>17378.5-2007）</w:t>
                  </w:r>
                </w:p>
              </w:tc>
              <w:tc>
                <w:tcPr>
                  <w:tcW w:w="956" w:type="pct"/>
                  <w:noWrap w:val="0"/>
                  <w:vAlign w:val="center"/>
                </w:tcPr>
                <w:p w14:paraId="6C76EA19">
                  <w:pPr>
                    <w:pStyle w:val="230"/>
                    <w:keepNext w:val="0"/>
                    <w:keepLines w:val="0"/>
                    <w:pageBreakBefore w:val="0"/>
                    <w:widowControl/>
                    <w:kinsoku/>
                    <w:wordWrap/>
                    <w:overflowPunct/>
                    <w:topLinePunct w:val="0"/>
                    <w:autoSpaceDE/>
                    <w:autoSpaceDN/>
                    <w:bidi w:val="0"/>
                    <w:adjustRightInd/>
                    <w:spacing w:before="170" w:line="231" w:lineRule="auto"/>
                    <w:ind w:left="216" w:leftChars="0"/>
                    <w:jc w:val="both"/>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4"/>
                      <w:sz w:val="21"/>
                      <w:szCs w:val="21"/>
                      <w:u w:val="single"/>
                    </w:rPr>
                    <w:t>1.0</w:t>
                  </w:r>
                  <w:r>
                    <w:rPr>
                      <w:rFonts w:hint="default" w:ascii="Times New Roman" w:hAnsi="Times New Roman" w:eastAsia="宋体" w:cs="Times New Roman"/>
                      <w:color w:val="auto"/>
                      <w:spacing w:val="-2"/>
                      <w:sz w:val="21"/>
                      <w:szCs w:val="21"/>
                      <w:u w:val="single"/>
                    </w:rPr>
                    <w:t>(ω/10</w:t>
                  </w:r>
                  <w:r>
                    <w:rPr>
                      <w:rFonts w:hint="default" w:ascii="Times New Roman" w:hAnsi="Times New Roman" w:eastAsia="宋体" w:cs="Times New Roman"/>
                      <w:color w:val="auto"/>
                      <w:spacing w:val="-2"/>
                      <w:position w:val="6"/>
                      <w:sz w:val="21"/>
                      <w:szCs w:val="21"/>
                      <w:u w:val="single"/>
                      <w:vertAlign w:val="superscript"/>
                    </w:rPr>
                    <w:t>-6</w:t>
                  </w:r>
                  <w:r>
                    <w:rPr>
                      <w:rFonts w:hint="default" w:ascii="Times New Roman" w:hAnsi="Times New Roman" w:eastAsia="宋体" w:cs="Times New Roman"/>
                      <w:color w:val="auto"/>
                      <w:spacing w:val="-2"/>
                      <w:sz w:val="21"/>
                      <w:szCs w:val="21"/>
                      <w:u w:val="single"/>
                    </w:rPr>
                    <w:t>）</w:t>
                  </w:r>
                </w:p>
              </w:tc>
            </w:tr>
            <w:tr w14:paraId="190D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15221B4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11</w:t>
                  </w:r>
                </w:p>
              </w:tc>
              <w:tc>
                <w:tcPr>
                  <w:tcW w:w="581" w:type="pct"/>
                  <w:noWrap w:val="0"/>
                  <w:vAlign w:val="center"/>
                </w:tcPr>
                <w:p w14:paraId="55881381">
                  <w:pPr>
                    <w:keepNext w:val="0"/>
                    <w:keepLines w:val="0"/>
                    <w:pageBreakBefore w:val="0"/>
                    <w:widowControl/>
                    <w:kinsoku/>
                    <w:wordWrap/>
                    <w:overflowPunct/>
                    <w:topLinePunct w:val="0"/>
                    <w:autoSpaceDE/>
                    <w:autoSpaceDN/>
                    <w:bidi w:val="0"/>
                    <w:adjustRightInd/>
                    <w:spacing w:before="172" w:line="228" w:lineRule="auto"/>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4"/>
                      <w:sz w:val="21"/>
                      <w:szCs w:val="21"/>
                      <w:u w:val="single"/>
                    </w:rPr>
                    <w:t>粒度</w:t>
                  </w:r>
                </w:p>
              </w:tc>
              <w:tc>
                <w:tcPr>
                  <w:tcW w:w="3078" w:type="pct"/>
                  <w:noWrap w:val="0"/>
                  <w:vAlign w:val="center"/>
                </w:tcPr>
                <w:p w14:paraId="5A3BC682">
                  <w:pPr>
                    <w:pStyle w:val="230"/>
                    <w:keepNext w:val="0"/>
                    <w:keepLines w:val="0"/>
                    <w:pageBreakBefore w:val="0"/>
                    <w:widowControl/>
                    <w:kinsoku/>
                    <w:wordWrap/>
                    <w:overflowPunct/>
                    <w:topLinePunct w:val="0"/>
                    <w:autoSpaceDE/>
                    <w:autoSpaceDN/>
                    <w:bidi w:val="0"/>
                    <w:adjustRightInd/>
                    <w:spacing w:before="36" w:line="232" w:lineRule="auto"/>
                    <w:ind w:left="629" w:leftChars="0" w:right="94" w:rightChars="0" w:hanging="519" w:firstLineChars="0"/>
                    <w:jc w:val="center"/>
                    <w:rPr>
                      <w:rFonts w:hint="default" w:ascii="Times New Roman" w:hAnsi="Times New Roman" w:eastAsia="宋体" w:cs="Times New Roman"/>
                      <w:color w:val="auto"/>
                      <w:spacing w:val="3"/>
                      <w:sz w:val="21"/>
                      <w:szCs w:val="21"/>
                      <w:u w:val="single"/>
                    </w:rPr>
                  </w:pPr>
                  <w:r>
                    <w:rPr>
                      <w:rFonts w:hint="default" w:ascii="Times New Roman" w:hAnsi="Times New Roman" w:eastAsia="宋体" w:cs="Times New Roman"/>
                      <w:color w:val="auto"/>
                      <w:spacing w:val="3"/>
                      <w:sz w:val="21"/>
                      <w:szCs w:val="21"/>
                      <w:u w:val="single"/>
                    </w:rPr>
                    <w:t>海洋调查规范</w:t>
                  </w:r>
                  <w:r>
                    <w:rPr>
                      <w:rFonts w:hint="eastAsia" w:ascii="Times New Roman" w:hAnsi="Times New Roman" w:cs="Times New Roman"/>
                      <w:color w:val="auto"/>
                      <w:spacing w:val="3"/>
                      <w:sz w:val="21"/>
                      <w:szCs w:val="21"/>
                      <w:u w:val="single"/>
                      <w:lang w:val="en-US" w:eastAsia="zh-CN"/>
                    </w:rPr>
                    <w:t xml:space="preserve"> </w:t>
                  </w:r>
                  <w:r>
                    <w:rPr>
                      <w:rFonts w:hint="default" w:ascii="Times New Roman" w:hAnsi="Times New Roman" w:eastAsia="宋体" w:cs="Times New Roman"/>
                      <w:color w:val="auto"/>
                      <w:spacing w:val="3"/>
                      <w:sz w:val="21"/>
                      <w:szCs w:val="21"/>
                      <w:u w:val="single"/>
                    </w:rPr>
                    <w:t>第8部分：海洋地质地球物理调查</w:t>
                  </w:r>
                </w:p>
                <w:p w14:paraId="3C42631A">
                  <w:pPr>
                    <w:pStyle w:val="230"/>
                    <w:keepNext w:val="0"/>
                    <w:keepLines w:val="0"/>
                    <w:pageBreakBefore w:val="0"/>
                    <w:widowControl/>
                    <w:kinsoku/>
                    <w:wordWrap/>
                    <w:overflowPunct/>
                    <w:topLinePunct w:val="0"/>
                    <w:autoSpaceDE/>
                    <w:autoSpaceDN/>
                    <w:bidi w:val="0"/>
                    <w:adjustRightInd/>
                    <w:spacing w:before="36" w:line="232" w:lineRule="auto"/>
                    <w:ind w:left="629" w:leftChars="0" w:right="94" w:rightChars="0" w:hanging="519" w:firstLineChars="0"/>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3"/>
                      <w:sz w:val="21"/>
                      <w:szCs w:val="21"/>
                      <w:u w:val="single"/>
                    </w:rPr>
                    <w:t>(6.3.2.3</w:t>
                  </w:r>
                  <w:r>
                    <w:rPr>
                      <w:rFonts w:hint="default" w:ascii="Times New Roman" w:hAnsi="Times New Roman" w:eastAsia="宋体" w:cs="Times New Roman"/>
                      <w:color w:val="auto"/>
                      <w:spacing w:val="6"/>
                      <w:sz w:val="21"/>
                      <w:szCs w:val="21"/>
                      <w:u w:val="single"/>
                    </w:rPr>
                    <w:t>沉积物粒度分析激光法)</w:t>
                  </w:r>
                  <w:r>
                    <w:rPr>
                      <w:rFonts w:hint="default" w:ascii="Times New Roman" w:hAnsi="Times New Roman" w:eastAsia="宋体" w:cs="Times New Roman"/>
                      <w:color w:val="auto"/>
                      <w:sz w:val="21"/>
                      <w:szCs w:val="21"/>
                      <w:u w:val="single"/>
                    </w:rPr>
                    <w:t>GB</w:t>
                  </w:r>
                  <w:r>
                    <w:rPr>
                      <w:rFonts w:hint="default" w:ascii="Times New Roman" w:hAnsi="Times New Roman" w:eastAsia="宋体" w:cs="Times New Roman"/>
                      <w:color w:val="auto"/>
                      <w:spacing w:val="6"/>
                      <w:sz w:val="21"/>
                      <w:szCs w:val="21"/>
                      <w:u w:val="single"/>
                    </w:rPr>
                    <w:t>/T12763.8</w:t>
                  </w:r>
                  <w:r>
                    <w:rPr>
                      <w:rFonts w:hint="default" w:ascii="Times New Roman" w:hAnsi="Times New Roman" w:eastAsia="宋体" w:cs="Times New Roman"/>
                      <w:color w:val="auto"/>
                      <w:spacing w:val="5"/>
                      <w:sz w:val="21"/>
                      <w:szCs w:val="21"/>
                      <w:u w:val="single"/>
                    </w:rPr>
                    <w:t>-2007</w:t>
                  </w:r>
                </w:p>
              </w:tc>
              <w:tc>
                <w:tcPr>
                  <w:tcW w:w="956" w:type="pct"/>
                  <w:noWrap w:val="0"/>
                  <w:vAlign w:val="center"/>
                </w:tcPr>
                <w:p w14:paraId="1B6DD545">
                  <w:pPr>
                    <w:pStyle w:val="230"/>
                    <w:keepNext w:val="0"/>
                    <w:keepLines w:val="0"/>
                    <w:pageBreakBefore w:val="0"/>
                    <w:widowControl/>
                    <w:kinsoku/>
                    <w:wordWrap/>
                    <w:overflowPunct/>
                    <w:topLinePunct w:val="0"/>
                    <w:autoSpaceDE/>
                    <w:autoSpaceDN/>
                    <w:bidi w:val="0"/>
                    <w:adjustRightInd/>
                    <w:spacing w:before="206" w:line="199" w:lineRule="auto"/>
                    <w:ind w:left="766" w:leftChars="0"/>
                    <w:jc w:val="both"/>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color w:val="auto"/>
                      <w:spacing w:val="2"/>
                      <w:sz w:val="21"/>
                      <w:szCs w:val="21"/>
                      <w:u w:val="single"/>
                    </w:rPr>
                    <w:t>/</w:t>
                  </w:r>
                </w:p>
              </w:tc>
            </w:tr>
          </w:tbl>
          <w:p w14:paraId="78D79B68">
            <w:pPr>
              <w:keepNext/>
              <w:keepLines/>
              <w:pageBreakBefore w:val="0"/>
              <w:widowControl/>
              <w:numPr>
                <w:ilvl w:val="0"/>
                <w:numId w:val="0"/>
              </w:numPr>
              <w:tabs>
                <w:tab w:val="left" w:pos="0"/>
              </w:tabs>
              <w:kinsoku/>
              <w:wordWrap/>
              <w:overflowPunct/>
              <w:topLinePunct w:val="0"/>
              <w:autoSpaceDE/>
              <w:autoSpaceDN/>
              <w:bidi w:val="0"/>
              <w:adjustRightInd w:val="0"/>
              <w:snapToGrid w:val="0"/>
              <w:spacing w:line="360" w:lineRule="auto"/>
              <w:ind w:leftChars="200"/>
              <w:jc w:val="both"/>
              <w:textAlignment w:val="auto"/>
              <w:outlineLvl w:val="3"/>
              <w:rPr>
                <w:rFonts w:hint="eastAsia" w:ascii="Times New Roman" w:hAnsi="Times New Roman" w:eastAsia="黑体" w:cs="Times New Roman"/>
                <w:b/>
                <w:bCs/>
                <w:color w:val="auto"/>
                <w:kern w:val="2"/>
                <w:sz w:val="24"/>
                <w:szCs w:val="28"/>
                <w:highlight w:val="none"/>
                <w:u w:val="single"/>
                <w:lang w:val="en-US" w:eastAsia="zh-CN" w:bidi="ar-SA"/>
              </w:rPr>
            </w:pPr>
            <w:r>
              <w:rPr>
                <w:rFonts w:hint="eastAsia" w:ascii="Times New Roman" w:hAnsi="Times New Roman" w:eastAsia="黑体" w:cs="Times New Roman"/>
                <w:b/>
                <w:bCs/>
                <w:color w:val="auto"/>
                <w:kern w:val="2"/>
                <w:sz w:val="24"/>
                <w:szCs w:val="28"/>
                <w:highlight w:val="none"/>
                <w:u w:val="single"/>
                <w:lang w:val="en-US" w:eastAsia="zh-CN" w:bidi="ar-SA"/>
              </w:rPr>
              <w:t>3.1.4.3疏浚物监测结果</w:t>
            </w:r>
          </w:p>
          <w:p w14:paraId="18AD6396">
            <w:pPr>
              <w:widowControl/>
              <w:spacing w:line="360" w:lineRule="auto"/>
              <w:ind w:firstLine="480" w:firstLineChars="200"/>
              <w:rPr>
                <w:rFonts w:hint="eastAsia" w:ascii="Times New Roman" w:hAnsi="Times New Roman" w:eastAsia="宋体" w:cs="Times New Roman"/>
                <w:color w:val="auto"/>
                <w:sz w:val="24"/>
                <w:highlight w:val="none"/>
                <w:u w:val="single"/>
              </w:rPr>
            </w:pPr>
            <w:r>
              <w:rPr>
                <w:rFonts w:hint="eastAsia" w:ascii="Times New Roman" w:hAnsi="Times New Roman" w:eastAsia="宋体" w:cs="Times New Roman"/>
                <w:color w:val="auto"/>
                <w:sz w:val="24"/>
                <w:highlight w:val="none"/>
                <w:u w:val="single"/>
                <w:lang w:val="en-US" w:eastAsia="zh-CN"/>
              </w:rPr>
              <w:t>疏浚物监测结果详见表3.1-39，疏浚物粒度分析结果详见表3.1-40</w:t>
            </w:r>
            <w:r>
              <w:rPr>
                <w:rFonts w:hint="eastAsia" w:ascii="Times New Roman" w:hAnsi="Times New Roman" w:eastAsia="宋体" w:cs="Times New Roman"/>
                <w:color w:val="auto"/>
                <w:sz w:val="24"/>
                <w:highlight w:val="none"/>
                <w:u w:val="single"/>
              </w:rPr>
              <w:t>。</w:t>
            </w:r>
          </w:p>
          <w:p w14:paraId="44BAAE80">
            <w:pPr>
              <w:keepNext/>
              <w:keepLines/>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jc w:val="center"/>
              <w:textAlignment w:val="auto"/>
              <w:outlineLvl w:val="4"/>
              <w:rPr>
                <w:rFonts w:hint="eastAsia" w:ascii="Times New Roman" w:hAnsi="Times New Roman" w:eastAsia="宋体" w:cs="Times New Roman"/>
                <w:b/>
                <w:bCs/>
                <w:color w:val="auto"/>
                <w:kern w:val="2"/>
                <w:sz w:val="21"/>
                <w:szCs w:val="21"/>
                <w:highlight w:val="none"/>
                <w:u w:val="single"/>
                <w:lang w:val="en-US" w:eastAsia="zh-CN" w:bidi="ar-SA"/>
              </w:rPr>
            </w:pPr>
            <w:r>
              <w:rPr>
                <w:rFonts w:hint="eastAsia" w:ascii="Times New Roman" w:hAnsi="Times New Roman" w:eastAsia="宋体" w:cs="Times New Roman"/>
                <w:b/>
                <w:bCs/>
                <w:color w:val="auto"/>
                <w:kern w:val="2"/>
                <w:sz w:val="21"/>
                <w:szCs w:val="21"/>
                <w:highlight w:val="none"/>
                <w:u w:val="single"/>
                <w:lang w:val="en-US" w:eastAsia="zh-CN" w:bidi="ar-SA"/>
              </w:rPr>
              <w:t>表3.1-39疏浚物监测结果</w:t>
            </w:r>
          </w:p>
          <w:tbl>
            <w:tblPr>
              <w:tblStyle w:val="229"/>
              <w:tblW w:w="499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24"/>
              <w:gridCol w:w="756"/>
              <w:gridCol w:w="630"/>
              <w:gridCol w:w="751"/>
              <w:gridCol w:w="635"/>
              <w:gridCol w:w="739"/>
              <w:gridCol w:w="744"/>
              <w:gridCol w:w="739"/>
              <w:gridCol w:w="739"/>
              <w:gridCol w:w="744"/>
              <w:gridCol w:w="831"/>
            </w:tblGrid>
            <w:tr w14:paraId="5D679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717" w:type="pct"/>
                  <w:vMerge w:val="restart"/>
                  <w:tcBorders>
                    <w:bottom w:val="nil"/>
                  </w:tcBorders>
                  <w:noWrap w:val="0"/>
                  <w:vAlign w:val="center"/>
                </w:tcPr>
                <w:p w14:paraId="7DEE96AF">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4"/>
                      <w:sz w:val="21"/>
                      <w:szCs w:val="21"/>
                      <w:u w:val="single"/>
                    </w:rPr>
                    <w:t>站位编号</w:t>
                  </w:r>
                </w:p>
              </w:tc>
              <w:tc>
                <w:tcPr>
                  <w:tcW w:w="4282" w:type="pct"/>
                  <w:gridSpan w:val="10"/>
                  <w:noWrap w:val="0"/>
                  <w:vAlign w:val="center"/>
                </w:tcPr>
                <w:p w14:paraId="63A9C4DC">
                  <w:pPr>
                    <w:keepNext w:val="0"/>
                    <w:keepLines w:val="0"/>
                    <w:pageBreakBefore w:val="0"/>
                    <w:widowControl w:val="0"/>
                    <w:kinsoku/>
                    <w:wordWrap/>
                    <w:overflowPunct/>
                    <w:topLinePunct w:val="0"/>
                    <w:autoSpaceDE/>
                    <w:autoSpaceDN/>
                    <w:bidi w:val="0"/>
                    <w:adjustRightInd/>
                    <w:snapToGrid/>
                    <w:spacing w:line="283" w:lineRule="exact"/>
                    <w:ind w:lef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b/>
                      <w:bCs/>
                      <w:color w:val="auto"/>
                      <w:spacing w:val="-1"/>
                      <w:sz w:val="21"/>
                      <w:szCs w:val="21"/>
                      <w:u w:val="single"/>
                    </w:rPr>
                    <w:t>ω/10</w:t>
                  </w:r>
                  <w:r>
                    <w:rPr>
                      <w:rFonts w:hint="eastAsia" w:ascii="Times New Roman" w:hAnsi="Times New Roman" w:eastAsia="宋体" w:cs="Times New Roman"/>
                      <w:b/>
                      <w:bCs/>
                      <w:color w:val="auto"/>
                      <w:spacing w:val="-1"/>
                      <w:sz w:val="21"/>
                      <w:szCs w:val="21"/>
                      <w:u w:val="single"/>
                      <w:vertAlign w:val="superscript"/>
                      <w:lang w:val="en-US" w:eastAsia="zh-CN"/>
                    </w:rPr>
                    <w:t>-6</w:t>
                  </w:r>
                </w:p>
              </w:tc>
            </w:tr>
            <w:tr w14:paraId="16A0E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17" w:type="pct"/>
                  <w:vMerge w:val="continue"/>
                  <w:tcBorders>
                    <w:top w:val="nil"/>
                  </w:tcBorders>
                  <w:noWrap w:val="0"/>
                  <w:vAlign w:val="center"/>
                </w:tcPr>
                <w:p w14:paraId="62AE0BB9">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szCs w:val="21"/>
                      <w:u w:val="single"/>
                    </w:rPr>
                  </w:pPr>
                </w:p>
              </w:tc>
              <w:tc>
                <w:tcPr>
                  <w:tcW w:w="443" w:type="pct"/>
                  <w:noWrap w:val="0"/>
                  <w:vAlign w:val="center"/>
                </w:tcPr>
                <w:p w14:paraId="2146ADB8">
                  <w:pPr>
                    <w:pStyle w:val="230"/>
                    <w:keepNext w:val="0"/>
                    <w:keepLines w:val="0"/>
                    <w:pageBreakBefore w:val="0"/>
                    <w:widowControl w:val="0"/>
                    <w:kinsoku/>
                    <w:wordWrap/>
                    <w:overflowPunct/>
                    <w:topLinePunct w:val="0"/>
                    <w:autoSpaceDE/>
                    <w:autoSpaceDN/>
                    <w:bidi w:val="0"/>
                    <w:adjustRightInd/>
                    <w:snapToGrid/>
                    <w:spacing w:line="234"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3"/>
                      <w:sz w:val="21"/>
                      <w:szCs w:val="21"/>
                      <w:u w:val="single"/>
                    </w:rPr>
                    <w:t>有机碳*</w:t>
                  </w:r>
                </w:p>
              </w:tc>
              <w:tc>
                <w:tcPr>
                  <w:tcW w:w="369" w:type="pct"/>
                  <w:noWrap w:val="0"/>
                  <w:vAlign w:val="center"/>
                </w:tcPr>
                <w:p w14:paraId="6D91C68A">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5"/>
                      <w:sz w:val="21"/>
                      <w:szCs w:val="21"/>
                      <w:u w:val="single"/>
                    </w:rPr>
                    <w:t>油类</w:t>
                  </w:r>
                </w:p>
              </w:tc>
              <w:tc>
                <w:tcPr>
                  <w:tcW w:w="440" w:type="pct"/>
                  <w:noWrap w:val="0"/>
                  <w:vAlign w:val="center"/>
                </w:tcPr>
                <w:p w14:paraId="2F10F2FF">
                  <w:pPr>
                    <w:pStyle w:val="230"/>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4"/>
                      <w:sz w:val="21"/>
                      <w:szCs w:val="21"/>
                      <w:u w:val="single"/>
                    </w:rPr>
                    <w:t>硫化物</w:t>
                  </w:r>
                </w:p>
              </w:tc>
              <w:tc>
                <w:tcPr>
                  <w:tcW w:w="372" w:type="pct"/>
                  <w:noWrap w:val="0"/>
                  <w:vAlign w:val="center"/>
                </w:tcPr>
                <w:p w14:paraId="13AE4335">
                  <w:pPr>
                    <w:pStyle w:val="230"/>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3"/>
                      <w:sz w:val="21"/>
                      <w:szCs w:val="21"/>
                      <w:u w:val="single"/>
                    </w:rPr>
                    <w:t>铜</w:t>
                  </w:r>
                </w:p>
              </w:tc>
              <w:tc>
                <w:tcPr>
                  <w:tcW w:w="433" w:type="pct"/>
                  <w:noWrap w:val="0"/>
                  <w:vAlign w:val="center"/>
                </w:tcPr>
                <w:p w14:paraId="30ECDA34">
                  <w:pPr>
                    <w:pStyle w:val="230"/>
                    <w:keepNext w:val="0"/>
                    <w:keepLines w:val="0"/>
                    <w:pageBreakBefore w:val="0"/>
                    <w:widowControl w:val="0"/>
                    <w:kinsoku/>
                    <w:wordWrap/>
                    <w:overflowPunct/>
                    <w:topLinePunct w:val="0"/>
                    <w:autoSpaceDE/>
                    <w:autoSpaceDN/>
                    <w:bidi w:val="0"/>
                    <w:adjustRightInd/>
                    <w:snapToGrid/>
                    <w:spacing w:line="225"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3"/>
                      <w:sz w:val="21"/>
                      <w:szCs w:val="21"/>
                      <w:u w:val="single"/>
                    </w:rPr>
                    <w:t>铅</w:t>
                  </w:r>
                </w:p>
              </w:tc>
              <w:tc>
                <w:tcPr>
                  <w:tcW w:w="436" w:type="pct"/>
                  <w:noWrap w:val="0"/>
                  <w:vAlign w:val="center"/>
                </w:tcPr>
                <w:p w14:paraId="5B36B024">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3"/>
                      <w:sz w:val="21"/>
                      <w:szCs w:val="21"/>
                      <w:u w:val="single"/>
                    </w:rPr>
                    <w:t>锌</w:t>
                  </w:r>
                </w:p>
              </w:tc>
              <w:tc>
                <w:tcPr>
                  <w:tcW w:w="433" w:type="pct"/>
                  <w:noWrap w:val="0"/>
                  <w:vAlign w:val="center"/>
                </w:tcPr>
                <w:p w14:paraId="35A1B7C5">
                  <w:pPr>
                    <w:pStyle w:val="230"/>
                    <w:keepNext w:val="0"/>
                    <w:keepLines w:val="0"/>
                    <w:pageBreakBefore w:val="0"/>
                    <w:widowControl w:val="0"/>
                    <w:kinsoku/>
                    <w:wordWrap/>
                    <w:overflowPunct/>
                    <w:topLinePunct w:val="0"/>
                    <w:autoSpaceDE/>
                    <w:autoSpaceDN/>
                    <w:bidi w:val="0"/>
                    <w:adjustRightInd/>
                    <w:snapToGrid/>
                    <w:spacing w:line="223"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3"/>
                      <w:sz w:val="21"/>
                      <w:szCs w:val="21"/>
                      <w:u w:val="single"/>
                    </w:rPr>
                    <w:t>镉</w:t>
                  </w:r>
                </w:p>
              </w:tc>
              <w:tc>
                <w:tcPr>
                  <w:tcW w:w="433" w:type="pct"/>
                  <w:noWrap w:val="0"/>
                  <w:vAlign w:val="center"/>
                </w:tcPr>
                <w:p w14:paraId="1E5D2E1D">
                  <w:pPr>
                    <w:pStyle w:val="230"/>
                    <w:keepNext w:val="0"/>
                    <w:keepLines w:val="0"/>
                    <w:pageBreakBefore w:val="0"/>
                    <w:widowControl w:val="0"/>
                    <w:kinsoku/>
                    <w:wordWrap/>
                    <w:overflowPunct/>
                    <w:topLinePunct w:val="0"/>
                    <w:autoSpaceDE/>
                    <w:autoSpaceDN/>
                    <w:bidi w:val="0"/>
                    <w:adjustRightInd/>
                    <w:snapToGrid/>
                    <w:spacing w:line="223"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3"/>
                      <w:sz w:val="21"/>
                      <w:szCs w:val="21"/>
                      <w:u w:val="single"/>
                    </w:rPr>
                    <w:t>铬</w:t>
                  </w:r>
                </w:p>
              </w:tc>
              <w:tc>
                <w:tcPr>
                  <w:tcW w:w="436" w:type="pct"/>
                  <w:noWrap w:val="0"/>
                  <w:vAlign w:val="center"/>
                </w:tcPr>
                <w:p w14:paraId="0903028E">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3"/>
                      <w:sz w:val="21"/>
                      <w:szCs w:val="21"/>
                      <w:u w:val="single"/>
                    </w:rPr>
                    <w:t>汞</w:t>
                  </w:r>
                </w:p>
              </w:tc>
              <w:tc>
                <w:tcPr>
                  <w:tcW w:w="482" w:type="pct"/>
                  <w:noWrap w:val="0"/>
                  <w:vAlign w:val="center"/>
                </w:tcPr>
                <w:p w14:paraId="70544E88">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3"/>
                      <w:sz w:val="21"/>
                      <w:szCs w:val="21"/>
                      <w:u w:val="single"/>
                    </w:rPr>
                    <w:t>砷</w:t>
                  </w:r>
                </w:p>
              </w:tc>
            </w:tr>
            <w:tr w14:paraId="10546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17" w:type="pct"/>
                  <w:noWrap w:val="0"/>
                  <w:vAlign w:val="center"/>
                </w:tcPr>
                <w:p w14:paraId="14449023">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eastAsia"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pacing w:val="-2"/>
                      <w:sz w:val="21"/>
                      <w:szCs w:val="21"/>
                      <w:u w:val="single"/>
                    </w:rPr>
                    <w:t>GQ</w:t>
                  </w:r>
                  <w:r>
                    <w:rPr>
                      <w:rFonts w:hint="eastAsia" w:ascii="Times New Roman" w:hAnsi="Times New Roman" w:eastAsia="宋体" w:cs="Times New Roman"/>
                      <w:color w:val="auto"/>
                      <w:spacing w:val="-2"/>
                      <w:sz w:val="21"/>
                      <w:szCs w:val="21"/>
                      <w:u w:val="single"/>
                      <w:lang w:val="en-US" w:eastAsia="zh-CN"/>
                    </w:rPr>
                    <w:t>7</w:t>
                  </w:r>
                </w:p>
              </w:tc>
              <w:tc>
                <w:tcPr>
                  <w:tcW w:w="762" w:type="dxa"/>
                  <w:noWrap w:val="0"/>
                  <w:vAlign w:val="center"/>
                </w:tcPr>
                <w:p w14:paraId="73A4C23D">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635" w:type="dxa"/>
                  <w:noWrap w:val="0"/>
                  <w:vAlign w:val="center"/>
                </w:tcPr>
                <w:p w14:paraId="372253B5">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58" w:type="dxa"/>
                  <w:noWrap w:val="0"/>
                  <w:vAlign w:val="center"/>
                </w:tcPr>
                <w:p w14:paraId="39C93788">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641" w:type="dxa"/>
                  <w:noWrap w:val="0"/>
                  <w:vAlign w:val="center"/>
                </w:tcPr>
                <w:p w14:paraId="14EA3BD4">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45" w:type="dxa"/>
                  <w:noWrap w:val="0"/>
                  <w:vAlign w:val="center"/>
                </w:tcPr>
                <w:p w14:paraId="5A3788CC">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51" w:type="dxa"/>
                  <w:noWrap w:val="0"/>
                  <w:vAlign w:val="center"/>
                </w:tcPr>
                <w:p w14:paraId="12A7C382">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45" w:type="dxa"/>
                  <w:noWrap w:val="0"/>
                  <w:vAlign w:val="center"/>
                </w:tcPr>
                <w:p w14:paraId="04C7BEBB">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45" w:type="dxa"/>
                  <w:noWrap w:val="0"/>
                  <w:vAlign w:val="center"/>
                </w:tcPr>
                <w:p w14:paraId="4232AE93">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51" w:type="dxa"/>
                  <w:noWrap w:val="0"/>
                  <w:vAlign w:val="center"/>
                </w:tcPr>
                <w:p w14:paraId="6F5DB862">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829" w:type="dxa"/>
                  <w:noWrap w:val="0"/>
                  <w:vAlign w:val="center"/>
                </w:tcPr>
                <w:p w14:paraId="1F8D1D7F">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r>
            <w:tr w14:paraId="54885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17" w:type="pct"/>
                  <w:noWrap w:val="0"/>
                  <w:vAlign w:val="center"/>
                </w:tcPr>
                <w:p w14:paraId="45BAF14F">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eastAsia"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pacing w:val="-2"/>
                      <w:sz w:val="21"/>
                      <w:szCs w:val="21"/>
                      <w:u w:val="single"/>
                    </w:rPr>
                    <w:t>GQ</w:t>
                  </w:r>
                  <w:r>
                    <w:rPr>
                      <w:rFonts w:hint="eastAsia" w:ascii="Times New Roman" w:hAnsi="Times New Roman" w:eastAsia="宋体" w:cs="Times New Roman"/>
                      <w:color w:val="auto"/>
                      <w:spacing w:val="-2"/>
                      <w:sz w:val="21"/>
                      <w:szCs w:val="21"/>
                      <w:u w:val="single"/>
                      <w:lang w:val="en-US" w:eastAsia="zh-CN"/>
                    </w:rPr>
                    <w:t>8</w:t>
                  </w:r>
                </w:p>
              </w:tc>
              <w:tc>
                <w:tcPr>
                  <w:tcW w:w="762" w:type="dxa"/>
                  <w:noWrap w:val="0"/>
                  <w:vAlign w:val="center"/>
                </w:tcPr>
                <w:p w14:paraId="68ECDF1E">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635" w:type="dxa"/>
                  <w:noWrap w:val="0"/>
                  <w:vAlign w:val="center"/>
                </w:tcPr>
                <w:p w14:paraId="501BA311">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58" w:type="dxa"/>
                  <w:noWrap w:val="0"/>
                  <w:vAlign w:val="center"/>
                </w:tcPr>
                <w:p w14:paraId="140E8528">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641" w:type="dxa"/>
                  <w:noWrap w:val="0"/>
                  <w:vAlign w:val="center"/>
                </w:tcPr>
                <w:p w14:paraId="408249B0">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45" w:type="dxa"/>
                  <w:noWrap w:val="0"/>
                  <w:vAlign w:val="center"/>
                </w:tcPr>
                <w:p w14:paraId="7B4679EB">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51" w:type="dxa"/>
                  <w:noWrap w:val="0"/>
                  <w:vAlign w:val="center"/>
                </w:tcPr>
                <w:p w14:paraId="52D1C891">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45" w:type="dxa"/>
                  <w:noWrap w:val="0"/>
                  <w:vAlign w:val="center"/>
                </w:tcPr>
                <w:p w14:paraId="2E033EBA">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45" w:type="dxa"/>
                  <w:noWrap w:val="0"/>
                  <w:vAlign w:val="center"/>
                </w:tcPr>
                <w:p w14:paraId="1250039E">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51" w:type="dxa"/>
                  <w:noWrap w:val="0"/>
                  <w:vAlign w:val="center"/>
                </w:tcPr>
                <w:p w14:paraId="61E16D72">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829" w:type="dxa"/>
                  <w:noWrap w:val="0"/>
                  <w:vAlign w:val="center"/>
                </w:tcPr>
                <w:p w14:paraId="4E186A22">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r>
            <w:tr w14:paraId="05BA4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17" w:type="pct"/>
                  <w:noWrap w:val="0"/>
                  <w:vAlign w:val="center"/>
                </w:tcPr>
                <w:p w14:paraId="0960D1CC">
                  <w:pPr>
                    <w:pStyle w:val="230"/>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pacing w:val="-1"/>
                      <w:sz w:val="21"/>
                      <w:szCs w:val="21"/>
                      <w:u w:val="single"/>
                    </w:rPr>
                    <w:t>GQ9（对照点）</w:t>
                  </w:r>
                </w:p>
              </w:tc>
              <w:tc>
                <w:tcPr>
                  <w:tcW w:w="762" w:type="dxa"/>
                  <w:noWrap w:val="0"/>
                  <w:vAlign w:val="center"/>
                </w:tcPr>
                <w:p w14:paraId="28518CF0">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635" w:type="dxa"/>
                  <w:noWrap w:val="0"/>
                  <w:vAlign w:val="center"/>
                </w:tcPr>
                <w:p w14:paraId="16770FBF">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58" w:type="dxa"/>
                  <w:noWrap w:val="0"/>
                  <w:vAlign w:val="center"/>
                </w:tcPr>
                <w:p w14:paraId="293377A2">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641" w:type="dxa"/>
                  <w:noWrap w:val="0"/>
                  <w:vAlign w:val="center"/>
                </w:tcPr>
                <w:p w14:paraId="3CB17B29">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45" w:type="dxa"/>
                  <w:noWrap w:val="0"/>
                  <w:vAlign w:val="center"/>
                </w:tcPr>
                <w:p w14:paraId="6FEB4891">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51" w:type="dxa"/>
                  <w:noWrap w:val="0"/>
                  <w:vAlign w:val="center"/>
                </w:tcPr>
                <w:p w14:paraId="702E373E">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45" w:type="dxa"/>
                  <w:noWrap w:val="0"/>
                  <w:vAlign w:val="center"/>
                </w:tcPr>
                <w:p w14:paraId="283E594B">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45" w:type="dxa"/>
                  <w:noWrap w:val="0"/>
                  <w:vAlign w:val="center"/>
                </w:tcPr>
                <w:p w14:paraId="0410D690">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51" w:type="dxa"/>
                  <w:noWrap w:val="0"/>
                  <w:vAlign w:val="center"/>
                </w:tcPr>
                <w:p w14:paraId="4DB7943D">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829" w:type="dxa"/>
                  <w:noWrap w:val="0"/>
                  <w:vAlign w:val="center"/>
                </w:tcPr>
                <w:p w14:paraId="7C5FBA0A">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r>
            <w:tr w14:paraId="3757B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717" w:type="pct"/>
                  <w:noWrap w:val="0"/>
                  <w:vAlign w:val="center"/>
                </w:tcPr>
                <w:p w14:paraId="24C17422">
                  <w:pPr>
                    <w:pStyle w:val="230"/>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pacing w:val="-3"/>
                      <w:sz w:val="21"/>
                      <w:szCs w:val="21"/>
                      <w:u w:val="single"/>
                    </w:rPr>
                    <w:t>备注</w:t>
                  </w:r>
                </w:p>
              </w:tc>
              <w:tc>
                <w:tcPr>
                  <w:tcW w:w="4282" w:type="pct"/>
                  <w:gridSpan w:val="10"/>
                  <w:noWrap w:val="0"/>
                  <w:vAlign w:val="center"/>
                </w:tcPr>
                <w:p w14:paraId="0B9816E5">
                  <w:pPr>
                    <w:pStyle w:val="230"/>
                    <w:keepNext w:val="0"/>
                    <w:keepLines w:val="0"/>
                    <w:pageBreakBefore w:val="0"/>
                    <w:widowControl w:val="0"/>
                    <w:kinsoku/>
                    <w:wordWrap/>
                    <w:overflowPunct/>
                    <w:topLinePunct w:val="0"/>
                    <w:autoSpaceDE/>
                    <w:autoSpaceDN/>
                    <w:bidi w:val="0"/>
                    <w:adjustRightInd/>
                    <w:snapToGrid/>
                    <w:spacing w:line="282" w:lineRule="exact"/>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position w:val="1"/>
                      <w:sz w:val="21"/>
                      <w:szCs w:val="21"/>
                      <w:u w:val="single"/>
                    </w:rPr>
                    <w:t>*有机碳的单位为</w:t>
                  </w:r>
                  <w:r>
                    <w:rPr>
                      <w:rFonts w:hint="default" w:ascii="Times New Roman" w:hAnsi="Times New Roman" w:eastAsia="宋体" w:cs="Times New Roman"/>
                      <w:color w:val="auto"/>
                      <w:spacing w:val="-21"/>
                      <w:position w:val="1"/>
                      <w:sz w:val="21"/>
                      <w:szCs w:val="21"/>
                      <w:u w:val="single"/>
                    </w:rPr>
                    <w:t xml:space="preserve"> </w:t>
                  </w:r>
                  <w:r>
                    <w:rPr>
                      <w:rFonts w:hint="default" w:ascii="Times New Roman" w:hAnsi="Times New Roman" w:eastAsia="宋体" w:cs="Times New Roman"/>
                      <w:color w:val="auto"/>
                      <w:position w:val="1"/>
                      <w:sz w:val="21"/>
                      <w:szCs w:val="21"/>
                      <w:u w:val="single"/>
                    </w:rPr>
                    <w:t>10</w:t>
                  </w:r>
                  <w:r>
                    <w:rPr>
                      <w:rFonts w:hint="eastAsia" w:ascii="Times New Roman" w:hAnsi="Times New Roman" w:cs="Times New Roman"/>
                      <w:color w:val="auto"/>
                      <w:position w:val="1"/>
                      <w:sz w:val="21"/>
                      <w:szCs w:val="21"/>
                      <w:u w:val="single"/>
                      <w:vertAlign w:val="superscript"/>
                      <w:lang w:val="en-US" w:eastAsia="zh-CN"/>
                    </w:rPr>
                    <w:t>-2</w:t>
                  </w:r>
                  <w:r>
                    <w:rPr>
                      <w:rFonts w:hint="default" w:ascii="Times New Roman" w:hAnsi="Times New Roman" w:eastAsia="宋体" w:cs="Times New Roman"/>
                      <w:color w:val="auto"/>
                      <w:position w:val="1"/>
                      <w:sz w:val="21"/>
                      <w:szCs w:val="21"/>
                      <w:u w:val="single"/>
                    </w:rPr>
                    <w:t>，</w:t>
                  </w:r>
                  <w:r>
                    <w:rPr>
                      <w:rFonts w:hint="eastAsia" w:ascii="Times New Roman" w:hAnsi="Times New Roman" w:cs="Times New Roman"/>
                      <w:color w:val="auto"/>
                      <w:position w:val="1"/>
                      <w:sz w:val="21"/>
                      <w:szCs w:val="21"/>
                      <w:u w:val="single"/>
                      <w:lang w:eastAsia="zh-CN"/>
                    </w:rPr>
                    <w:t>“</w:t>
                  </w:r>
                  <w:r>
                    <w:rPr>
                      <w:rFonts w:hint="default" w:ascii="Times New Roman" w:hAnsi="Times New Roman" w:eastAsia="宋体" w:cs="Times New Roman"/>
                      <w:color w:val="auto"/>
                      <w:position w:val="1"/>
                      <w:sz w:val="21"/>
                      <w:szCs w:val="21"/>
                      <w:u w:val="single"/>
                    </w:rPr>
                    <w:t>&lt;检出限</w:t>
                  </w:r>
                  <w:r>
                    <w:rPr>
                      <w:rFonts w:hint="default" w:ascii="Times New Roman" w:hAnsi="Times New Roman" w:eastAsia="宋体" w:cs="Times New Roman"/>
                      <w:color w:val="auto"/>
                      <w:spacing w:val="-77"/>
                      <w:position w:val="1"/>
                      <w:sz w:val="21"/>
                      <w:szCs w:val="21"/>
                      <w:u w:val="single"/>
                    </w:rPr>
                    <w:t xml:space="preserve"> </w:t>
                  </w:r>
                  <w:r>
                    <w:rPr>
                      <w:rFonts w:hint="eastAsia" w:ascii="Times New Roman" w:hAnsi="Times New Roman" w:cs="Times New Roman"/>
                      <w:color w:val="auto"/>
                      <w:position w:val="1"/>
                      <w:sz w:val="21"/>
                      <w:szCs w:val="21"/>
                      <w:u w:val="single"/>
                      <w:lang w:eastAsia="zh-CN"/>
                    </w:rPr>
                    <w:t>”</w:t>
                  </w:r>
                  <w:r>
                    <w:rPr>
                      <w:rFonts w:hint="default" w:ascii="Times New Roman" w:hAnsi="Times New Roman" w:eastAsia="宋体" w:cs="Times New Roman"/>
                      <w:color w:val="auto"/>
                      <w:position w:val="1"/>
                      <w:sz w:val="21"/>
                      <w:szCs w:val="21"/>
                      <w:u w:val="single"/>
                    </w:rPr>
                    <w:t>表示未检出。</w:t>
                  </w:r>
                </w:p>
              </w:tc>
            </w:tr>
          </w:tbl>
          <w:p w14:paraId="6ECF7E55">
            <w:pPr>
              <w:keepNext/>
              <w:keepLines/>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jc w:val="center"/>
              <w:textAlignment w:val="auto"/>
              <w:outlineLvl w:val="4"/>
              <w:rPr>
                <w:rFonts w:hint="default" w:ascii="Times New Roman" w:hAnsi="Times New Roman" w:eastAsia="宋体" w:cs="Times New Roman"/>
                <w:b/>
                <w:bCs/>
                <w:color w:val="auto"/>
                <w:kern w:val="2"/>
                <w:sz w:val="21"/>
                <w:szCs w:val="21"/>
                <w:highlight w:val="none"/>
                <w:u w:val="single"/>
                <w:lang w:val="en-US" w:eastAsia="zh-CN" w:bidi="ar-SA"/>
              </w:rPr>
            </w:pPr>
            <w:r>
              <w:rPr>
                <w:rFonts w:hint="eastAsia" w:ascii="Times New Roman" w:hAnsi="Times New Roman" w:eastAsia="宋体" w:cs="Times New Roman"/>
                <w:b/>
                <w:bCs/>
                <w:color w:val="auto"/>
                <w:kern w:val="2"/>
                <w:sz w:val="21"/>
                <w:szCs w:val="21"/>
                <w:highlight w:val="none"/>
                <w:u w:val="single"/>
                <w:lang w:val="en-US" w:eastAsia="zh-CN" w:bidi="ar-SA"/>
              </w:rPr>
              <w:t>表3.1-40 疏浚物粒度分析结果</w:t>
            </w:r>
          </w:p>
          <w:tbl>
            <w:tblPr>
              <w:tblStyle w:val="229"/>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62"/>
              <w:gridCol w:w="1364"/>
              <w:gridCol w:w="1366"/>
              <w:gridCol w:w="1364"/>
              <w:gridCol w:w="1374"/>
              <w:gridCol w:w="1714"/>
            </w:tblGrid>
            <w:tr w14:paraId="72AD9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7" w:type="pct"/>
                  <w:vMerge w:val="restart"/>
                  <w:tcBorders>
                    <w:bottom w:val="nil"/>
                  </w:tcBorders>
                  <w:noWrap w:val="0"/>
                  <w:vAlign w:val="center"/>
                </w:tcPr>
                <w:p w14:paraId="5A10C3AE">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default" w:ascii="Times New Roman" w:hAnsi="Times New Roman" w:eastAsia="宋体" w:cs="Times New Roman"/>
                      <w:b w:val="0"/>
                      <w:bCs w:val="0"/>
                      <w:color w:val="auto"/>
                      <w:spacing w:val="-2"/>
                      <w:sz w:val="21"/>
                      <w:szCs w:val="21"/>
                      <w:u w:val="single"/>
                    </w:rPr>
                    <w:t>站位编号</w:t>
                  </w:r>
                </w:p>
              </w:tc>
              <w:tc>
                <w:tcPr>
                  <w:tcW w:w="3199" w:type="pct"/>
                  <w:gridSpan w:val="4"/>
                  <w:noWrap w:val="0"/>
                  <w:vAlign w:val="center"/>
                </w:tcPr>
                <w:p w14:paraId="35BCEEF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default" w:ascii="Times New Roman" w:hAnsi="Times New Roman" w:eastAsia="宋体" w:cs="Times New Roman"/>
                      <w:b w:val="0"/>
                      <w:bCs w:val="0"/>
                      <w:color w:val="auto"/>
                      <w:spacing w:val="-2"/>
                      <w:sz w:val="21"/>
                      <w:szCs w:val="21"/>
                      <w:u w:val="single"/>
                    </w:rPr>
                    <w:t>粒组含量%</w:t>
                  </w:r>
                </w:p>
              </w:tc>
              <w:tc>
                <w:tcPr>
                  <w:tcW w:w="1003" w:type="pct"/>
                  <w:vMerge w:val="restart"/>
                  <w:tcBorders>
                    <w:bottom w:val="nil"/>
                  </w:tcBorders>
                  <w:noWrap w:val="0"/>
                  <w:vAlign w:val="center"/>
                </w:tcPr>
                <w:p w14:paraId="7749B092">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u w:val="single"/>
                    </w:rPr>
                  </w:pPr>
                </w:p>
                <w:p w14:paraId="219A8C4A">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u w:val="single"/>
                    </w:rPr>
                  </w:pPr>
                  <w:r>
                    <w:rPr>
                      <w:rFonts w:hint="default" w:ascii="Times New Roman" w:hAnsi="Times New Roman" w:eastAsia="宋体" w:cs="Times New Roman"/>
                      <w:b w:val="0"/>
                      <w:bCs w:val="0"/>
                      <w:color w:val="auto"/>
                      <w:spacing w:val="-4"/>
                      <w:sz w:val="21"/>
                      <w:szCs w:val="21"/>
                      <w:u w:val="single"/>
                    </w:rPr>
                    <w:t>名称及代号</w:t>
                  </w:r>
                </w:p>
              </w:tc>
            </w:tr>
            <w:tr w14:paraId="5D116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7" w:type="pct"/>
                  <w:vMerge w:val="continue"/>
                  <w:tcBorders>
                    <w:top w:val="nil"/>
                  </w:tcBorders>
                  <w:noWrap w:val="0"/>
                  <w:vAlign w:val="center"/>
                </w:tcPr>
                <w:p w14:paraId="7A27A4DE">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p>
              </w:tc>
              <w:tc>
                <w:tcPr>
                  <w:tcW w:w="798" w:type="pct"/>
                  <w:noWrap w:val="0"/>
                  <w:vAlign w:val="center"/>
                </w:tcPr>
                <w:p w14:paraId="5C1FBC2C">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default" w:ascii="Times New Roman" w:hAnsi="Times New Roman" w:eastAsia="宋体" w:cs="Times New Roman"/>
                      <w:b w:val="0"/>
                      <w:bCs w:val="0"/>
                      <w:color w:val="auto"/>
                      <w:spacing w:val="-2"/>
                      <w:sz w:val="21"/>
                      <w:szCs w:val="21"/>
                      <w:u w:val="single"/>
                    </w:rPr>
                    <w:t>砾石</w:t>
                  </w:r>
                </w:p>
                <w:p w14:paraId="1D1D4904">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default" w:ascii="Times New Roman" w:hAnsi="Times New Roman" w:eastAsia="宋体" w:cs="Times New Roman"/>
                      <w:b w:val="0"/>
                      <w:bCs w:val="0"/>
                      <w:color w:val="auto"/>
                      <w:spacing w:val="-2"/>
                      <w:sz w:val="21"/>
                      <w:szCs w:val="21"/>
                      <w:u w:val="single"/>
                    </w:rPr>
                    <w:t>(&gt;2mm）</w:t>
                  </w:r>
                </w:p>
              </w:tc>
              <w:tc>
                <w:tcPr>
                  <w:tcW w:w="799" w:type="pct"/>
                  <w:noWrap w:val="0"/>
                  <w:vAlign w:val="center"/>
                </w:tcPr>
                <w:p w14:paraId="5C670E47">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default" w:ascii="Times New Roman" w:hAnsi="Times New Roman" w:eastAsia="宋体" w:cs="Times New Roman"/>
                      <w:b w:val="0"/>
                      <w:bCs w:val="0"/>
                      <w:color w:val="auto"/>
                      <w:spacing w:val="-2"/>
                      <w:sz w:val="21"/>
                      <w:szCs w:val="21"/>
                      <w:u w:val="single"/>
                    </w:rPr>
                    <w:t>砂</w:t>
                  </w:r>
                </w:p>
                <w:p w14:paraId="5EA6F844">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default" w:ascii="Times New Roman" w:hAnsi="Times New Roman" w:eastAsia="宋体" w:cs="Times New Roman"/>
                      <w:b w:val="0"/>
                      <w:bCs w:val="0"/>
                      <w:color w:val="auto"/>
                      <w:spacing w:val="-2"/>
                      <w:sz w:val="21"/>
                      <w:szCs w:val="21"/>
                      <w:u w:val="single"/>
                    </w:rPr>
                    <w:t>（63μm ，2mm]</w:t>
                  </w:r>
                </w:p>
              </w:tc>
              <w:tc>
                <w:tcPr>
                  <w:tcW w:w="798" w:type="pct"/>
                  <w:noWrap w:val="0"/>
                  <w:vAlign w:val="center"/>
                </w:tcPr>
                <w:p w14:paraId="7D03388C">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default" w:ascii="Times New Roman" w:hAnsi="Times New Roman" w:eastAsia="宋体" w:cs="Times New Roman"/>
                      <w:b w:val="0"/>
                      <w:bCs w:val="0"/>
                      <w:color w:val="auto"/>
                      <w:spacing w:val="-2"/>
                      <w:sz w:val="21"/>
                      <w:szCs w:val="21"/>
                      <w:u w:val="single"/>
                    </w:rPr>
                    <w:t>粉砂</w:t>
                  </w:r>
                </w:p>
                <w:p w14:paraId="6B85565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default" w:ascii="Times New Roman" w:hAnsi="Times New Roman" w:eastAsia="宋体" w:cs="Times New Roman"/>
                      <w:b w:val="0"/>
                      <w:bCs w:val="0"/>
                      <w:color w:val="auto"/>
                      <w:spacing w:val="-2"/>
                      <w:sz w:val="21"/>
                      <w:szCs w:val="21"/>
                      <w:u w:val="single"/>
                    </w:rPr>
                    <w:t>（4μm ，63μm]</w:t>
                  </w:r>
                </w:p>
              </w:tc>
              <w:tc>
                <w:tcPr>
                  <w:tcW w:w="803" w:type="pct"/>
                  <w:noWrap w:val="0"/>
                  <w:vAlign w:val="center"/>
                </w:tcPr>
                <w:p w14:paraId="00C5C6CC">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u w:val="single"/>
                    </w:rPr>
                  </w:pPr>
                  <w:r>
                    <w:rPr>
                      <w:rFonts w:hint="default" w:ascii="Times New Roman" w:hAnsi="Times New Roman" w:eastAsia="宋体" w:cs="Times New Roman"/>
                      <w:b w:val="0"/>
                      <w:bCs w:val="0"/>
                      <w:color w:val="auto"/>
                      <w:spacing w:val="-4"/>
                      <w:sz w:val="21"/>
                      <w:szCs w:val="21"/>
                      <w:u w:val="single"/>
                    </w:rPr>
                    <w:t>黏土</w:t>
                  </w:r>
                </w:p>
                <w:p w14:paraId="2C01366A">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u w:val="single"/>
                    </w:rPr>
                  </w:pPr>
                  <w:r>
                    <w:rPr>
                      <w:rFonts w:hint="default" w:ascii="Times New Roman" w:hAnsi="Times New Roman" w:eastAsia="宋体" w:cs="Times New Roman"/>
                      <w:b w:val="0"/>
                      <w:bCs w:val="0"/>
                      <w:color w:val="auto"/>
                      <w:spacing w:val="-4"/>
                      <w:sz w:val="21"/>
                      <w:szCs w:val="21"/>
                      <w:u w:val="single"/>
                    </w:rPr>
                    <w:t>（0μm ，4μm]</w:t>
                  </w:r>
                </w:p>
              </w:tc>
              <w:tc>
                <w:tcPr>
                  <w:tcW w:w="1003" w:type="pct"/>
                  <w:vMerge w:val="continue"/>
                  <w:tcBorders>
                    <w:top w:val="nil"/>
                  </w:tcBorders>
                  <w:noWrap w:val="0"/>
                  <w:vAlign w:val="center"/>
                </w:tcPr>
                <w:p w14:paraId="1C8A345D">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u w:val="single"/>
                    </w:rPr>
                  </w:pPr>
                </w:p>
              </w:tc>
            </w:tr>
            <w:tr w14:paraId="5E7A4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7" w:type="pct"/>
                  <w:noWrap w:val="0"/>
                  <w:vAlign w:val="center"/>
                </w:tcPr>
                <w:p w14:paraId="29EC8567">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eastAsia" w:ascii="Times New Roman" w:hAnsi="Times New Roman" w:eastAsia="宋体" w:cs="Times New Roman"/>
                      <w:b w:val="0"/>
                      <w:bCs w:val="0"/>
                      <w:color w:val="auto"/>
                      <w:spacing w:val="-2"/>
                      <w:sz w:val="21"/>
                      <w:szCs w:val="21"/>
                      <w:u w:val="single"/>
                      <w:lang w:eastAsia="zh-CN"/>
                    </w:rPr>
                  </w:pPr>
                  <w:r>
                    <w:rPr>
                      <w:rFonts w:hint="default" w:ascii="Times New Roman" w:hAnsi="Times New Roman" w:eastAsia="宋体" w:cs="Times New Roman"/>
                      <w:b w:val="0"/>
                      <w:bCs w:val="0"/>
                      <w:color w:val="auto"/>
                      <w:spacing w:val="-2"/>
                      <w:sz w:val="21"/>
                      <w:szCs w:val="21"/>
                      <w:u w:val="single"/>
                    </w:rPr>
                    <w:t>GQ</w:t>
                  </w:r>
                  <w:r>
                    <w:rPr>
                      <w:rFonts w:hint="eastAsia" w:ascii="Times New Roman" w:hAnsi="Times New Roman" w:eastAsia="宋体" w:cs="Times New Roman"/>
                      <w:b w:val="0"/>
                      <w:bCs w:val="0"/>
                      <w:color w:val="auto"/>
                      <w:spacing w:val="-2"/>
                      <w:sz w:val="21"/>
                      <w:szCs w:val="21"/>
                      <w:u w:val="single"/>
                      <w:lang w:val="en-US" w:eastAsia="zh-CN"/>
                    </w:rPr>
                    <w:t>7</w:t>
                  </w:r>
                </w:p>
              </w:tc>
              <w:tc>
                <w:tcPr>
                  <w:tcW w:w="1374" w:type="dxa"/>
                  <w:noWrap w:val="0"/>
                  <w:vAlign w:val="center"/>
                </w:tcPr>
                <w:p w14:paraId="139CF8D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1376" w:type="dxa"/>
                  <w:noWrap w:val="0"/>
                  <w:vAlign w:val="center"/>
                </w:tcPr>
                <w:p w14:paraId="19015A3A">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1374" w:type="dxa"/>
                  <w:noWrap w:val="0"/>
                  <w:vAlign w:val="center"/>
                </w:tcPr>
                <w:p w14:paraId="265455E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1383" w:type="dxa"/>
                  <w:noWrap w:val="0"/>
                  <w:vAlign w:val="center"/>
                </w:tcPr>
                <w:p w14:paraId="32B4DB93">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1728" w:type="dxa"/>
                  <w:noWrap w:val="0"/>
                  <w:vAlign w:val="center"/>
                </w:tcPr>
                <w:p w14:paraId="2D8D0291">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default" w:ascii="Times New Roman" w:hAnsi="Times New Roman" w:eastAsia="宋体" w:cs="Times New Roman"/>
                      <w:b w:val="0"/>
                      <w:bCs w:val="0"/>
                      <w:color w:val="auto"/>
                      <w:spacing w:val="-2"/>
                      <w:sz w:val="21"/>
                      <w:szCs w:val="21"/>
                      <w:u w:val="single"/>
                    </w:rPr>
                    <w:t>砂质粉砂 S-T</w:t>
                  </w:r>
                </w:p>
              </w:tc>
            </w:tr>
            <w:tr w14:paraId="5F1E6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7" w:type="pct"/>
                  <w:noWrap w:val="0"/>
                  <w:vAlign w:val="center"/>
                </w:tcPr>
                <w:p w14:paraId="450BEEAD">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eastAsia" w:ascii="Times New Roman" w:hAnsi="Times New Roman" w:eastAsia="宋体" w:cs="Times New Roman"/>
                      <w:b w:val="0"/>
                      <w:bCs w:val="0"/>
                      <w:color w:val="auto"/>
                      <w:spacing w:val="-2"/>
                      <w:sz w:val="21"/>
                      <w:szCs w:val="21"/>
                      <w:u w:val="single"/>
                      <w:lang w:eastAsia="zh-CN"/>
                    </w:rPr>
                  </w:pPr>
                  <w:r>
                    <w:rPr>
                      <w:rFonts w:hint="default" w:ascii="Times New Roman" w:hAnsi="Times New Roman" w:eastAsia="宋体" w:cs="Times New Roman"/>
                      <w:b w:val="0"/>
                      <w:bCs w:val="0"/>
                      <w:color w:val="auto"/>
                      <w:spacing w:val="-2"/>
                      <w:sz w:val="21"/>
                      <w:szCs w:val="21"/>
                      <w:u w:val="single"/>
                    </w:rPr>
                    <w:t>GQ</w:t>
                  </w:r>
                  <w:r>
                    <w:rPr>
                      <w:rFonts w:hint="eastAsia" w:ascii="Times New Roman" w:hAnsi="Times New Roman" w:eastAsia="宋体" w:cs="Times New Roman"/>
                      <w:b w:val="0"/>
                      <w:bCs w:val="0"/>
                      <w:color w:val="auto"/>
                      <w:spacing w:val="-2"/>
                      <w:sz w:val="21"/>
                      <w:szCs w:val="21"/>
                      <w:u w:val="single"/>
                      <w:lang w:val="en-US" w:eastAsia="zh-CN"/>
                    </w:rPr>
                    <w:t>8</w:t>
                  </w:r>
                </w:p>
              </w:tc>
              <w:tc>
                <w:tcPr>
                  <w:tcW w:w="1374" w:type="dxa"/>
                  <w:noWrap w:val="0"/>
                  <w:vAlign w:val="center"/>
                </w:tcPr>
                <w:p w14:paraId="023A5E81">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1376" w:type="dxa"/>
                  <w:noWrap w:val="0"/>
                  <w:vAlign w:val="center"/>
                </w:tcPr>
                <w:p w14:paraId="2F270E12">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1374" w:type="dxa"/>
                  <w:noWrap w:val="0"/>
                  <w:vAlign w:val="center"/>
                </w:tcPr>
                <w:p w14:paraId="6489357A">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1383" w:type="dxa"/>
                  <w:noWrap w:val="0"/>
                  <w:vAlign w:val="center"/>
                </w:tcPr>
                <w:p w14:paraId="503A9F3F">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1728" w:type="dxa"/>
                  <w:noWrap w:val="0"/>
                  <w:vAlign w:val="center"/>
                </w:tcPr>
                <w:p w14:paraId="6C4BD57E">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default" w:ascii="Times New Roman" w:hAnsi="Times New Roman" w:eastAsia="宋体" w:cs="Times New Roman"/>
                      <w:b w:val="0"/>
                      <w:bCs w:val="0"/>
                      <w:color w:val="auto"/>
                      <w:spacing w:val="-2"/>
                      <w:sz w:val="21"/>
                      <w:szCs w:val="21"/>
                      <w:u w:val="single"/>
                    </w:rPr>
                    <w:t>砂质粉砂 S-T</w:t>
                  </w:r>
                </w:p>
              </w:tc>
            </w:tr>
            <w:tr w14:paraId="6A715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7" w:type="pct"/>
                  <w:noWrap w:val="0"/>
                  <w:vAlign w:val="center"/>
                </w:tcPr>
                <w:p w14:paraId="79A2EE8E">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default" w:ascii="Times New Roman" w:hAnsi="Times New Roman" w:eastAsia="宋体" w:cs="Times New Roman"/>
                      <w:b w:val="0"/>
                      <w:bCs w:val="0"/>
                      <w:color w:val="auto"/>
                      <w:spacing w:val="-2"/>
                      <w:sz w:val="21"/>
                      <w:szCs w:val="21"/>
                      <w:u w:val="single"/>
                    </w:rPr>
                    <w:t>GQ9（对照点）</w:t>
                  </w:r>
                </w:p>
              </w:tc>
              <w:tc>
                <w:tcPr>
                  <w:tcW w:w="798" w:type="pct"/>
                  <w:noWrap w:val="0"/>
                  <w:vAlign w:val="center"/>
                </w:tcPr>
                <w:p w14:paraId="35316D77">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99" w:type="pct"/>
                  <w:noWrap w:val="0"/>
                  <w:vAlign w:val="center"/>
                </w:tcPr>
                <w:p w14:paraId="46F23C55">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798" w:type="pct"/>
                  <w:noWrap w:val="0"/>
                  <w:vAlign w:val="center"/>
                </w:tcPr>
                <w:p w14:paraId="6ED5DE2A">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u w:val="single"/>
                    </w:rPr>
                  </w:pPr>
                  <w:r>
                    <w:rPr>
                      <w:rFonts w:hint="eastAsia" w:ascii="Times New Roman" w:hAnsi="Times New Roman" w:eastAsia="宋体" w:cs="Times New Roman"/>
                      <w:color w:val="auto"/>
                      <w:sz w:val="24"/>
                      <w:highlight w:val="none"/>
                      <w:lang w:val="en-US" w:eastAsia="zh-CN"/>
                    </w:rPr>
                    <w:t>***</w:t>
                  </w:r>
                </w:p>
              </w:tc>
              <w:tc>
                <w:tcPr>
                  <w:tcW w:w="803" w:type="pct"/>
                  <w:noWrap w:val="0"/>
                  <w:vAlign w:val="center"/>
                </w:tcPr>
                <w:p w14:paraId="61FBA38F">
                  <w:pPr>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u w:val="single"/>
                    </w:rPr>
                  </w:pPr>
                  <w:r>
                    <w:rPr>
                      <w:rFonts w:hint="eastAsia" w:ascii="Times New Roman" w:hAnsi="Times New Roman" w:eastAsia="宋体" w:cs="Times New Roman"/>
                      <w:color w:val="auto"/>
                      <w:sz w:val="24"/>
                      <w:highlight w:val="none"/>
                      <w:lang w:val="en-US" w:eastAsia="zh-CN"/>
                    </w:rPr>
                    <w:t>***</w:t>
                  </w:r>
                </w:p>
              </w:tc>
              <w:tc>
                <w:tcPr>
                  <w:tcW w:w="1003" w:type="pct"/>
                  <w:noWrap w:val="0"/>
                  <w:vAlign w:val="center"/>
                </w:tcPr>
                <w:p w14:paraId="70D8A425">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u w:val="single"/>
                    </w:rPr>
                  </w:pPr>
                  <w:r>
                    <w:rPr>
                      <w:rFonts w:hint="default" w:ascii="Times New Roman" w:hAnsi="Times New Roman" w:eastAsia="宋体" w:cs="Times New Roman"/>
                      <w:b w:val="0"/>
                      <w:bCs w:val="0"/>
                      <w:color w:val="auto"/>
                      <w:spacing w:val="-4"/>
                      <w:sz w:val="21"/>
                      <w:szCs w:val="21"/>
                      <w:u w:val="single"/>
                    </w:rPr>
                    <w:t>砂质粉砂 S-T</w:t>
                  </w:r>
                </w:p>
              </w:tc>
            </w:tr>
          </w:tbl>
          <w:p w14:paraId="01CDB11A">
            <w:pPr>
              <w:keepNext/>
              <w:keepLines/>
              <w:pageBreakBefore w:val="0"/>
              <w:widowControl/>
              <w:numPr>
                <w:ilvl w:val="0"/>
                <w:numId w:val="0"/>
              </w:numPr>
              <w:tabs>
                <w:tab w:val="left" w:pos="0"/>
              </w:tabs>
              <w:kinsoku/>
              <w:wordWrap/>
              <w:overflowPunct/>
              <w:topLinePunct w:val="0"/>
              <w:autoSpaceDE/>
              <w:autoSpaceDN/>
              <w:bidi w:val="0"/>
              <w:adjustRightInd w:val="0"/>
              <w:snapToGrid w:val="0"/>
              <w:spacing w:line="360" w:lineRule="auto"/>
              <w:ind w:leftChars="200"/>
              <w:jc w:val="both"/>
              <w:textAlignment w:val="auto"/>
              <w:outlineLvl w:val="3"/>
              <w:rPr>
                <w:rFonts w:hint="eastAsia" w:ascii="Times New Roman" w:hAnsi="Times New Roman" w:eastAsia="黑体" w:cs="Times New Roman"/>
                <w:b/>
                <w:bCs/>
                <w:color w:val="auto"/>
                <w:kern w:val="2"/>
                <w:sz w:val="24"/>
                <w:szCs w:val="28"/>
                <w:highlight w:val="none"/>
                <w:u w:val="single"/>
                <w:lang w:val="en-US" w:eastAsia="zh-CN" w:bidi="ar-SA"/>
              </w:rPr>
            </w:pPr>
            <w:r>
              <w:rPr>
                <w:rFonts w:hint="eastAsia" w:ascii="Times New Roman" w:hAnsi="Times New Roman" w:eastAsia="黑体" w:cs="Times New Roman"/>
                <w:b/>
                <w:bCs/>
                <w:color w:val="auto"/>
                <w:kern w:val="2"/>
                <w:sz w:val="24"/>
                <w:szCs w:val="28"/>
                <w:highlight w:val="none"/>
                <w:u w:val="single"/>
                <w:lang w:val="en-US" w:eastAsia="zh-CN" w:bidi="ar-SA"/>
              </w:rPr>
              <w:t>3.1.4.4 疏浚物分类评价</w:t>
            </w:r>
          </w:p>
          <w:p w14:paraId="2297C27F">
            <w:pPr>
              <w:widowControl/>
              <w:spacing w:line="360" w:lineRule="auto"/>
              <w:ind w:firstLine="480" w:firstLineChars="200"/>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（1）疏浚物分类评价方法</w:t>
            </w:r>
          </w:p>
          <w:p w14:paraId="647915F8">
            <w:pPr>
              <w:widowControl/>
              <w:spacing w:line="360" w:lineRule="auto"/>
              <w:ind w:firstLine="480" w:firstLineChars="200"/>
              <w:rPr>
                <w:rFonts w:hint="default" w:ascii="Times New Roman" w:hAnsi="Times New Roman" w:eastAsia="宋体" w:cs="Times New Roman"/>
                <w:color w:val="auto"/>
                <w:sz w:val="24"/>
                <w:highlight w:val="none"/>
                <w:u w:val="single"/>
                <w:lang w:val="en-US"/>
              </w:rPr>
            </w:pPr>
            <w:r>
              <w:rPr>
                <w:rFonts w:hint="eastAsia" w:ascii="Times New Roman" w:hAnsi="Times New Roman" w:eastAsia="宋体" w:cs="Times New Roman"/>
                <w:color w:val="auto"/>
                <w:sz w:val="24"/>
                <w:highlight w:val="none"/>
                <w:u w:val="single"/>
                <w:lang w:val="en-US" w:eastAsia="zh-CN"/>
              </w:rPr>
              <w:t>按照《海洋倾倒物质评价规范疏浚物》（</w:t>
            </w:r>
            <w:r>
              <w:rPr>
                <w:rFonts w:hint="default" w:ascii="Times New Roman" w:hAnsi="Times New Roman" w:eastAsia="宋体" w:cs="Times New Roman"/>
                <w:color w:val="auto"/>
                <w:sz w:val="24"/>
                <w:highlight w:val="none"/>
                <w:u w:val="single"/>
                <w:lang w:val="en-US" w:eastAsia="zh-CN"/>
              </w:rPr>
              <w:t>GB 30980-2014</w:t>
            </w:r>
            <w:r>
              <w:rPr>
                <w:rFonts w:hint="eastAsia" w:ascii="Times New Roman" w:hAnsi="Times New Roman" w:eastAsia="宋体" w:cs="Times New Roman"/>
                <w:color w:val="auto"/>
                <w:sz w:val="24"/>
                <w:highlight w:val="none"/>
                <w:u w:val="single"/>
                <w:lang w:val="en-US" w:eastAsia="zh-CN"/>
              </w:rPr>
              <w:t>）中“</w:t>
            </w:r>
            <w:r>
              <w:rPr>
                <w:rFonts w:hint="default" w:ascii="Times New Roman" w:hAnsi="Times New Roman" w:eastAsia="宋体" w:cs="Times New Roman"/>
                <w:color w:val="auto"/>
                <w:sz w:val="24"/>
                <w:highlight w:val="none"/>
                <w:u w:val="single"/>
                <w:lang w:val="en-US" w:eastAsia="zh-CN"/>
              </w:rPr>
              <w:t xml:space="preserve">5 </w:t>
            </w:r>
            <w:r>
              <w:rPr>
                <w:rFonts w:hint="eastAsia" w:ascii="Times New Roman" w:hAnsi="Times New Roman" w:eastAsia="宋体" w:cs="Times New Roman"/>
                <w:color w:val="auto"/>
                <w:sz w:val="24"/>
                <w:highlight w:val="none"/>
                <w:u w:val="single"/>
                <w:lang w:val="en-US" w:eastAsia="zh-CN"/>
              </w:rPr>
              <w:t>疏浚物类别化学评价限值”和“</w:t>
            </w:r>
            <w:r>
              <w:rPr>
                <w:rFonts w:hint="default" w:ascii="Times New Roman" w:hAnsi="Times New Roman" w:eastAsia="宋体" w:cs="Times New Roman"/>
                <w:color w:val="auto"/>
                <w:sz w:val="24"/>
                <w:highlight w:val="none"/>
                <w:u w:val="single"/>
                <w:lang w:val="en-US" w:eastAsia="zh-CN"/>
              </w:rPr>
              <w:t xml:space="preserve">6 </w:t>
            </w:r>
            <w:r>
              <w:rPr>
                <w:rFonts w:hint="eastAsia" w:ascii="Times New Roman" w:hAnsi="Times New Roman" w:eastAsia="宋体" w:cs="Times New Roman"/>
                <w:color w:val="auto"/>
                <w:sz w:val="24"/>
                <w:highlight w:val="none"/>
                <w:u w:val="single"/>
                <w:lang w:val="en-US" w:eastAsia="zh-CN"/>
              </w:rPr>
              <w:t>疏浚物分类”规定，对疏浚物进行分类评价。疏浚物一共分为三类，分别为：清洁疏浚物（</w:t>
            </w:r>
            <w:r>
              <w:rPr>
                <w:rFonts w:hint="default" w:ascii="Times New Roman" w:hAnsi="Times New Roman" w:eastAsia="宋体" w:cs="Times New Roman"/>
                <w:color w:val="auto"/>
                <w:sz w:val="24"/>
                <w:highlight w:val="none"/>
                <w:u w:val="single"/>
                <w:lang w:val="en-US" w:eastAsia="zh-CN"/>
              </w:rPr>
              <w:t xml:space="preserve">I </w:t>
            </w:r>
            <w:r>
              <w:rPr>
                <w:rFonts w:hint="eastAsia" w:ascii="Times New Roman" w:hAnsi="Times New Roman" w:eastAsia="宋体" w:cs="Times New Roman"/>
                <w:color w:val="auto"/>
                <w:sz w:val="24"/>
                <w:highlight w:val="none"/>
                <w:u w:val="single"/>
                <w:lang w:val="en-US" w:eastAsia="zh-CN"/>
              </w:rPr>
              <w:t>类）、沾污疏浚物（Ⅱ类）和污染疏浚物（Ⅲ类），疏浚物类别化学评价限值和分类标准详见表3.1-41。</w:t>
            </w:r>
          </w:p>
          <w:p w14:paraId="22E45A2B">
            <w:pPr>
              <w:keepNext/>
              <w:keepLines/>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jc w:val="center"/>
              <w:textAlignment w:val="auto"/>
              <w:outlineLvl w:val="4"/>
              <w:rPr>
                <w:rFonts w:hint="default" w:ascii="Times New Roman" w:hAnsi="Times New Roman" w:eastAsia="宋体" w:cs="Times New Roman"/>
                <w:b/>
                <w:bCs/>
                <w:color w:val="auto"/>
                <w:kern w:val="2"/>
                <w:sz w:val="21"/>
                <w:szCs w:val="21"/>
                <w:highlight w:val="none"/>
                <w:u w:val="single"/>
                <w:lang w:val="en-US" w:eastAsia="zh-CN" w:bidi="ar-SA"/>
              </w:rPr>
            </w:pPr>
            <w:r>
              <w:rPr>
                <w:rFonts w:hint="eastAsia" w:ascii="Times New Roman" w:hAnsi="Times New Roman" w:eastAsia="宋体" w:cs="Times New Roman"/>
                <w:b/>
                <w:bCs/>
                <w:color w:val="auto"/>
                <w:kern w:val="2"/>
                <w:sz w:val="21"/>
                <w:szCs w:val="21"/>
                <w:highlight w:val="none"/>
                <w:u w:val="single"/>
                <w:lang w:val="en-US" w:eastAsia="zh-CN" w:bidi="ar-SA"/>
              </w:rPr>
              <w:t>表3.1-41 《海洋倾倒物质评价规范疏浚物》（GB30980-2014）（摘录）</w:t>
            </w:r>
          </w:p>
          <w:tbl>
            <w:tblPr>
              <w:tblStyle w:val="229"/>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26"/>
              <w:gridCol w:w="1422"/>
              <w:gridCol w:w="1422"/>
              <w:gridCol w:w="1421"/>
              <w:gridCol w:w="1422"/>
              <w:gridCol w:w="1434"/>
            </w:tblGrid>
            <w:tr w14:paraId="6ADA6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5000" w:type="pct"/>
                  <w:gridSpan w:val="6"/>
                  <w:noWrap w:val="0"/>
                  <w:vAlign w:val="center"/>
                </w:tcPr>
                <w:p w14:paraId="5A1EFD53">
                  <w:pPr>
                    <w:pStyle w:val="230"/>
                    <w:keepNext w:val="0"/>
                    <w:keepLines w:val="0"/>
                    <w:pageBreakBefore w:val="0"/>
                    <w:widowControl w:val="0"/>
                    <w:kinsoku/>
                    <w:wordWrap/>
                    <w:overflowPunct/>
                    <w:topLinePunct w:val="0"/>
                    <w:autoSpaceDE/>
                    <w:autoSpaceDN/>
                    <w:bidi w:val="0"/>
                    <w:adjustRightInd/>
                    <w:snapToGrid/>
                    <w:spacing w:line="218" w:lineRule="auto"/>
                    <w:ind w:left="0" w:right="0" w:firstLine="0"/>
                    <w:jc w:val="center"/>
                    <w:textAlignment w:val="auto"/>
                    <w:rPr>
                      <w:color w:val="auto"/>
                      <w:u w:val="single"/>
                    </w:rPr>
                  </w:pPr>
                  <w:r>
                    <w:rPr>
                      <w:b/>
                      <w:bCs/>
                      <w:color w:val="auto"/>
                      <w:spacing w:val="-3"/>
                      <w:u w:val="single"/>
                    </w:rPr>
                    <w:t>疏浚物类别化学评价限值</w:t>
                  </w:r>
                </w:p>
              </w:tc>
            </w:tr>
            <w:tr w14:paraId="32B2A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34" w:type="pct"/>
                  <w:vMerge w:val="restart"/>
                  <w:tcBorders>
                    <w:bottom w:val="nil"/>
                  </w:tcBorders>
                  <w:noWrap w:val="0"/>
                  <w:vAlign w:val="center"/>
                </w:tcPr>
                <w:p w14:paraId="08B8BEBF">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u w:val="single"/>
                    </w:rPr>
                  </w:pPr>
                  <w:r>
                    <w:rPr>
                      <w:color w:val="auto"/>
                      <w:spacing w:val="-2"/>
                      <w:sz w:val="21"/>
                      <w:szCs w:val="21"/>
                      <w:u w:val="single"/>
                    </w:rPr>
                    <w:t>化学组分</w:t>
                  </w:r>
                </w:p>
              </w:tc>
              <w:tc>
                <w:tcPr>
                  <w:tcW w:w="1664" w:type="pct"/>
                  <w:gridSpan w:val="2"/>
                  <w:noWrap w:val="0"/>
                  <w:vAlign w:val="center"/>
                </w:tcPr>
                <w:p w14:paraId="611AD3A5">
                  <w:pPr>
                    <w:keepNext w:val="0"/>
                    <w:keepLines w:val="0"/>
                    <w:pageBreakBefore w:val="0"/>
                    <w:widowControl w:val="0"/>
                    <w:kinsoku/>
                    <w:wordWrap/>
                    <w:overflowPunct/>
                    <w:topLinePunct w:val="0"/>
                    <w:autoSpaceDE/>
                    <w:autoSpaceDN/>
                    <w:bidi w:val="0"/>
                    <w:adjustRightInd/>
                    <w:snapToGrid/>
                    <w:spacing w:line="285" w:lineRule="exact"/>
                    <w:ind w:left="0" w:right="0" w:firstLine="0"/>
                    <w:jc w:val="center"/>
                    <w:textAlignment w:val="auto"/>
                    <w:rPr>
                      <w:rFonts w:ascii="Times New Roman" w:hAnsi="Times New Roman" w:eastAsia="Times New Roman" w:cs="Times New Roman"/>
                      <w:color w:val="auto"/>
                      <w:sz w:val="13"/>
                      <w:szCs w:val="13"/>
                      <w:u w:val="single"/>
                    </w:rPr>
                  </w:pPr>
                  <w:r>
                    <w:rPr>
                      <w:rFonts w:ascii="Times New Roman" w:hAnsi="Times New Roman" w:eastAsia="Times New Roman" w:cs="Times New Roman"/>
                      <w:color w:val="auto"/>
                      <w:sz w:val="21"/>
                      <w:szCs w:val="21"/>
                      <w:u w:val="single"/>
                    </w:rPr>
                    <w:t>ω/10</w:t>
                  </w:r>
                  <w:r>
                    <w:rPr>
                      <w:rFonts w:ascii="Times New Roman" w:hAnsi="Times New Roman" w:eastAsia="Times New Roman" w:cs="Times New Roman"/>
                      <w:color w:val="auto"/>
                      <w:position w:val="9"/>
                      <w:sz w:val="13"/>
                      <w:szCs w:val="13"/>
                      <w:u w:val="single"/>
                    </w:rPr>
                    <w:t>-6</w:t>
                  </w:r>
                </w:p>
              </w:tc>
              <w:tc>
                <w:tcPr>
                  <w:tcW w:w="831" w:type="pct"/>
                  <w:vMerge w:val="restart"/>
                  <w:tcBorders>
                    <w:bottom w:val="nil"/>
                  </w:tcBorders>
                  <w:noWrap w:val="0"/>
                  <w:vAlign w:val="center"/>
                </w:tcPr>
                <w:p w14:paraId="491A09FF">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u w:val="single"/>
                    </w:rPr>
                  </w:pPr>
                  <w:r>
                    <w:rPr>
                      <w:color w:val="auto"/>
                      <w:spacing w:val="-2"/>
                      <w:sz w:val="21"/>
                      <w:szCs w:val="21"/>
                      <w:u w:val="single"/>
                    </w:rPr>
                    <w:t>化学组分</w:t>
                  </w:r>
                </w:p>
              </w:tc>
              <w:tc>
                <w:tcPr>
                  <w:tcW w:w="1668" w:type="pct"/>
                  <w:gridSpan w:val="2"/>
                  <w:noWrap w:val="0"/>
                  <w:vAlign w:val="center"/>
                </w:tcPr>
                <w:p w14:paraId="5B28F953">
                  <w:pPr>
                    <w:keepNext w:val="0"/>
                    <w:keepLines w:val="0"/>
                    <w:pageBreakBefore w:val="0"/>
                    <w:widowControl w:val="0"/>
                    <w:kinsoku/>
                    <w:wordWrap/>
                    <w:overflowPunct/>
                    <w:topLinePunct w:val="0"/>
                    <w:autoSpaceDE/>
                    <w:autoSpaceDN/>
                    <w:bidi w:val="0"/>
                    <w:adjustRightInd/>
                    <w:snapToGrid/>
                    <w:spacing w:line="285" w:lineRule="exact"/>
                    <w:ind w:left="0" w:right="0" w:firstLine="0"/>
                    <w:jc w:val="center"/>
                    <w:textAlignment w:val="auto"/>
                    <w:rPr>
                      <w:rFonts w:ascii="Times New Roman" w:hAnsi="Times New Roman" w:eastAsia="Times New Roman" w:cs="Times New Roman"/>
                      <w:color w:val="auto"/>
                      <w:sz w:val="13"/>
                      <w:szCs w:val="13"/>
                      <w:u w:val="single"/>
                    </w:rPr>
                  </w:pPr>
                  <w:r>
                    <w:rPr>
                      <w:rFonts w:ascii="Times New Roman" w:hAnsi="Times New Roman" w:eastAsia="Times New Roman" w:cs="Times New Roman"/>
                      <w:color w:val="auto"/>
                      <w:sz w:val="21"/>
                      <w:szCs w:val="21"/>
                      <w:u w:val="single"/>
                    </w:rPr>
                    <w:t>ω/10</w:t>
                  </w:r>
                  <w:r>
                    <w:rPr>
                      <w:rFonts w:ascii="Times New Roman" w:hAnsi="Times New Roman" w:eastAsia="Times New Roman" w:cs="Times New Roman"/>
                      <w:color w:val="auto"/>
                      <w:position w:val="9"/>
                      <w:sz w:val="13"/>
                      <w:szCs w:val="13"/>
                      <w:u w:val="single"/>
                    </w:rPr>
                    <w:t>-6</w:t>
                  </w:r>
                </w:p>
              </w:tc>
            </w:tr>
            <w:tr w14:paraId="2B458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4" w:type="pct"/>
                  <w:vMerge w:val="continue"/>
                  <w:tcBorders>
                    <w:top w:val="nil"/>
                  </w:tcBorders>
                  <w:noWrap w:val="0"/>
                  <w:vAlign w:val="center"/>
                </w:tcPr>
                <w:p w14:paraId="03FED64D">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Arial"/>
                      <w:color w:val="auto"/>
                      <w:sz w:val="21"/>
                      <w:u w:val="single"/>
                    </w:rPr>
                  </w:pPr>
                </w:p>
              </w:tc>
              <w:tc>
                <w:tcPr>
                  <w:tcW w:w="832" w:type="pct"/>
                  <w:noWrap w:val="0"/>
                  <w:vAlign w:val="center"/>
                </w:tcPr>
                <w:p w14:paraId="3FA704E6">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u w:val="single"/>
                    </w:rPr>
                  </w:pPr>
                  <w:r>
                    <w:rPr>
                      <w:color w:val="auto"/>
                      <w:spacing w:val="-4"/>
                      <w:sz w:val="21"/>
                      <w:szCs w:val="21"/>
                      <w:u w:val="single"/>
                    </w:rPr>
                    <w:t>下限</w:t>
                  </w:r>
                </w:p>
              </w:tc>
              <w:tc>
                <w:tcPr>
                  <w:tcW w:w="832" w:type="pct"/>
                  <w:noWrap w:val="0"/>
                  <w:vAlign w:val="center"/>
                </w:tcPr>
                <w:p w14:paraId="3C7AAB75">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u w:val="single"/>
                    </w:rPr>
                  </w:pPr>
                  <w:r>
                    <w:rPr>
                      <w:color w:val="auto"/>
                      <w:spacing w:val="-2"/>
                      <w:sz w:val="21"/>
                      <w:szCs w:val="21"/>
                      <w:u w:val="single"/>
                    </w:rPr>
                    <w:t>上限</w:t>
                  </w:r>
                </w:p>
              </w:tc>
              <w:tc>
                <w:tcPr>
                  <w:tcW w:w="831" w:type="pct"/>
                  <w:vMerge w:val="continue"/>
                  <w:tcBorders>
                    <w:top w:val="nil"/>
                  </w:tcBorders>
                  <w:noWrap w:val="0"/>
                  <w:vAlign w:val="center"/>
                </w:tcPr>
                <w:p w14:paraId="78ACCC4F">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Arial"/>
                      <w:color w:val="auto"/>
                      <w:sz w:val="21"/>
                      <w:u w:val="single"/>
                    </w:rPr>
                  </w:pPr>
                </w:p>
              </w:tc>
              <w:tc>
                <w:tcPr>
                  <w:tcW w:w="832" w:type="pct"/>
                  <w:noWrap w:val="0"/>
                  <w:vAlign w:val="center"/>
                </w:tcPr>
                <w:p w14:paraId="4A08E857">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u w:val="single"/>
                    </w:rPr>
                  </w:pPr>
                  <w:r>
                    <w:rPr>
                      <w:color w:val="auto"/>
                      <w:spacing w:val="-4"/>
                      <w:sz w:val="21"/>
                      <w:szCs w:val="21"/>
                      <w:u w:val="single"/>
                    </w:rPr>
                    <w:t>下限</w:t>
                  </w:r>
                </w:p>
              </w:tc>
              <w:tc>
                <w:tcPr>
                  <w:tcW w:w="836" w:type="pct"/>
                  <w:noWrap w:val="0"/>
                  <w:vAlign w:val="center"/>
                </w:tcPr>
                <w:p w14:paraId="2286E272">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u w:val="single"/>
                    </w:rPr>
                  </w:pPr>
                  <w:r>
                    <w:rPr>
                      <w:color w:val="auto"/>
                      <w:spacing w:val="-2"/>
                      <w:sz w:val="21"/>
                      <w:szCs w:val="21"/>
                      <w:u w:val="single"/>
                    </w:rPr>
                    <w:t>上限</w:t>
                  </w:r>
                </w:p>
              </w:tc>
            </w:tr>
            <w:tr w14:paraId="57616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4" w:type="pct"/>
                  <w:noWrap w:val="0"/>
                  <w:vAlign w:val="center"/>
                </w:tcPr>
                <w:p w14:paraId="2D54A55B">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u w:val="single"/>
                    </w:rPr>
                  </w:pPr>
                  <w:r>
                    <w:rPr>
                      <w:color w:val="auto"/>
                      <w:sz w:val="21"/>
                      <w:szCs w:val="21"/>
                      <w:u w:val="single"/>
                    </w:rPr>
                    <w:t>砷</w:t>
                  </w:r>
                </w:p>
              </w:tc>
              <w:tc>
                <w:tcPr>
                  <w:tcW w:w="832" w:type="pct"/>
                  <w:noWrap w:val="0"/>
                  <w:vAlign w:val="center"/>
                </w:tcPr>
                <w:p w14:paraId="67100614">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1"/>
                      <w:sz w:val="21"/>
                      <w:szCs w:val="21"/>
                      <w:u w:val="single"/>
                    </w:rPr>
                    <w:t>20.0</w:t>
                  </w:r>
                </w:p>
              </w:tc>
              <w:tc>
                <w:tcPr>
                  <w:tcW w:w="832" w:type="pct"/>
                  <w:noWrap w:val="0"/>
                  <w:vAlign w:val="center"/>
                </w:tcPr>
                <w:p w14:paraId="17B3047F">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4"/>
                      <w:sz w:val="21"/>
                      <w:szCs w:val="21"/>
                      <w:u w:val="single"/>
                    </w:rPr>
                    <w:t>100.0</w:t>
                  </w:r>
                </w:p>
              </w:tc>
              <w:tc>
                <w:tcPr>
                  <w:tcW w:w="831" w:type="pct"/>
                  <w:noWrap w:val="0"/>
                  <w:vAlign w:val="center"/>
                </w:tcPr>
                <w:p w14:paraId="19049329">
                  <w:pPr>
                    <w:pStyle w:val="230"/>
                    <w:keepNext w:val="0"/>
                    <w:keepLines w:val="0"/>
                    <w:pageBreakBefore w:val="0"/>
                    <w:widowControl w:val="0"/>
                    <w:kinsoku/>
                    <w:wordWrap/>
                    <w:overflowPunct/>
                    <w:topLinePunct w:val="0"/>
                    <w:autoSpaceDE/>
                    <w:autoSpaceDN/>
                    <w:bidi w:val="0"/>
                    <w:adjustRightInd/>
                    <w:snapToGrid/>
                    <w:spacing w:line="225" w:lineRule="auto"/>
                    <w:ind w:left="0" w:right="0" w:firstLine="0"/>
                    <w:jc w:val="center"/>
                    <w:textAlignment w:val="auto"/>
                    <w:rPr>
                      <w:color w:val="auto"/>
                      <w:sz w:val="21"/>
                      <w:szCs w:val="21"/>
                      <w:u w:val="single"/>
                    </w:rPr>
                  </w:pPr>
                  <w:r>
                    <w:rPr>
                      <w:color w:val="auto"/>
                      <w:sz w:val="21"/>
                      <w:szCs w:val="21"/>
                      <w:u w:val="single"/>
                    </w:rPr>
                    <w:t>铅</w:t>
                  </w:r>
                </w:p>
              </w:tc>
              <w:tc>
                <w:tcPr>
                  <w:tcW w:w="832" w:type="pct"/>
                  <w:noWrap w:val="0"/>
                  <w:vAlign w:val="center"/>
                </w:tcPr>
                <w:p w14:paraId="65F6E69C">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2"/>
                      <w:sz w:val="21"/>
                      <w:szCs w:val="21"/>
                      <w:u w:val="single"/>
                    </w:rPr>
                    <w:t>75.0</w:t>
                  </w:r>
                </w:p>
              </w:tc>
              <w:tc>
                <w:tcPr>
                  <w:tcW w:w="836" w:type="pct"/>
                  <w:noWrap w:val="0"/>
                  <w:vAlign w:val="center"/>
                </w:tcPr>
                <w:p w14:paraId="53F3D16C">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1"/>
                      <w:sz w:val="21"/>
                      <w:szCs w:val="21"/>
                      <w:u w:val="single"/>
                    </w:rPr>
                    <w:t>250.0</w:t>
                  </w:r>
                </w:p>
              </w:tc>
            </w:tr>
            <w:tr w14:paraId="07C67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34" w:type="pct"/>
                  <w:noWrap w:val="0"/>
                  <w:vAlign w:val="center"/>
                </w:tcPr>
                <w:p w14:paraId="20077451">
                  <w:pPr>
                    <w:pStyle w:val="230"/>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color w:val="auto"/>
                      <w:sz w:val="21"/>
                      <w:szCs w:val="21"/>
                      <w:u w:val="single"/>
                    </w:rPr>
                  </w:pPr>
                  <w:r>
                    <w:rPr>
                      <w:color w:val="auto"/>
                      <w:sz w:val="21"/>
                      <w:szCs w:val="21"/>
                      <w:u w:val="single"/>
                    </w:rPr>
                    <w:t>镉</w:t>
                  </w:r>
                </w:p>
              </w:tc>
              <w:tc>
                <w:tcPr>
                  <w:tcW w:w="832" w:type="pct"/>
                  <w:noWrap w:val="0"/>
                  <w:vAlign w:val="center"/>
                </w:tcPr>
                <w:p w14:paraId="6EBF351C">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1"/>
                      <w:sz w:val="21"/>
                      <w:szCs w:val="21"/>
                      <w:u w:val="single"/>
                    </w:rPr>
                    <w:t>0.80</w:t>
                  </w:r>
                </w:p>
              </w:tc>
              <w:tc>
                <w:tcPr>
                  <w:tcW w:w="832" w:type="pct"/>
                  <w:noWrap w:val="0"/>
                  <w:vAlign w:val="center"/>
                </w:tcPr>
                <w:p w14:paraId="2638920C">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2"/>
                      <w:sz w:val="21"/>
                      <w:szCs w:val="21"/>
                      <w:u w:val="single"/>
                    </w:rPr>
                    <w:t>5.0</w:t>
                  </w:r>
                </w:p>
              </w:tc>
              <w:tc>
                <w:tcPr>
                  <w:tcW w:w="831" w:type="pct"/>
                  <w:noWrap w:val="0"/>
                  <w:vAlign w:val="center"/>
                </w:tcPr>
                <w:p w14:paraId="099FA2E7">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u w:val="single"/>
                    </w:rPr>
                  </w:pPr>
                  <w:r>
                    <w:rPr>
                      <w:color w:val="auto"/>
                      <w:sz w:val="21"/>
                      <w:szCs w:val="21"/>
                      <w:u w:val="single"/>
                    </w:rPr>
                    <w:t>汞</w:t>
                  </w:r>
                </w:p>
              </w:tc>
              <w:tc>
                <w:tcPr>
                  <w:tcW w:w="832" w:type="pct"/>
                  <w:noWrap w:val="0"/>
                  <w:vAlign w:val="center"/>
                </w:tcPr>
                <w:p w14:paraId="06D1EB6C">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1"/>
                      <w:sz w:val="21"/>
                      <w:szCs w:val="21"/>
                      <w:u w:val="single"/>
                    </w:rPr>
                    <w:t>0.30</w:t>
                  </w:r>
                </w:p>
              </w:tc>
              <w:tc>
                <w:tcPr>
                  <w:tcW w:w="836" w:type="pct"/>
                  <w:noWrap w:val="0"/>
                  <w:vAlign w:val="center"/>
                </w:tcPr>
                <w:p w14:paraId="4DB4DD26">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5"/>
                      <w:sz w:val="21"/>
                      <w:szCs w:val="21"/>
                      <w:u w:val="single"/>
                    </w:rPr>
                    <w:t>1.0</w:t>
                  </w:r>
                </w:p>
              </w:tc>
            </w:tr>
            <w:tr w14:paraId="30E32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4" w:type="pct"/>
                  <w:noWrap w:val="0"/>
                  <w:vAlign w:val="center"/>
                </w:tcPr>
                <w:p w14:paraId="35DA5A1D">
                  <w:pPr>
                    <w:pStyle w:val="230"/>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color w:val="auto"/>
                      <w:sz w:val="21"/>
                      <w:szCs w:val="21"/>
                      <w:u w:val="single"/>
                    </w:rPr>
                  </w:pPr>
                  <w:r>
                    <w:rPr>
                      <w:color w:val="auto"/>
                      <w:sz w:val="21"/>
                      <w:szCs w:val="21"/>
                      <w:u w:val="single"/>
                    </w:rPr>
                    <w:t>铬</w:t>
                  </w:r>
                </w:p>
              </w:tc>
              <w:tc>
                <w:tcPr>
                  <w:tcW w:w="832" w:type="pct"/>
                  <w:noWrap w:val="0"/>
                  <w:vAlign w:val="center"/>
                </w:tcPr>
                <w:p w14:paraId="29C1AB12">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2"/>
                      <w:sz w:val="21"/>
                      <w:szCs w:val="21"/>
                      <w:u w:val="single"/>
                    </w:rPr>
                    <w:t>80.0</w:t>
                  </w:r>
                </w:p>
              </w:tc>
              <w:tc>
                <w:tcPr>
                  <w:tcW w:w="832" w:type="pct"/>
                  <w:noWrap w:val="0"/>
                  <w:vAlign w:val="center"/>
                </w:tcPr>
                <w:p w14:paraId="7545ED21">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1"/>
                      <w:sz w:val="21"/>
                      <w:szCs w:val="21"/>
                      <w:u w:val="single"/>
                    </w:rPr>
                    <w:t>300.0</w:t>
                  </w:r>
                </w:p>
              </w:tc>
              <w:tc>
                <w:tcPr>
                  <w:tcW w:w="831" w:type="pct"/>
                  <w:noWrap w:val="0"/>
                  <w:vAlign w:val="center"/>
                </w:tcPr>
                <w:p w14:paraId="51A21CA6">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u w:val="single"/>
                    </w:rPr>
                  </w:pPr>
                  <w:r>
                    <w:rPr>
                      <w:color w:val="auto"/>
                      <w:sz w:val="21"/>
                      <w:szCs w:val="21"/>
                      <w:u w:val="single"/>
                    </w:rPr>
                    <w:t>锌</w:t>
                  </w:r>
                </w:p>
              </w:tc>
              <w:tc>
                <w:tcPr>
                  <w:tcW w:w="832" w:type="pct"/>
                  <w:noWrap w:val="0"/>
                  <w:vAlign w:val="center"/>
                </w:tcPr>
                <w:p w14:paraId="3512235F">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1"/>
                      <w:sz w:val="21"/>
                      <w:szCs w:val="21"/>
                      <w:u w:val="single"/>
                    </w:rPr>
                    <w:t>200.0</w:t>
                  </w:r>
                </w:p>
              </w:tc>
              <w:tc>
                <w:tcPr>
                  <w:tcW w:w="836" w:type="pct"/>
                  <w:noWrap w:val="0"/>
                  <w:vAlign w:val="center"/>
                </w:tcPr>
                <w:p w14:paraId="479ABF6E">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1"/>
                      <w:sz w:val="21"/>
                      <w:szCs w:val="21"/>
                      <w:u w:val="single"/>
                    </w:rPr>
                    <w:t>600.0</w:t>
                  </w:r>
                </w:p>
              </w:tc>
            </w:tr>
            <w:tr w14:paraId="6FCCA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4" w:type="pct"/>
                  <w:noWrap w:val="0"/>
                  <w:vAlign w:val="center"/>
                </w:tcPr>
                <w:p w14:paraId="3E26D536">
                  <w:pPr>
                    <w:pStyle w:val="230"/>
                    <w:keepNext w:val="0"/>
                    <w:keepLines w:val="0"/>
                    <w:pageBreakBefore w:val="0"/>
                    <w:widowControl w:val="0"/>
                    <w:kinsoku/>
                    <w:wordWrap/>
                    <w:overflowPunct/>
                    <w:topLinePunct w:val="0"/>
                    <w:autoSpaceDE/>
                    <w:autoSpaceDN/>
                    <w:bidi w:val="0"/>
                    <w:adjustRightInd/>
                    <w:snapToGrid/>
                    <w:spacing w:line="222" w:lineRule="auto"/>
                    <w:ind w:left="0" w:right="0" w:firstLine="0"/>
                    <w:jc w:val="center"/>
                    <w:textAlignment w:val="auto"/>
                    <w:rPr>
                      <w:color w:val="auto"/>
                      <w:sz w:val="21"/>
                      <w:szCs w:val="21"/>
                      <w:u w:val="single"/>
                    </w:rPr>
                  </w:pPr>
                  <w:r>
                    <w:rPr>
                      <w:color w:val="auto"/>
                      <w:sz w:val="21"/>
                      <w:szCs w:val="21"/>
                      <w:u w:val="single"/>
                    </w:rPr>
                    <w:t>铜</w:t>
                  </w:r>
                </w:p>
              </w:tc>
              <w:tc>
                <w:tcPr>
                  <w:tcW w:w="832" w:type="pct"/>
                  <w:noWrap w:val="0"/>
                  <w:vAlign w:val="center"/>
                </w:tcPr>
                <w:p w14:paraId="43D0FBAE">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2"/>
                      <w:sz w:val="21"/>
                      <w:szCs w:val="21"/>
                      <w:u w:val="single"/>
                    </w:rPr>
                    <w:t>50.0</w:t>
                  </w:r>
                </w:p>
              </w:tc>
              <w:tc>
                <w:tcPr>
                  <w:tcW w:w="832" w:type="pct"/>
                  <w:noWrap w:val="0"/>
                  <w:vAlign w:val="center"/>
                </w:tcPr>
                <w:p w14:paraId="4F7A7845">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1"/>
                      <w:sz w:val="21"/>
                      <w:szCs w:val="21"/>
                      <w:u w:val="single"/>
                    </w:rPr>
                    <w:t>300.0</w:t>
                  </w:r>
                </w:p>
              </w:tc>
              <w:tc>
                <w:tcPr>
                  <w:tcW w:w="831" w:type="pct"/>
                  <w:noWrap w:val="0"/>
                  <w:vAlign w:val="center"/>
                </w:tcPr>
                <w:p w14:paraId="1F478A47">
                  <w:pPr>
                    <w:pStyle w:val="230"/>
                    <w:keepNext w:val="0"/>
                    <w:keepLines w:val="0"/>
                    <w:pageBreakBefore w:val="0"/>
                    <w:widowControl w:val="0"/>
                    <w:kinsoku/>
                    <w:wordWrap/>
                    <w:overflowPunct/>
                    <w:topLinePunct w:val="0"/>
                    <w:autoSpaceDE/>
                    <w:autoSpaceDN/>
                    <w:bidi w:val="0"/>
                    <w:adjustRightInd/>
                    <w:snapToGrid/>
                    <w:spacing w:line="234" w:lineRule="auto"/>
                    <w:ind w:left="0" w:right="0" w:firstLine="0"/>
                    <w:jc w:val="center"/>
                    <w:textAlignment w:val="auto"/>
                    <w:rPr>
                      <w:rFonts w:ascii="Times New Roman" w:hAnsi="Times New Roman" w:eastAsia="Times New Roman" w:cs="Times New Roman"/>
                      <w:color w:val="auto"/>
                      <w:sz w:val="21"/>
                      <w:szCs w:val="21"/>
                      <w:u w:val="single"/>
                    </w:rPr>
                  </w:pPr>
                  <w:r>
                    <w:rPr>
                      <w:color w:val="auto"/>
                      <w:spacing w:val="-2"/>
                      <w:sz w:val="21"/>
                      <w:szCs w:val="21"/>
                      <w:u w:val="single"/>
                    </w:rPr>
                    <w:t>有机碳</w:t>
                  </w:r>
                  <w:r>
                    <w:rPr>
                      <w:rFonts w:ascii="Times New Roman" w:hAnsi="Times New Roman" w:eastAsia="Times New Roman" w:cs="Times New Roman"/>
                      <w:color w:val="auto"/>
                      <w:spacing w:val="-2"/>
                      <w:sz w:val="21"/>
                      <w:szCs w:val="21"/>
                      <w:u w:val="single"/>
                    </w:rPr>
                    <w:t>*</w:t>
                  </w:r>
                </w:p>
              </w:tc>
              <w:tc>
                <w:tcPr>
                  <w:tcW w:w="832" w:type="pct"/>
                  <w:noWrap w:val="0"/>
                  <w:vAlign w:val="center"/>
                </w:tcPr>
                <w:p w14:paraId="08CBB422">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1"/>
                      <w:sz w:val="21"/>
                      <w:szCs w:val="21"/>
                      <w:u w:val="single"/>
                    </w:rPr>
                    <w:t>2.0</w:t>
                  </w:r>
                </w:p>
              </w:tc>
              <w:tc>
                <w:tcPr>
                  <w:tcW w:w="836" w:type="pct"/>
                  <w:noWrap w:val="0"/>
                  <w:vAlign w:val="center"/>
                </w:tcPr>
                <w:p w14:paraId="5041C1E4">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1"/>
                      <w:sz w:val="21"/>
                      <w:szCs w:val="21"/>
                      <w:u w:val="single"/>
                    </w:rPr>
                    <w:t>4.0</w:t>
                  </w:r>
                </w:p>
              </w:tc>
            </w:tr>
            <w:tr w14:paraId="56B22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34" w:type="pct"/>
                  <w:noWrap w:val="0"/>
                  <w:vAlign w:val="center"/>
                </w:tcPr>
                <w:p w14:paraId="3450A4FB">
                  <w:pPr>
                    <w:pStyle w:val="230"/>
                    <w:keepNext w:val="0"/>
                    <w:keepLines w:val="0"/>
                    <w:pageBreakBefore w:val="0"/>
                    <w:widowControl w:val="0"/>
                    <w:kinsoku/>
                    <w:wordWrap/>
                    <w:overflowPunct/>
                    <w:topLinePunct w:val="0"/>
                    <w:autoSpaceDE/>
                    <w:autoSpaceDN/>
                    <w:bidi w:val="0"/>
                    <w:adjustRightInd/>
                    <w:snapToGrid/>
                    <w:spacing w:line="222" w:lineRule="auto"/>
                    <w:ind w:left="0" w:right="0" w:firstLine="0"/>
                    <w:jc w:val="center"/>
                    <w:textAlignment w:val="auto"/>
                    <w:rPr>
                      <w:color w:val="auto"/>
                      <w:sz w:val="21"/>
                      <w:szCs w:val="21"/>
                      <w:u w:val="single"/>
                    </w:rPr>
                  </w:pPr>
                  <w:r>
                    <w:rPr>
                      <w:color w:val="auto"/>
                      <w:spacing w:val="-1"/>
                      <w:sz w:val="21"/>
                      <w:szCs w:val="21"/>
                      <w:u w:val="single"/>
                    </w:rPr>
                    <w:t>硫化物</w:t>
                  </w:r>
                </w:p>
              </w:tc>
              <w:tc>
                <w:tcPr>
                  <w:tcW w:w="832" w:type="pct"/>
                  <w:noWrap w:val="0"/>
                  <w:vAlign w:val="center"/>
                </w:tcPr>
                <w:p w14:paraId="7FE8F4DA">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1"/>
                      <w:sz w:val="21"/>
                      <w:szCs w:val="21"/>
                      <w:u w:val="single"/>
                    </w:rPr>
                    <w:t>300.0</w:t>
                  </w:r>
                </w:p>
              </w:tc>
              <w:tc>
                <w:tcPr>
                  <w:tcW w:w="832" w:type="pct"/>
                  <w:noWrap w:val="0"/>
                  <w:vAlign w:val="center"/>
                </w:tcPr>
                <w:p w14:paraId="59754C9A">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2"/>
                      <w:sz w:val="21"/>
                      <w:szCs w:val="21"/>
                      <w:u w:val="single"/>
                    </w:rPr>
                    <w:t>800.0</w:t>
                  </w:r>
                </w:p>
              </w:tc>
              <w:tc>
                <w:tcPr>
                  <w:tcW w:w="831" w:type="pct"/>
                  <w:noWrap w:val="0"/>
                  <w:vAlign w:val="center"/>
                </w:tcPr>
                <w:p w14:paraId="7E525978">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u w:val="single"/>
                    </w:rPr>
                  </w:pPr>
                  <w:r>
                    <w:rPr>
                      <w:color w:val="auto"/>
                      <w:spacing w:val="-3"/>
                      <w:sz w:val="21"/>
                      <w:szCs w:val="21"/>
                      <w:u w:val="single"/>
                    </w:rPr>
                    <w:t>油类</w:t>
                  </w:r>
                </w:p>
              </w:tc>
              <w:tc>
                <w:tcPr>
                  <w:tcW w:w="832" w:type="pct"/>
                  <w:noWrap w:val="0"/>
                  <w:vAlign w:val="center"/>
                </w:tcPr>
                <w:p w14:paraId="26016599">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2"/>
                      <w:sz w:val="21"/>
                      <w:szCs w:val="21"/>
                      <w:u w:val="single"/>
                    </w:rPr>
                    <w:t>500.0</w:t>
                  </w:r>
                </w:p>
              </w:tc>
              <w:tc>
                <w:tcPr>
                  <w:tcW w:w="836" w:type="pct"/>
                  <w:noWrap w:val="0"/>
                  <w:vAlign w:val="center"/>
                </w:tcPr>
                <w:p w14:paraId="08AD27D8">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u w:val="single"/>
                    </w:rPr>
                  </w:pPr>
                  <w:r>
                    <w:rPr>
                      <w:rFonts w:ascii="Times New Roman" w:hAnsi="Times New Roman" w:eastAsia="Times New Roman" w:cs="Times New Roman"/>
                      <w:color w:val="auto"/>
                      <w:spacing w:val="-3"/>
                      <w:sz w:val="21"/>
                      <w:szCs w:val="21"/>
                      <w:u w:val="single"/>
                    </w:rPr>
                    <w:t>1500.0</w:t>
                  </w:r>
                </w:p>
              </w:tc>
            </w:tr>
            <w:tr w14:paraId="6DCD4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000" w:type="pct"/>
                  <w:gridSpan w:val="6"/>
                  <w:noWrap w:val="0"/>
                  <w:vAlign w:val="center"/>
                </w:tcPr>
                <w:p w14:paraId="17579262">
                  <w:pPr>
                    <w:pStyle w:val="230"/>
                    <w:keepNext w:val="0"/>
                    <w:keepLines w:val="0"/>
                    <w:pageBreakBefore w:val="0"/>
                    <w:widowControl w:val="0"/>
                    <w:kinsoku/>
                    <w:wordWrap/>
                    <w:overflowPunct/>
                    <w:topLinePunct w:val="0"/>
                    <w:autoSpaceDE/>
                    <w:autoSpaceDN/>
                    <w:bidi w:val="0"/>
                    <w:adjustRightInd/>
                    <w:snapToGrid/>
                    <w:spacing w:line="281" w:lineRule="exact"/>
                    <w:ind w:left="0" w:right="0" w:firstLine="0"/>
                    <w:jc w:val="center"/>
                    <w:textAlignment w:val="auto"/>
                    <w:rPr>
                      <w:rFonts w:ascii="Times New Roman" w:hAnsi="Times New Roman" w:eastAsia="Times New Roman" w:cs="Times New Roman"/>
                      <w:color w:val="auto"/>
                      <w:sz w:val="13"/>
                      <w:szCs w:val="13"/>
                      <w:u w:val="single"/>
                    </w:rPr>
                  </w:pPr>
                  <w:r>
                    <w:rPr>
                      <w:rFonts w:ascii="Times New Roman" w:hAnsi="Times New Roman" w:eastAsia="Times New Roman" w:cs="Times New Roman"/>
                      <w:color w:val="auto"/>
                      <w:spacing w:val="-3"/>
                      <w:position w:val="1"/>
                      <w:sz w:val="21"/>
                      <w:szCs w:val="21"/>
                      <w:u w:val="single"/>
                    </w:rPr>
                    <w:t>*</w:t>
                  </w:r>
                  <w:r>
                    <w:rPr>
                      <w:color w:val="auto"/>
                      <w:spacing w:val="-3"/>
                      <w:position w:val="1"/>
                      <w:sz w:val="21"/>
                      <w:szCs w:val="21"/>
                      <w:u w:val="single"/>
                    </w:rPr>
                    <w:t>有机碳的单位为</w:t>
                  </w:r>
                  <w:r>
                    <w:rPr>
                      <w:color w:val="auto"/>
                      <w:spacing w:val="-22"/>
                      <w:position w:val="1"/>
                      <w:sz w:val="21"/>
                      <w:szCs w:val="21"/>
                      <w:u w:val="single"/>
                    </w:rPr>
                    <w:t xml:space="preserve"> </w:t>
                  </w:r>
                  <w:r>
                    <w:rPr>
                      <w:rFonts w:ascii="Times New Roman" w:hAnsi="Times New Roman" w:eastAsia="Times New Roman" w:cs="Times New Roman"/>
                      <w:color w:val="auto"/>
                      <w:spacing w:val="-3"/>
                      <w:position w:val="1"/>
                      <w:sz w:val="21"/>
                      <w:szCs w:val="21"/>
                      <w:u w:val="single"/>
                    </w:rPr>
                    <w:t>10</w:t>
                  </w:r>
                  <w:r>
                    <w:rPr>
                      <w:rFonts w:ascii="Times New Roman" w:hAnsi="Times New Roman" w:eastAsia="Times New Roman" w:cs="Times New Roman"/>
                      <w:color w:val="auto"/>
                      <w:spacing w:val="-3"/>
                      <w:position w:val="10"/>
                      <w:sz w:val="13"/>
                      <w:szCs w:val="13"/>
                      <w:u w:val="single"/>
                    </w:rPr>
                    <w:t>-2</w:t>
                  </w:r>
                </w:p>
              </w:tc>
            </w:tr>
            <w:tr w14:paraId="6262B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000" w:type="pct"/>
                  <w:gridSpan w:val="6"/>
                  <w:noWrap w:val="0"/>
                  <w:vAlign w:val="center"/>
                </w:tcPr>
                <w:p w14:paraId="7CD775AB">
                  <w:pPr>
                    <w:pStyle w:val="230"/>
                    <w:keepNext w:val="0"/>
                    <w:keepLines w:val="0"/>
                    <w:pageBreakBefore w:val="0"/>
                    <w:widowControl w:val="0"/>
                    <w:kinsoku/>
                    <w:wordWrap/>
                    <w:overflowPunct/>
                    <w:topLinePunct w:val="0"/>
                    <w:autoSpaceDE/>
                    <w:autoSpaceDN/>
                    <w:bidi w:val="0"/>
                    <w:adjustRightInd/>
                    <w:snapToGrid/>
                    <w:spacing w:line="218" w:lineRule="auto"/>
                    <w:ind w:left="0" w:right="0" w:firstLine="0"/>
                    <w:jc w:val="center"/>
                    <w:textAlignment w:val="auto"/>
                    <w:rPr>
                      <w:color w:val="auto"/>
                      <w:u w:val="single"/>
                    </w:rPr>
                  </w:pPr>
                  <w:r>
                    <w:rPr>
                      <w:b/>
                      <w:bCs/>
                      <w:color w:val="auto"/>
                      <w:spacing w:val="-3"/>
                      <w:u w:val="single"/>
                    </w:rPr>
                    <w:t>疏浚物类别评价规则</w:t>
                  </w:r>
                </w:p>
              </w:tc>
            </w:tr>
            <w:tr w14:paraId="0F8BA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34" w:type="pct"/>
                  <w:noWrap w:val="0"/>
                  <w:vAlign w:val="center"/>
                </w:tcPr>
                <w:p w14:paraId="437CC176">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u w:val="single"/>
                    </w:rPr>
                  </w:pPr>
                  <w:r>
                    <w:rPr>
                      <w:color w:val="auto"/>
                      <w:spacing w:val="-2"/>
                      <w:sz w:val="21"/>
                      <w:szCs w:val="21"/>
                      <w:u w:val="single"/>
                    </w:rPr>
                    <w:t>疏浚物类别</w:t>
                  </w:r>
                </w:p>
              </w:tc>
              <w:tc>
                <w:tcPr>
                  <w:tcW w:w="4165" w:type="pct"/>
                  <w:gridSpan w:val="5"/>
                  <w:noWrap w:val="0"/>
                  <w:vAlign w:val="center"/>
                </w:tcPr>
                <w:p w14:paraId="3F221A22">
                  <w:pPr>
                    <w:pStyle w:val="230"/>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color w:val="auto"/>
                      <w:sz w:val="21"/>
                      <w:szCs w:val="21"/>
                      <w:u w:val="single"/>
                    </w:rPr>
                  </w:pPr>
                  <w:r>
                    <w:rPr>
                      <w:color w:val="auto"/>
                      <w:spacing w:val="-1"/>
                      <w:sz w:val="21"/>
                      <w:szCs w:val="21"/>
                      <w:u w:val="single"/>
                    </w:rPr>
                    <w:t>评价规则</w:t>
                  </w:r>
                </w:p>
              </w:tc>
            </w:tr>
            <w:tr w14:paraId="37AE6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2" w:hRule="atLeast"/>
              </w:trPr>
              <w:tc>
                <w:tcPr>
                  <w:tcW w:w="834" w:type="pct"/>
                  <w:noWrap w:val="0"/>
                  <w:vAlign w:val="center"/>
                </w:tcPr>
                <w:p w14:paraId="0EB9386B">
                  <w:pPr>
                    <w:pStyle w:val="230"/>
                    <w:keepNext w:val="0"/>
                    <w:keepLines w:val="0"/>
                    <w:pageBreakBefore w:val="0"/>
                    <w:widowControl w:val="0"/>
                    <w:kinsoku/>
                    <w:wordWrap/>
                    <w:overflowPunct/>
                    <w:topLinePunct w:val="0"/>
                    <w:autoSpaceDE/>
                    <w:autoSpaceDN/>
                    <w:bidi w:val="0"/>
                    <w:adjustRightInd/>
                    <w:snapToGrid/>
                    <w:spacing w:line="246" w:lineRule="auto"/>
                    <w:ind w:left="105" w:leftChars="50" w:right="0" w:firstLine="0"/>
                    <w:jc w:val="center"/>
                    <w:textAlignment w:val="auto"/>
                    <w:rPr>
                      <w:color w:val="auto"/>
                      <w:sz w:val="21"/>
                      <w:szCs w:val="21"/>
                      <w:u w:val="single"/>
                    </w:rPr>
                  </w:pPr>
                  <w:r>
                    <w:rPr>
                      <w:color w:val="auto"/>
                      <w:spacing w:val="-1"/>
                      <w:sz w:val="21"/>
                      <w:szCs w:val="21"/>
                      <w:u w:val="single"/>
                    </w:rPr>
                    <w:t>清洁疏浚物</w:t>
                  </w:r>
                  <w:r>
                    <w:rPr>
                      <w:color w:val="auto"/>
                      <w:spacing w:val="-5"/>
                      <w:sz w:val="21"/>
                      <w:szCs w:val="21"/>
                      <w:u w:val="single"/>
                    </w:rPr>
                    <w:t>(</w:t>
                  </w:r>
                  <w:r>
                    <w:rPr>
                      <w:rFonts w:ascii="Times New Roman" w:hAnsi="Times New Roman" w:eastAsia="Times New Roman" w:cs="Times New Roman"/>
                      <w:color w:val="auto"/>
                      <w:spacing w:val="-5"/>
                      <w:sz w:val="21"/>
                      <w:szCs w:val="21"/>
                      <w:u w:val="single"/>
                    </w:rPr>
                    <w:t>Ⅰ</w:t>
                  </w:r>
                  <w:r>
                    <w:rPr>
                      <w:color w:val="auto"/>
                      <w:spacing w:val="-5"/>
                      <w:sz w:val="21"/>
                      <w:szCs w:val="21"/>
                      <w:u w:val="single"/>
                    </w:rPr>
                    <w:t>类）</w:t>
                  </w:r>
                </w:p>
              </w:tc>
              <w:tc>
                <w:tcPr>
                  <w:tcW w:w="4165" w:type="pct"/>
                  <w:gridSpan w:val="5"/>
                  <w:noWrap w:val="0"/>
                  <w:vAlign w:val="center"/>
                </w:tcPr>
                <w:p w14:paraId="3F0B9C06">
                  <w:pPr>
                    <w:pStyle w:val="230"/>
                    <w:keepNext w:val="0"/>
                    <w:keepLines w:val="0"/>
                    <w:pageBreakBefore w:val="0"/>
                    <w:widowControl w:val="0"/>
                    <w:kinsoku/>
                    <w:wordWrap/>
                    <w:overflowPunct/>
                    <w:topLinePunct w:val="0"/>
                    <w:autoSpaceDE/>
                    <w:autoSpaceDN/>
                    <w:bidi w:val="0"/>
                    <w:adjustRightInd/>
                    <w:snapToGrid/>
                    <w:spacing w:line="221" w:lineRule="auto"/>
                    <w:ind w:left="105" w:leftChars="50" w:right="0" w:firstLine="0"/>
                    <w:jc w:val="both"/>
                    <w:textAlignment w:val="auto"/>
                    <w:rPr>
                      <w:color w:val="auto"/>
                      <w:sz w:val="21"/>
                      <w:szCs w:val="21"/>
                      <w:u w:val="single"/>
                    </w:rPr>
                  </w:pPr>
                  <w:r>
                    <w:rPr>
                      <w:color w:val="auto"/>
                      <w:spacing w:val="-1"/>
                      <w:sz w:val="21"/>
                      <w:szCs w:val="21"/>
                      <w:u w:val="single"/>
                    </w:rPr>
                    <w:t>符合下列条件之一的疏浚物为清洁疏浚物：</w:t>
                  </w:r>
                </w:p>
                <w:p w14:paraId="0DB47C80">
                  <w:pPr>
                    <w:pStyle w:val="230"/>
                    <w:keepNext w:val="0"/>
                    <w:keepLines w:val="0"/>
                    <w:pageBreakBefore w:val="0"/>
                    <w:widowControl w:val="0"/>
                    <w:kinsoku/>
                    <w:wordWrap/>
                    <w:overflowPunct/>
                    <w:topLinePunct w:val="0"/>
                    <w:autoSpaceDE/>
                    <w:autoSpaceDN/>
                    <w:bidi w:val="0"/>
                    <w:adjustRightInd/>
                    <w:snapToGrid/>
                    <w:spacing w:line="233" w:lineRule="auto"/>
                    <w:ind w:left="105" w:leftChars="50" w:right="0" w:firstLine="0"/>
                    <w:jc w:val="both"/>
                    <w:textAlignment w:val="auto"/>
                    <w:rPr>
                      <w:color w:val="auto"/>
                      <w:sz w:val="21"/>
                      <w:szCs w:val="21"/>
                      <w:u w:val="single"/>
                    </w:rPr>
                  </w:pPr>
                  <w:r>
                    <w:rPr>
                      <w:rFonts w:ascii="Times New Roman" w:hAnsi="Times New Roman" w:eastAsia="Times New Roman" w:cs="Times New Roman"/>
                      <w:color w:val="auto"/>
                      <w:sz w:val="21"/>
                      <w:szCs w:val="21"/>
                      <w:u w:val="single"/>
                    </w:rPr>
                    <w:t>a</w:t>
                  </w:r>
                  <w:r>
                    <w:rPr>
                      <w:color w:val="auto"/>
                      <w:sz w:val="21"/>
                      <w:szCs w:val="21"/>
                      <w:u w:val="single"/>
                    </w:rPr>
                    <w:t>）疏浚物中所有化学组分的含量都不超过化学评价限值</w:t>
                  </w:r>
                  <w:r>
                    <w:rPr>
                      <w:color w:val="auto"/>
                      <w:spacing w:val="-1"/>
                      <w:sz w:val="21"/>
                      <w:szCs w:val="21"/>
                      <w:u w:val="single"/>
                    </w:rPr>
                    <w:t>的下限；</w:t>
                  </w:r>
                </w:p>
                <w:p w14:paraId="5E4253D3">
                  <w:pPr>
                    <w:pStyle w:val="230"/>
                    <w:keepNext w:val="0"/>
                    <w:keepLines w:val="0"/>
                    <w:pageBreakBefore w:val="0"/>
                    <w:widowControl w:val="0"/>
                    <w:kinsoku/>
                    <w:wordWrap/>
                    <w:overflowPunct/>
                    <w:topLinePunct w:val="0"/>
                    <w:autoSpaceDE/>
                    <w:autoSpaceDN/>
                    <w:bidi w:val="0"/>
                    <w:adjustRightInd/>
                    <w:snapToGrid/>
                    <w:spacing w:line="323" w:lineRule="auto"/>
                    <w:ind w:left="105" w:leftChars="50" w:right="0" w:firstLine="0"/>
                    <w:jc w:val="both"/>
                    <w:textAlignment w:val="auto"/>
                    <w:rPr>
                      <w:color w:val="auto"/>
                      <w:sz w:val="21"/>
                      <w:szCs w:val="21"/>
                      <w:u w:val="single"/>
                    </w:rPr>
                  </w:pPr>
                  <w:r>
                    <w:rPr>
                      <w:rFonts w:ascii="Times New Roman" w:hAnsi="Times New Roman" w:eastAsia="Times New Roman" w:cs="Times New Roman"/>
                      <w:color w:val="auto"/>
                      <w:spacing w:val="2"/>
                      <w:sz w:val="21"/>
                      <w:szCs w:val="21"/>
                      <w:u w:val="single"/>
                    </w:rPr>
                    <w:t>b</w:t>
                  </w:r>
                  <w:r>
                    <w:rPr>
                      <w:color w:val="auto"/>
                      <w:spacing w:val="2"/>
                      <w:sz w:val="21"/>
                      <w:szCs w:val="21"/>
                      <w:u w:val="single"/>
                    </w:rPr>
                    <w:t>）疏浚物中镉、汞、六六六、滴滴涕、多氯联苯总量不超过化学评价的下</w:t>
                  </w:r>
                  <w:r>
                    <w:rPr>
                      <w:color w:val="auto"/>
                      <w:spacing w:val="1"/>
                      <w:sz w:val="21"/>
                      <w:szCs w:val="21"/>
                      <w:u w:val="single"/>
                    </w:rPr>
                    <w:t>限，疏</w:t>
                  </w:r>
                  <w:r>
                    <w:rPr>
                      <w:color w:val="auto"/>
                      <w:spacing w:val="-1"/>
                      <w:sz w:val="21"/>
                      <w:szCs w:val="21"/>
                      <w:u w:val="single"/>
                    </w:rPr>
                    <w:t>浚物中砷、铬、铜、铅、锌、有机碳、硫化物、油类，其中不多于两种的</w:t>
                  </w:r>
                  <w:r>
                    <w:rPr>
                      <w:color w:val="auto"/>
                      <w:spacing w:val="-2"/>
                      <w:sz w:val="21"/>
                      <w:szCs w:val="21"/>
                      <w:u w:val="single"/>
                    </w:rPr>
                    <w:t>含量超过</w:t>
                  </w:r>
                  <w:r>
                    <w:rPr>
                      <w:color w:val="auto"/>
                      <w:spacing w:val="-3"/>
                      <w:sz w:val="21"/>
                      <w:szCs w:val="21"/>
                      <w:u w:val="single"/>
                    </w:rPr>
                    <w:t>化学评价限值的下限，但不超过上限与下限</w:t>
                  </w:r>
                  <w:r>
                    <w:rPr>
                      <w:color w:val="auto"/>
                      <w:spacing w:val="-4"/>
                      <w:sz w:val="21"/>
                      <w:szCs w:val="21"/>
                      <w:u w:val="single"/>
                    </w:rPr>
                    <w:t>的平均值，且其小于</w:t>
                  </w:r>
                  <w:r>
                    <w:rPr>
                      <w:color w:val="auto"/>
                      <w:spacing w:val="-51"/>
                      <w:sz w:val="21"/>
                      <w:szCs w:val="21"/>
                      <w:u w:val="single"/>
                    </w:rPr>
                    <w:t xml:space="preserve"> </w:t>
                  </w:r>
                  <w:r>
                    <w:rPr>
                      <w:rFonts w:ascii="Times New Roman" w:hAnsi="Times New Roman" w:eastAsia="Times New Roman" w:cs="Times New Roman"/>
                      <w:color w:val="auto"/>
                      <w:spacing w:val="-4"/>
                      <w:sz w:val="21"/>
                      <w:szCs w:val="21"/>
                      <w:u w:val="single"/>
                    </w:rPr>
                    <w:t>4μm</w:t>
                  </w:r>
                  <w:r>
                    <w:rPr>
                      <w:rFonts w:ascii="Times New Roman" w:hAnsi="Times New Roman" w:eastAsia="Times New Roman" w:cs="Times New Roman"/>
                      <w:color w:val="auto"/>
                      <w:spacing w:val="22"/>
                      <w:w w:val="101"/>
                      <w:sz w:val="21"/>
                      <w:szCs w:val="21"/>
                      <w:u w:val="single"/>
                    </w:rPr>
                    <w:t xml:space="preserve"> </w:t>
                  </w:r>
                  <w:r>
                    <w:rPr>
                      <w:color w:val="auto"/>
                      <w:spacing w:val="-4"/>
                      <w:sz w:val="21"/>
                      <w:szCs w:val="21"/>
                      <w:u w:val="single"/>
                    </w:rPr>
                    <w:t>的粒度组分含</w:t>
                  </w:r>
                  <w:r>
                    <w:rPr>
                      <w:color w:val="auto"/>
                      <w:spacing w:val="-2"/>
                      <w:sz w:val="21"/>
                      <w:szCs w:val="21"/>
                      <w:u w:val="single"/>
                    </w:rPr>
                    <w:t>量不大于</w:t>
                  </w:r>
                  <w:r>
                    <w:rPr>
                      <w:color w:val="auto"/>
                      <w:spacing w:val="-42"/>
                      <w:sz w:val="21"/>
                      <w:szCs w:val="21"/>
                      <w:u w:val="single"/>
                    </w:rPr>
                    <w:t xml:space="preserve"> </w:t>
                  </w:r>
                  <w:r>
                    <w:rPr>
                      <w:rFonts w:ascii="Times New Roman" w:hAnsi="Times New Roman" w:eastAsia="Times New Roman" w:cs="Times New Roman"/>
                      <w:color w:val="auto"/>
                      <w:spacing w:val="-2"/>
                      <w:sz w:val="21"/>
                      <w:szCs w:val="21"/>
                      <w:u w:val="single"/>
                    </w:rPr>
                    <w:t>5%</w:t>
                  </w:r>
                  <w:r>
                    <w:rPr>
                      <w:color w:val="auto"/>
                      <w:spacing w:val="-2"/>
                      <w:sz w:val="21"/>
                      <w:szCs w:val="21"/>
                      <w:u w:val="single"/>
                    </w:rPr>
                    <w:t>，小于</w:t>
                  </w:r>
                  <w:r>
                    <w:rPr>
                      <w:color w:val="auto"/>
                      <w:spacing w:val="-43"/>
                      <w:sz w:val="21"/>
                      <w:szCs w:val="21"/>
                      <w:u w:val="single"/>
                    </w:rPr>
                    <w:t xml:space="preserve"> </w:t>
                  </w:r>
                  <w:r>
                    <w:rPr>
                      <w:rFonts w:ascii="Times New Roman" w:hAnsi="Times New Roman" w:eastAsia="Times New Roman" w:cs="Times New Roman"/>
                      <w:color w:val="auto"/>
                      <w:spacing w:val="-2"/>
                      <w:sz w:val="21"/>
                      <w:szCs w:val="21"/>
                      <w:u w:val="single"/>
                    </w:rPr>
                    <w:t>63μm</w:t>
                  </w:r>
                  <w:r>
                    <w:rPr>
                      <w:rFonts w:ascii="Times New Roman" w:hAnsi="Times New Roman" w:eastAsia="Times New Roman" w:cs="Times New Roman"/>
                      <w:color w:val="auto"/>
                      <w:spacing w:val="22"/>
                      <w:sz w:val="21"/>
                      <w:szCs w:val="21"/>
                      <w:u w:val="single"/>
                    </w:rPr>
                    <w:t xml:space="preserve"> </w:t>
                  </w:r>
                  <w:r>
                    <w:rPr>
                      <w:color w:val="auto"/>
                      <w:spacing w:val="-2"/>
                      <w:sz w:val="21"/>
                      <w:szCs w:val="21"/>
                      <w:u w:val="single"/>
                    </w:rPr>
                    <w:t>的粒度组分含量不大于</w:t>
                  </w:r>
                  <w:r>
                    <w:rPr>
                      <w:color w:val="auto"/>
                      <w:spacing w:val="-48"/>
                      <w:sz w:val="21"/>
                      <w:szCs w:val="21"/>
                      <w:u w:val="single"/>
                    </w:rPr>
                    <w:t xml:space="preserve"> </w:t>
                  </w:r>
                  <w:r>
                    <w:rPr>
                      <w:rFonts w:ascii="Times New Roman" w:hAnsi="Times New Roman" w:eastAsia="Times New Roman" w:cs="Times New Roman"/>
                      <w:color w:val="auto"/>
                      <w:spacing w:val="-2"/>
                      <w:sz w:val="21"/>
                      <w:szCs w:val="21"/>
                      <w:u w:val="single"/>
                    </w:rPr>
                    <w:t>20</w:t>
                  </w:r>
                  <w:r>
                    <w:rPr>
                      <w:rFonts w:ascii="Times New Roman" w:hAnsi="Times New Roman" w:eastAsia="Times New Roman" w:cs="Times New Roman"/>
                      <w:color w:val="auto"/>
                      <w:spacing w:val="-3"/>
                      <w:sz w:val="21"/>
                      <w:szCs w:val="21"/>
                      <w:u w:val="single"/>
                    </w:rPr>
                    <w:t>%</w:t>
                  </w:r>
                  <w:r>
                    <w:rPr>
                      <w:color w:val="auto"/>
                      <w:spacing w:val="-3"/>
                      <w:sz w:val="21"/>
                      <w:szCs w:val="21"/>
                      <w:u w:val="single"/>
                    </w:rPr>
                    <w:t>。</w:t>
                  </w:r>
                </w:p>
              </w:tc>
            </w:tr>
            <w:tr w14:paraId="25D78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trPr>
              <w:tc>
                <w:tcPr>
                  <w:tcW w:w="834" w:type="pct"/>
                  <w:noWrap w:val="0"/>
                  <w:vAlign w:val="center"/>
                </w:tcPr>
                <w:p w14:paraId="4596E2A9">
                  <w:pPr>
                    <w:pStyle w:val="230"/>
                    <w:keepNext w:val="0"/>
                    <w:keepLines w:val="0"/>
                    <w:pageBreakBefore w:val="0"/>
                    <w:widowControl w:val="0"/>
                    <w:kinsoku/>
                    <w:wordWrap/>
                    <w:overflowPunct/>
                    <w:topLinePunct w:val="0"/>
                    <w:autoSpaceDE/>
                    <w:autoSpaceDN/>
                    <w:bidi w:val="0"/>
                    <w:adjustRightInd/>
                    <w:snapToGrid/>
                    <w:spacing w:line="243" w:lineRule="auto"/>
                    <w:ind w:left="105" w:leftChars="50" w:right="0" w:firstLine="0"/>
                    <w:jc w:val="center"/>
                    <w:textAlignment w:val="auto"/>
                    <w:rPr>
                      <w:color w:val="auto"/>
                      <w:sz w:val="21"/>
                      <w:szCs w:val="21"/>
                      <w:u w:val="single"/>
                    </w:rPr>
                  </w:pPr>
                  <w:r>
                    <w:rPr>
                      <w:color w:val="auto"/>
                      <w:spacing w:val="-2"/>
                      <w:sz w:val="21"/>
                      <w:szCs w:val="21"/>
                      <w:u w:val="single"/>
                    </w:rPr>
                    <w:t>玷污疏浚物</w:t>
                  </w:r>
                  <w:r>
                    <w:rPr>
                      <w:color w:val="auto"/>
                      <w:spacing w:val="-5"/>
                      <w:sz w:val="21"/>
                      <w:szCs w:val="21"/>
                      <w:u w:val="single"/>
                    </w:rPr>
                    <w:t>(</w:t>
                  </w:r>
                  <w:r>
                    <w:rPr>
                      <w:rFonts w:ascii="Times New Roman" w:hAnsi="Times New Roman" w:eastAsia="Times New Roman" w:cs="Times New Roman"/>
                      <w:color w:val="auto"/>
                      <w:spacing w:val="-5"/>
                      <w:sz w:val="21"/>
                      <w:szCs w:val="21"/>
                      <w:u w:val="single"/>
                    </w:rPr>
                    <w:t>Ⅱ</w:t>
                  </w:r>
                  <w:r>
                    <w:rPr>
                      <w:color w:val="auto"/>
                      <w:spacing w:val="-5"/>
                      <w:sz w:val="21"/>
                      <w:szCs w:val="21"/>
                      <w:u w:val="single"/>
                    </w:rPr>
                    <w:t>类）</w:t>
                  </w:r>
                </w:p>
              </w:tc>
              <w:tc>
                <w:tcPr>
                  <w:tcW w:w="4165" w:type="pct"/>
                  <w:gridSpan w:val="5"/>
                  <w:noWrap w:val="0"/>
                  <w:vAlign w:val="center"/>
                </w:tcPr>
                <w:p w14:paraId="7DDCA63B">
                  <w:pPr>
                    <w:pStyle w:val="230"/>
                    <w:keepNext w:val="0"/>
                    <w:keepLines w:val="0"/>
                    <w:pageBreakBefore w:val="0"/>
                    <w:widowControl w:val="0"/>
                    <w:kinsoku/>
                    <w:wordWrap/>
                    <w:overflowPunct/>
                    <w:topLinePunct w:val="0"/>
                    <w:autoSpaceDE/>
                    <w:autoSpaceDN/>
                    <w:bidi w:val="0"/>
                    <w:adjustRightInd/>
                    <w:snapToGrid/>
                    <w:spacing w:line="360" w:lineRule="auto"/>
                    <w:ind w:left="105" w:leftChars="50" w:right="0" w:firstLine="0"/>
                    <w:jc w:val="both"/>
                    <w:textAlignment w:val="auto"/>
                    <w:rPr>
                      <w:color w:val="auto"/>
                      <w:sz w:val="21"/>
                      <w:szCs w:val="21"/>
                      <w:u w:val="single"/>
                    </w:rPr>
                  </w:pPr>
                  <w:r>
                    <w:rPr>
                      <w:color w:val="auto"/>
                      <w:spacing w:val="-1"/>
                      <w:sz w:val="21"/>
                      <w:szCs w:val="21"/>
                      <w:u w:val="single"/>
                    </w:rPr>
                    <w:t>疏浚物中主要化学组分含量均不超过化学评价限值的上限，且符合下列条</w:t>
                  </w:r>
                  <w:r>
                    <w:rPr>
                      <w:color w:val="auto"/>
                      <w:spacing w:val="-2"/>
                      <w:sz w:val="21"/>
                      <w:szCs w:val="21"/>
                      <w:u w:val="single"/>
                    </w:rPr>
                    <w:t>件之一的</w:t>
                  </w:r>
                  <w:r>
                    <w:rPr>
                      <w:color w:val="auto"/>
                      <w:spacing w:val="-1"/>
                      <w:sz w:val="21"/>
                      <w:szCs w:val="21"/>
                      <w:u w:val="single"/>
                    </w:rPr>
                    <w:t>疏浚物为玷污疏浚物：</w:t>
                  </w:r>
                </w:p>
                <w:p w14:paraId="2E763A30">
                  <w:pPr>
                    <w:pStyle w:val="230"/>
                    <w:keepNext w:val="0"/>
                    <w:keepLines w:val="0"/>
                    <w:pageBreakBefore w:val="0"/>
                    <w:widowControl w:val="0"/>
                    <w:kinsoku/>
                    <w:wordWrap/>
                    <w:overflowPunct/>
                    <w:topLinePunct w:val="0"/>
                    <w:autoSpaceDE/>
                    <w:autoSpaceDN/>
                    <w:bidi w:val="0"/>
                    <w:adjustRightInd/>
                    <w:snapToGrid/>
                    <w:spacing w:line="349" w:lineRule="auto"/>
                    <w:ind w:left="105" w:leftChars="50" w:right="0" w:firstLine="0"/>
                    <w:jc w:val="both"/>
                    <w:textAlignment w:val="auto"/>
                    <w:rPr>
                      <w:color w:val="auto"/>
                      <w:sz w:val="21"/>
                      <w:szCs w:val="21"/>
                      <w:u w:val="single"/>
                    </w:rPr>
                  </w:pPr>
                  <w:r>
                    <w:rPr>
                      <w:rFonts w:ascii="Times New Roman" w:hAnsi="Times New Roman" w:eastAsia="Times New Roman" w:cs="Times New Roman"/>
                      <w:color w:val="auto"/>
                      <w:spacing w:val="2"/>
                      <w:sz w:val="21"/>
                      <w:szCs w:val="21"/>
                      <w:u w:val="single"/>
                    </w:rPr>
                    <w:t>a</w:t>
                  </w:r>
                  <w:r>
                    <w:rPr>
                      <w:color w:val="auto"/>
                      <w:spacing w:val="2"/>
                      <w:sz w:val="21"/>
                      <w:szCs w:val="21"/>
                      <w:u w:val="single"/>
                    </w:rPr>
                    <w:t>）疏浚物中镉、汞、六六六、滴滴涕、多氯联苯总量等一种或一种以上的</w:t>
                  </w:r>
                  <w:r>
                    <w:rPr>
                      <w:color w:val="auto"/>
                      <w:spacing w:val="1"/>
                      <w:sz w:val="21"/>
                      <w:szCs w:val="21"/>
                      <w:u w:val="single"/>
                    </w:rPr>
                    <w:t>含量超</w:t>
                  </w:r>
                  <w:r>
                    <w:rPr>
                      <w:color w:val="auto"/>
                      <w:spacing w:val="-3"/>
                      <w:sz w:val="21"/>
                      <w:szCs w:val="21"/>
                      <w:u w:val="single"/>
                    </w:rPr>
                    <w:t>过化学评价限值的下限；</w:t>
                  </w:r>
                </w:p>
                <w:p w14:paraId="04634AE9">
                  <w:pPr>
                    <w:pStyle w:val="230"/>
                    <w:keepNext w:val="0"/>
                    <w:keepLines w:val="0"/>
                    <w:pageBreakBefore w:val="0"/>
                    <w:widowControl w:val="0"/>
                    <w:kinsoku/>
                    <w:wordWrap/>
                    <w:overflowPunct/>
                    <w:topLinePunct w:val="0"/>
                    <w:autoSpaceDE/>
                    <w:autoSpaceDN/>
                    <w:bidi w:val="0"/>
                    <w:adjustRightInd/>
                    <w:snapToGrid/>
                    <w:spacing w:line="360" w:lineRule="auto"/>
                    <w:ind w:left="105" w:leftChars="50" w:right="0" w:firstLine="0"/>
                    <w:jc w:val="both"/>
                    <w:textAlignment w:val="auto"/>
                    <w:rPr>
                      <w:color w:val="auto"/>
                      <w:sz w:val="21"/>
                      <w:szCs w:val="21"/>
                      <w:u w:val="single"/>
                    </w:rPr>
                  </w:pPr>
                  <w:r>
                    <w:rPr>
                      <w:rFonts w:ascii="Times New Roman" w:hAnsi="Times New Roman" w:eastAsia="Times New Roman" w:cs="Times New Roman"/>
                      <w:color w:val="auto"/>
                      <w:spacing w:val="2"/>
                      <w:sz w:val="21"/>
                      <w:szCs w:val="21"/>
                      <w:u w:val="single"/>
                    </w:rPr>
                    <w:t>b</w:t>
                  </w:r>
                  <w:r>
                    <w:rPr>
                      <w:color w:val="auto"/>
                      <w:spacing w:val="2"/>
                      <w:sz w:val="21"/>
                      <w:szCs w:val="21"/>
                      <w:u w:val="single"/>
                    </w:rPr>
                    <w:t>）疏浚物中砷、铬、铜、铅、锌、有机碳、硫</w:t>
                  </w:r>
                  <w:r>
                    <w:rPr>
                      <w:color w:val="auto"/>
                      <w:spacing w:val="1"/>
                      <w:sz w:val="21"/>
                      <w:szCs w:val="21"/>
                      <w:u w:val="single"/>
                    </w:rPr>
                    <w:t>化物、油类的物理化学组分含量不</w:t>
                  </w:r>
                  <w:r>
                    <w:rPr>
                      <w:color w:val="auto"/>
                      <w:spacing w:val="-2"/>
                      <w:sz w:val="21"/>
                      <w:szCs w:val="21"/>
                      <w:u w:val="single"/>
                    </w:rPr>
                    <w:t>满足清洁疏浚物</w:t>
                  </w:r>
                  <w:r>
                    <w:rPr>
                      <w:rFonts w:ascii="Times New Roman" w:hAnsi="Times New Roman" w:eastAsia="Times New Roman" w:cs="Times New Roman"/>
                      <w:color w:val="auto"/>
                      <w:spacing w:val="-2"/>
                      <w:sz w:val="21"/>
                      <w:szCs w:val="21"/>
                      <w:u w:val="single"/>
                    </w:rPr>
                    <w:t>Ⅰ</w:t>
                  </w:r>
                  <w:r>
                    <w:rPr>
                      <w:color w:val="auto"/>
                      <w:spacing w:val="-2"/>
                      <w:sz w:val="21"/>
                      <w:szCs w:val="21"/>
                      <w:u w:val="single"/>
                    </w:rPr>
                    <w:t>类</w:t>
                  </w:r>
                  <w:r>
                    <w:rPr>
                      <w:rFonts w:ascii="Times New Roman" w:hAnsi="Times New Roman" w:eastAsia="Times New Roman" w:cs="Times New Roman"/>
                      <w:color w:val="auto"/>
                      <w:spacing w:val="-2"/>
                      <w:sz w:val="21"/>
                      <w:szCs w:val="21"/>
                      <w:u w:val="single"/>
                    </w:rPr>
                    <w:t xml:space="preserve">-b </w:t>
                  </w:r>
                  <w:r>
                    <w:rPr>
                      <w:color w:val="auto"/>
                      <w:spacing w:val="-2"/>
                      <w:sz w:val="21"/>
                      <w:szCs w:val="21"/>
                      <w:u w:val="single"/>
                    </w:rPr>
                    <w:t>条规定的要求。</w:t>
                  </w:r>
                </w:p>
              </w:tc>
            </w:tr>
            <w:tr w14:paraId="56B1C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834" w:type="pct"/>
                  <w:noWrap w:val="0"/>
                  <w:vAlign w:val="center"/>
                </w:tcPr>
                <w:p w14:paraId="41B15A49">
                  <w:pPr>
                    <w:pStyle w:val="230"/>
                    <w:keepNext w:val="0"/>
                    <w:keepLines w:val="0"/>
                    <w:pageBreakBefore w:val="0"/>
                    <w:widowControl w:val="0"/>
                    <w:kinsoku/>
                    <w:wordWrap/>
                    <w:overflowPunct/>
                    <w:topLinePunct w:val="0"/>
                    <w:autoSpaceDE/>
                    <w:autoSpaceDN/>
                    <w:bidi w:val="0"/>
                    <w:adjustRightInd/>
                    <w:snapToGrid/>
                    <w:ind w:left="105" w:leftChars="50" w:right="0" w:firstLine="0"/>
                    <w:jc w:val="center"/>
                    <w:textAlignment w:val="auto"/>
                    <w:rPr>
                      <w:color w:val="auto"/>
                      <w:sz w:val="21"/>
                      <w:szCs w:val="21"/>
                      <w:u w:val="single"/>
                    </w:rPr>
                  </w:pPr>
                  <w:r>
                    <w:rPr>
                      <w:color w:val="auto"/>
                      <w:spacing w:val="-2"/>
                      <w:sz w:val="21"/>
                      <w:szCs w:val="21"/>
                      <w:u w:val="single"/>
                    </w:rPr>
                    <w:t>污染疏浚物</w:t>
                  </w:r>
                  <w:r>
                    <w:rPr>
                      <w:color w:val="auto"/>
                      <w:spacing w:val="-6"/>
                      <w:sz w:val="21"/>
                      <w:szCs w:val="21"/>
                      <w:u w:val="single"/>
                    </w:rPr>
                    <w:t>(</w:t>
                  </w:r>
                  <w:r>
                    <w:rPr>
                      <w:rFonts w:ascii="Times New Roman" w:hAnsi="Times New Roman" w:eastAsia="Times New Roman" w:cs="Times New Roman"/>
                      <w:color w:val="auto"/>
                      <w:spacing w:val="-6"/>
                      <w:sz w:val="21"/>
                      <w:szCs w:val="21"/>
                      <w:u w:val="single"/>
                    </w:rPr>
                    <w:t>Ⅲ</w:t>
                  </w:r>
                  <w:r>
                    <w:rPr>
                      <w:color w:val="auto"/>
                      <w:spacing w:val="-6"/>
                      <w:sz w:val="21"/>
                      <w:szCs w:val="21"/>
                      <w:u w:val="single"/>
                    </w:rPr>
                    <w:t>类）</w:t>
                  </w:r>
                </w:p>
              </w:tc>
              <w:tc>
                <w:tcPr>
                  <w:tcW w:w="4165" w:type="pct"/>
                  <w:gridSpan w:val="5"/>
                  <w:noWrap w:val="0"/>
                  <w:vAlign w:val="center"/>
                </w:tcPr>
                <w:p w14:paraId="33650B51">
                  <w:pPr>
                    <w:pStyle w:val="230"/>
                    <w:keepNext w:val="0"/>
                    <w:keepLines w:val="0"/>
                    <w:pageBreakBefore w:val="0"/>
                    <w:widowControl w:val="0"/>
                    <w:kinsoku/>
                    <w:wordWrap/>
                    <w:overflowPunct/>
                    <w:topLinePunct w:val="0"/>
                    <w:autoSpaceDE/>
                    <w:autoSpaceDN/>
                    <w:bidi w:val="0"/>
                    <w:adjustRightInd/>
                    <w:snapToGrid/>
                    <w:spacing w:line="219" w:lineRule="auto"/>
                    <w:ind w:left="105" w:leftChars="50" w:right="0" w:firstLine="0"/>
                    <w:jc w:val="both"/>
                    <w:textAlignment w:val="auto"/>
                    <w:rPr>
                      <w:color w:val="auto"/>
                      <w:sz w:val="21"/>
                      <w:szCs w:val="21"/>
                      <w:u w:val="single"/>
                    </w:rPr>
                  </w:pPr>
                  <w:r>
                    <w:rPr>
                      <w:color w:val="auto"/>
                      <w:spacing w:val="-1"/>
                      <w:sz w:val="21"/>
                      <w:szCs w:val="21"/>
                      <w:u w:val="single"/>
                    </w:rPr>
                    <w:t>疏浚物中一种或一种以上化学组分含量超过化学评价限值的上限为污染疏浚物。</w:t>
                  </w:r>
                </w:p>
              </w:tc>
            </w:tr>
            <w:tr w14:paraId="3E74B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34" w:type="pct"/>
                  <w:noWrap w:val="0"/>
                  <w:vAlign w:val="center"/>
                </w:tcPr>
                <w:p w14:paraId="262F81DA">
                  <w:pPr>
                    <w:pStyle w:val="230"/>
                    <w:keepNext w:val="0"/>
                    <w:keepLines w:val="0"/>
                    <w:pageBreakBefore w:val="0"/>
                    <w:widowControl w:val="0"/>
                    <w:kinsoku/>
                    <w:wordWrap/>
                    <w:overflowPunct/>
                    <w:topLinePunct w:val="0"/>
                    <w:autoSpaceDE/>
                    <w:autoSpaceDN/>
                    <w:bidi w:val="0"/>
                    <w:adjustRightInd/>
                    <w:snapToGrid/>
                    <w:spacing w:line="222" w:lineRule="auto"/>
                    <w:ind w:left="105" w:leftChars="50" w:right="0" w:firstLine="0"/>
                    <w:jc w:val="center"/>
                    <w:textAlignment w:val="auto"/>
                    <w:rPr>
                      <w:color w:val="auto"/>
                      <w:sz w:val="21"/>
                      <w:szCs w:val="21"/>
                      <w:u w:val="single"/>
                    </w:rPr>
                  </w:pPr>
                  <w:r>
                    <w:rPr>
                      <w:color w:val="auto"/>
                      <w:spacing w:val="-3"/>
                      <w:sz w:val="21"/>
                      <w:szCs w:val="21"/>
                      <w:u w:val="single"/>
                    </w:rPr>
                    <w:t>备注</w:t>
                  </w:r>
                </w:p>
              </w:tc>
              <w:tc>
                <w:tcPr>
                  <w:tcW w:w="4165" w:type="pct"/>
                  <w:gridSpan w:val="5"/>
                  <w:noWrap w:val="0"/>
                  <w:vAlign w:val="center"/>
                </w:tcPr>
                <w:p w14:paraId="437CB045">
                  <w:pPr>
                    <w:pStyle w:val="230"/>
                    <w:keepNext w:val="0"/>
                    <w:keepLines w:val="0"/>
                    <w:pageBreakBefore w:val="0"/>
                    <w:widowControl w:val="0"/>
                    <w:kinsoku/>
                    <w:wordWrap/>
                    <w:overflowPunct/>
                    <w:topLinePunct w:val="0"/>
                    <w:autoSpaceDE/>
                    <w:autoSpaceDN/>
                    <w:bidi w:val="0"/>
                    <w:adjustRightInd/>
                    <w:snapToGrid/>
                    <w:spacing w:line="233" w:lineRule="auto"/>
                    <w:ind w:left="105" w:leftChars="50" w:right="0" w:firstLine="0"/>
                    <w:jc w:val="center"/>
                    <w:textAlignment w:val="auto"/>
                    <w:rPr>
                      <w:rFonts w:ascii="Times New Roman" w:hAnsi="Times New Roman" w:eastAsia="Times New Roman" w:cs="Times New Roman"/>
                      <w:color w:val="auto"/>
                      <w:sz w:val="21"/>
                      <w:szCs w:val="21"/>
                      <w:u w:val="single"/>
                    </w:rPr>
                  </w:pPr>
                  <w:r>
                    <w:rPr>
                      <w:color w:val="auto"/>
                      <w:spacing w:val="-1"/>
                      <w:sz w:val="21"/>
                      <w:szCs w:val="21"/>
                      <w:u w:val="single"/>
                    </w:rPr>
                    <w:t>以上内容摘自《海洋倾倒物质评价规范 疏浚物》</w:t>
                  </w:r>
                  <w:r>
                    <w:rPr>
                      <w:rFonts w:ascii="Times New Roman" w:hAnsi="Times New Roman" w:eastAsia="Times New Roman" w:cs="Times New Roman"/>
                      <w:color w:val="auto"/>
                      <w:spacing w:val="-1"/>
                      <w:sz w:val="21"/>
                      <w:szCs w:val="21"/>
                      <w:u w:val="single"/>
                    </w:rPr>
                    <w:t>GB 30980-2014</w:t>
                  </w:r>
                </w:p>
              </w:tc>
            </w:tr>
          </w:tbl>
          <w:p w14:paraId="66B87D7F">
            <w:pPr>
              <w:widowControl/>
              <w:numPr>
                <w:ilvl w:val="0"/>
                <w:numId w:val="13"/>
              </w:num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疏浚物分类及评价结果</w:t>
            </w:r>
          </w:p>
          <w:p w14:paraId="5E710D95">
            <w:pPr>
              <w:keepNext/>
              <w:keepLines/>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jc w:val="center"/>
              <w:textAlignment w:val="auto"/>
              <w:outlineLvl w:val="4"/>
              <w:rPr>
                <w:rFonts w:hint="eastAsia" w:ascii="Times New Roman" w:hAnsi="Times New Roman" w:eastAsia="宋体" w:cs="Times New Roman"/>
                <w:b/>
                <w:bCs/>
                <w:color w:val="auto"/>
                <w:sz w:val="24"/>
                <w:highlight w:val="none"/>
                <w:u w:val="single"/>
                <w:lang w:val="en-US" w:eastAsia="zh-CN"/>
              </w:rPr>
            </w:pPr>
            <w:r>
              <w:rPr>
                <w:rFonts w:hint="eastAsia" w:ascii="Times New Roman" w:hAnsi="Times New Roman" w:eastAsia="宋体" w:cs="Times New Roman"/>
                <w:b/>
                <w:bCs/>
                <w:color w:val="auto"/>
                <w:sz w:val="24"/>
                <w:highlight w:val="none"/>
                <w:u w:val="single"/>
                <w:lang w:val="en-US" w:eastAsia="zh-CN"/>
              </w:rPr>
              <w:t>表3.1-42疏浚物海洋倾倒分类结果</w:t>
            </w:r>
          </w:p>
          <w:tbl>
            <w:tblPr>
              <w:tblStyle w:val="2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4"/>
              <w:gridCol w:w="1668"/>
              <w:gridCol w:w="1974"/>
              <w:gridCol w:w="1974"/>
              <w:gridCol w:w="1984"/>
            </w:tblGrid>
            <w:tr w14:paraId="128E1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552" w:type="pct"/>
                  <w:noWrap w:val="0"/>
                  <w:vAlign w:val="center"/>
                </w:tcPr>
                <w:p w14:paraId="4C707CD8">
                  <w:pPr>
                    <w:pStyle w:val="230"/>
                    <w:keepNext w:val="0"/>
                    <w:keepLines w:val="0"/>
                    <w:pageBreakBefore w:val="0"/>
                    <w:widowControl w:val="0"/>
                    <w:kinsoku/>
                    <w:wordWrap/>
                    <w:overflowPunct/>
                    <w:topLinePunct w:val="0"/>
                    <w:autoSpaceDE/>
                    <w:autoSpaceDN/>
                    <w:bidi w:val="0"/>
                    <w:adjustRightInd/>
                    <w:snapToGrid/>
                    <w:spacing w:before="125" w:line="222"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4"/>
                      <w:sz w:val="21"/>
                      <w:szCs w:val="21"/>
                      <w:u w:val="single"/>
                    </w:rPr>
                    <w:t>序号</w:t>
                  </w:r>
                </w:p>
              </w:tc>
              <w:tc>
                <w:tcPr>
                  <w:tcW w:w="976" w:type="pct"/>
                  <w:noWrap w:val="0"/>
                  <w:vAlign w:val="center"/>
                </w:tcPr>
                <w:p w14:paraId="58812875">
                  <w:pPr>
                    <w:pStyle w:val="230"/>
                    <w:keepNext w:val="0"/>
                    <w:keepLines w:val="0"/>
                    <w:pageBreakBefore w:val="0"/>
                    <w:widowControl w:val="0"/>
                    <w:kinsoku/>
                    <w:wordWrap/>
                    <w:overflowPunct/>
                    <w:topLinePunct w:val="0"/>
                    <w:autoSpaceDE/>
                    <w:autoSpaceDN/>
                    <w:bidi w:val="0"/>
                    <w:adjustRightInd/>
                    <w:snapToGrid/>
                    <w:spacing w:before="125" w:line="221"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4"/>
                      <w:sz w:val="21"/>
                      <w:szCs w:val="21"/>
                      <w:u w:val="single"/>
                    </w:rPr>
                    <w:t>站位编号</w:t>
                  </w:r>
                </w:p>
              </w:tc>
              <w:tc>
                <w:tcPr>
                  <w:tcW w:w="1155" w:type="pct"/>
                  <w:noWrap w:val="0"/>
                  <w:vAlign w:val="center"/>
                </w:tcPr>
                <w:p w14:paraId="54BA85AD">
                  <w:pPr>
                    <w:pStyle w:val="230"/>
                    <w:keepNext w:val="0"/>
                    <w:keepLines w:val="0"/>
                    <w:pageBreakBefore w:val="0"/>
                    <w:widowControl w:val="0"/>
                    <w:kinsoku/>
                    <w:wordWrap/>
                    <w:overflowPunct/>
                    <w:topLinePunct w:val="0"/>
                    <w:autoSpaceDE/>
                    <w:autoSpaceDN/>
                    <w:bidi w:val="0"/>
                    <w:adjustRightInd/>
                    <w:snapToGrid/>
                    <w:spacing w:before="125" w:line="216"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2"/>
                      <w:sz w:val="21"/>
                      <w:szCs w:val="21"/>
                      <w:u w:val="single"/>
                    </w:rPr>
                    <w:t>清洁疏浚物(Ⅰ类)</w:t>
                  </w:r>
                </w:p>
              </w:tc>
              <w:tc>
                <w:tcPr>
                  <w:tcW w:w="1155" w:type="pct"/>
                  <w:noWrap w:val="0"/>
                  <w:vAlign w:val="center"/>
                </w:tcPr>
                <w:p w14:paraId="2AE98A52">
                  <w:pPr>
                    <w:pStyle w:val="230"/>
                    <w:keepNext w:val="0"/>
                    <w:keepLines w:val="0"/>
                    <w:pageBreakBefore w:val="0"/>
                    <w:widowControl w:val="0"/>
                    <w:kinsoku/>
                    <w:wordWrap/>
                    <w:overflowPunct/>
                    <w:topLinePunct w:val="0"/>
                    <w:autoSpaceDE/>
                    <w:autoSpaceDN/>
                    <w:bidi w:val="0"/>
                    <w:adjustRightInd/>
                    <w:snapToGrid/>
                    <w:spacing w:before="125" w:line="216"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2"/>
                      <w:sz w:val="21"/>
                      <w:szCs w:val="21"/>
                      <w:u w:val="single"/>
                    </w:rPr>
                    <w:t>玷污疏浚物(Ⅱ类)</w:t>
                  </w:r>
                </w:p>
              </w:tc>
              <w:tc>
                <w:tcPr>
                  <w:tcW w:w="1160" w:type="pct"/>
                  <w:noWrap w:val="0"/>
                  <w:vAlign w:val="center"/>
                </w:tcPr>
                <w:p w14:paraId="7B8239AE">
                  <w:pPr>
                    <w:pStyle w:val="230"/>
                    <w:keepNext w:val="0"/>
                    <w:keepLines w:val="0"/>
                    <w:pageBreakBefore w:val="0"/>
                    <w:widowControl w:val="0"/>
                    <w:kinsoku/>
                    <w:wordWrap/>
                    <w:overflowPunct/>
                    <w:topLinePunct w:val="0"/>
                    <w:autoSpaceDE/>
                    <w:autoSpaceDN/>
                    <w:bidi w:val="0"/>
                    <w:adjustRightInd/>
                    <w:snapToGrid/>
                    <w:spacing w:before="125" w:line="216"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2"/>
                      <w:sz w:val="21"/>
                      <w:szCs w:val="21"/>
                      <w:u w:val="single"/>
                    </w:rPr>
                    <w:t>污染疏浚物(Ⅲ类)</w:t>
                  </w:r>
                </w:p>
              </w:tc>
            </w:tr>
            <w:tr w14:paraId="1C88C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52" w:type="pct"/>
                  <w:noWrap w:val="0"/>
                  <w:vAlign w:val="center"/>
                </w:tcPr>
                <w:p w14:paraId="78D91C42">
                  <w:pPr>
                    <w:keepNext w:val="0"/>
                    <w:keepLines w:val="0"/>
                    <w:pageBreakBefore w:val="0"/>
                    <w:widowControl w:val="0"/>
                    <w:kinsoku/>
                    <w:wordWrap/>
                    <w:overflowPunct/>
                    <w:topLinePunct w:val="0"/>
                    <w:autoSpaceDE/>
                    <w:autoSpaceDN/>
                    <w:bidi w:val="0"/>
                    <w:adjustRightInd/>
                    <w:snapToGrid/>
                    <w:spacing w:before="151" w:line="236"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w:t>
                  </w:r>
                </w:p>
              </w:tc>
              <w:tc>
                <w:tcPr>
                  <w:tcW w:w="976" w:type="pct"/>
                  <w:noWrap w:val="0"/>
                  <w:vAlign w:val="center"/>
                </w:tcPr>
                <w:p w14:paraId="0FEE5555">
                  <w:pPr>
                    <w:keepNext w:val="0"/>
                    <w:keepLines w:val="0"/>
                    <w:pageBreakBefore w:val="0"/>
                    <w:widowControl w:val="0"/>
                    <w:kinsoku/>
                    <w:wordWrap/>
                    <w:overflowPunct/>
                    <w:topLinePunct w:val="0"/>
                    <w:autoSpaceDE/>
                    <w:autoSpaceDN/>
                    <w:bidi w:val="0"/>
                    <w:adjustRightInd/>
                    <w:snapToGrid/>
                    <w:spacing w:before="152" w:line="195" w:lineRule="auto"/>
                    <w:ind w:left="0" w:leftChars="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pacing w:val="-2"/>
                      <w:sz w:val="21"/>
                      <w:szCs w:val="21"/>
                      <w:u w:val="single"/>
                    </w:rPr>
                    <w:t>GQ</w:t>
                  </w:r>
                  <w:r>
                    <w:rPr>
                      <w:rFonts w:hint="eastAsia" w:ascii="Times New Roman" w:hAnsi="Times New Roman" w:eastAsia="宋体" w:cs="Times New Roman"/>
                      <w:color w:val="auto"/>
                      <w:spacing w:val="-2"/>
                      <w:sz w:val="21"/>
                      <w:szCs w:val="21"/>
                      <w:u w:val="single"/>
                      <w:lang w:val="en-US" w:eastAsia="zh-CN"/>
                    </w:rPr>
                    <w:t>7</w:t>
                  </w:r>
                </w:p>
              </w:tc>
              <w:tc>
                <w:tcPr>
                  <w:tcW w:w="1155" w:type="pct"/>
                  <w:noWrap w:val="0"/>
                  <w:vAlign w:val="center"/>
                </w:tcPr>
                <w:p w14:paraId="0F6445CE">
                  <w:pPr>
                    <w:pStyle w:val="230"/>
                    <w:keepNext w:val="0"/>
                    <w:keepLines w:val="0"/>
                    <w:pageBreakBefore w:val="0"/>
                    <w:widowControl w:val="0"/>
                    <w:kinsoku/>
                    <w:wordWrap/>
                    <w:overflowPunct/>
                    <w:topLinePunct w:val="0"/>
                    <w:autoSpaceDE/>
                    <w:autoSpaceDN/>
                    <w:bidi w:val="0"/>
                    <w:adjustRightInd/>
                    <w:snapToGrid/>
                    <w:spacing w:before="122" w:line="239"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3"/>
                      <w:sz w:val="21"/>
                      <w:szCs w:val="21"/>
                      <w:u w:val="single"/>
                    </w:rPr>
                    <w:t>√</w:t>
                  </w:r>
                </w:p>
              </w:tc>
              <w:tc>
                <w:tcPr>
                  <w:tcW w:w="1155" w:type="pct"/>
                  <w:noWrap w:val="0"/>
                  <w:vAlign w:val="center"/>
                </w:tcPr>
                <w:p w14:paraId="5BC02D07">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u w:val="single"/>
                    </w:rPr>
                  </w:pPr>
                </w:p>
              </w:tc>
              <w:tc>
                <w:tcPr>
                  <w:tcW w:w="1160" w:type="pct"/>
                  <w:noWrap w:val="0"/>
                  <w:vAlign w:val="center"/>
                </w:tcPr>
                <w:p w14:paraId="244B157B">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u w:val="single"/>
                    </w:rPr>
                  </w:pPr>
                </w:p>
              </w:tc>
            </w:tr>
            <w:tr w14:paraId="3B0BE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52" w:type="pct"/>
                  <w:noWrap w:val="0"/>
                  <w:vAlign w:val="center"/>
                </w:tcPr>
                <w:p w14:paraId="3BAD1599">
                  <w:pPr>
                    <w:keepNext w:val="0"/>
                    <w:keepLines w:val="0"/>
                    <w:pageBreakBefore w:val="0"/>
                    <w:widowControl w:val="0"/>
                    <w:kinsoku/>
                    <w:wordWrap/>
                    <w:overflowPunct/>
                    <w:topLinePunct w:val="0"/>
                    <w:autoSpaceDE/>
                    <w:autoSpaceDN/>
                    <w:bidi w:val="0"/>
                    <w:adjustRightInd/>
                    <w:snapToGrid/>
                    <w:spacing w:before="150" w:line="236"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w:t>
                  </w:r>
                </w:p>
              </w:tc>
              <w:tc>
                <w:tcPr>
                  <w:tcW w:w="976" w:type="pct"/>
                  <w:noWrap w:val="0"/>
                  <w:vAlign w:val="center"/>
                </w:tcPr>
                <w:p w14:paraId="5F436A39">
                  <w:pPr>
                    <w:keepNext w:val="0"/>
                    <w:keepLines w:val="0"/>
                    <w:pageBreakBefore w:val="0"/>
                    <w:widowControl w:val="0"/>
                    <w:kinsoku/>
                    <w:wordWrap/>
                    <w:overflowPunct/>
                    <w:topLinePunct w:val="0"/>
                    <w:autoSpaceDE/>
                    <w:autoSpaceDN/>
                    <w:bidi w:val="0"/>
                    <w:adjustRightInd/>
                    <w:snapToGrid/>
                    <w:spacing w:before="154" w:line="195" w:lineRule="auto"/>
                    <w:ind w:left="0" w:leftChars="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pacing w:val="-2"/>
                      <w:sz w:val="21"/>
                      <w:szCs w:val="21"/>
                      <w:u w:val="single"/>
                    </w:rPr>
                    <w:t>GQ</w:t>
                  </w:r>
                  <w:r>
                    <w:rPr>
                      <w:rFonts w:hint="eastAsia" w:ascii="Times New Roman" w:hAnsi="Times New Roman" w:eastAsia="宋体" w:cs="Times New Roman"/>
                      <w:color w:val="auto"/>
                      <w:spacing w:val="-2"/>
                      <w:sz w:val="21"/>
                      <w:szCs w:val="21"/>
                      <w:u w:val="single"/>
                      <w:lang w:val="en-US" w:eastAsia="zh-CN"/>
                    </w:rPr>
                    <w:t>8</w:t>
                  </w:r>
                </w:p>
              </w:tc>
              <w:tc>
                <w:tcPr>
                  <w:tcW w:w="1155" w:type="pct"/>
                  <w:noWrap w:val="0"/>
                  <w:vAlign w:val="center"/>
                </w:tcPr>
                <w:p w14:paraId="4924CE53">
                  <w:pPr>
                    <w:pStyle w:val="230"/>
                    <w:keepNext w:val="0"/>
                    <w:keepLines w:val="0"/>
                    <w:pageBreakBefore w:val="0"/>
                    <w:widowControl w:val="0"/>
                    <w:kinsoku/>
                    <w:wordWrap/>
                    <w:overflowPunct/>
                    <w:topLinePunct w:val="0"/>
                    <w:autoSpaceDE/>
                    <w:autoSpaceDN/>
                    <w:bidi w:val="0"/>
                    <w:adjustRightInd/>
                    <w:snapToGrid/>
                    <w:spacing w:before="122" w:line="239"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3"/>
                      <w:sz w:val="21"/>
                      <w:szCs w:val="21"/>
                      <w:u w:val="single"/>
                    </w:rPr>
                    <w:t>√</w:t>
                  </w:r>
                </w:p>
              </w:tc>
              <w:tc>
                <w:tcPr>
                  <w:tcW w:w="1155" w:type="pct"/>
                  <w:noWrap w:val="0"/>
                  <w:vAlign w:val="center"/>
                </w:tcPr>
                <w:p w14:paraId="6F96E204">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u w:val="single"/>
                    </w:rPr>
                  </w:pPr>
                </w:p>
              </w:tc>
              <w:tc>
                <w:tcPr>
                  <w:tcW w:w="1160" w:type="pct"/>
                  <w:noWrap w:val="0"/>
                  <w:vAlign w:val="center"/>
                </w:tcPr>
                <w:p w14:paraId="3640C09C">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u w:val="single"/>
                    </w:rPr>
                  </w:pPr>
                </w:p>
              </w:tc>
            </w:tr>
            <w:tr w14:paraId="2496C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52" w:type="pct"/>
                  <w:noWrap w:val="0"/>
                  <w:vAlign w:val="center"/>
                </w:tcPr>
                <w:p w14:paraId="2C9E0CF4">
                  <w:pPr>
                    <w:keepNext w:val="0"/>
                    <w:keepLines w:val="0"/>
                    <w:pageBreakBefore w:val="0"/>
                    <w:widowControl w:val="0"/>
                    <w:kinsoku/>
                    <w:wordWrap/>
                    <w:overflowPunct/>
                    <w:topLinePunct w:val="0"/>
                    <w:autoSpaceDE/>
                    <w:autoSpaceDN/>
                    <w:bidi w:val="0"/>
                    <w:adjustRightInd/>
                    <w:snapToGrid/>
                    <w:spacing w:before="150" w:line="234"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w:t>
                  </w:r>
                </w:p>
              </w:tc>
              <w:tc>
                <w:tcPr>
                  <w:tcW w:w="976" w:type="pct"/>
                  <w:noWrap w:val="0"/>
                  <w:vAlign w:val="center"/>
                </w:tcPr>
                <w:p w14:paraId="693A9DA4">
                  <w:pPr>
                    <w:pStyle w:val="230"/>
                    <w:keepNext w:val="0"/>
                    <w:keepLines w:val="0"/>
                    <w:pageBreakBefore w:val="0"/>
                    <w:widowControl w:val="0"/>
                    <w:kinsoku/>
                    <w:wordWrap/>
                    <w:overflowPunct/>
                    <w:topLinePunct w:val="0"/>
                    <w:autoSpaceDE/>
                    <w:autoSpaceDN/>
                    <w:bidi w:val="0"/>
                    <w:adjustRightInd/>
                    <w:snapToGrid/>
                    <w:spacing w:before="126" w:line="217" w:lineRule="auto"/>
                    <w:ind w:left="0" w:leftChars="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pacing w:val="-2"/>
                      <w:sz w:val="21"/>
                      <w:szCs w:val="21"/>
                      <w:u w:val="single"/>
                    </w:rPr>
                    <w:t>GQ9（对照点）</w:t>
                  </w:r>
                </w:p>
              </w:tc>
              <w:tc>
                <w:tcPr>
                  <w:tcW w:w="1155" w:type="pct"/>
                  <w:noWrap w:val="0"/>
                  <w:vAlign w:val="center"/>
                </w:tcPr>
                <w:p w14:paraId="2E8D995A">
                  <w:pPr>
                    <w:pStyle w:val="230"/>
                    <w:keepNext w:val="0"/>
                    <w:keepLines w:val="0"/>
                    <w:pageBreakBefore w:val="0"/>
                    <w:widowControl w:val="0"/>
                    <w:kinsoku/>
                    <w:wordWrap/>
                    <w:overflowPunct/>
                    <w:topLinePunct w:val="0"/>
                    <w:autoSpaceDE/>
                    <w:autoSpaceDN/>
                    <w:bidi w:val="0"/>
                    <w:adjustRightInd/>
                    <w:snapToGrid/>
                    <w:spacing w:before="123" w:line="239" w:lineRule="auto"/>
                    <w:ind w:lef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bCs/>
                      <w:color w:val="auto"/>
                      <w:spacing w:val="-3"/>
                      <w:sz w:val="21"/>
                      <w:szCs w:val="21"/>
                      <w:u w:val="single"/>
                    </w:rPr>
                    <w:t>√</w:t>
                  </w:r>
                </w:p>
              </w:tc>
              <w:tc>
                <w:tcPr>
                  <w:tcW w:w="1155" w:type="pct"/>
                  <w:noWrap w:val="0"/>
                  <w:vAlign w:val="center"/>
                </w:tcPr>
                <w:p w14:paraId="7A762FFA">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u w:val="single"/>
                    </w:rPr>
                  </w:pPr>
                </w:p>
              </w:tc>
              <w:tc>
                <w:tcPr>
                  <w:tcW w:w="1160" w:type="pct"/>
                  <w:noWrap w:val="0"/>
                  <w:vAlign w:val="center"/>
                </w:tcPr>
                <w:p w14:paraId="42BDC89B">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u w:val="single"/>
                    </w:rPr>
                  </w:pPr>
                </w:p>
              </w:tc>
            </w:tr>
          </w:tbl>
          <w:p w14:paraId="57E2B59E">
            <w:pPr>
              <w:widowControl/>
              <w:spacing w:line="360" w:lineRule="auto"/>
              <w:ind w:firstLine="480" w:firstLineChars="200"/>
              <w:rPr>
                <w:rFonts w:hint="eastAsia"/>
                <w:color w:val="auto"/>
                <w:sz w:val="24"/>
                <w:highlight w:val="none"/>
              </w:rPr>
            </w:pPr>
            <w:r>
              <w:rPr>
                <w:rFonts w:hint="eastAsia" w:ascii="Times New Roman" w:hAnsi="Times New Roman" w:eastAsia="宋体" w:cs="Times New Roman"/>
                <w:color w:val="auto"/>
                <w:sz w:val="24"/>
                <w:highlight w:val="none"/>
                <w:u w:val="single"/>
                <w:lang w:val="en-US" w:eastAsia="zh-CN"/>
              </w:rPr>
              <w:t>根据检测结果表明，钦州港金谷港区金鼓江作业区19#泊位码头停泊及回旋水域清淤疏浚项目疏浚物检测的疏浚物的所有化学组份均不超过《海洋倾倒物质评价规范疏浚物》（GB30980-2014）表1中的化学组分评价限值的下限，符合 6.1 a)的条件要求，项目中监测的所有疏浚物均为清洁疏浚物（I 类）。</w:t>
            </w:r>
          </w:p>
          <w:p w14:paraId="13D2CE51">
            <w:pPr>
              <w:spacing w:line="360" w:lineRule="auto"/>
              <w:textAlignment w:val="baseline"/>
              <w:rPr>
                <w:b/>
                <w:color w:val="auto"/>
                <w:sz w:val="28"/>
                <w:szCs w:val="28"/>
                <w:highlight w:val="none"/>
              </w:rPr>
            </w:pPr>
            <w:r>
              <w:rPr>
                <w:rFonts w:hint="eastAsia"/>
                <w:b/>
                <w:color w:val="auto"/>
                <w:sz w:val="28"/>
                <w:szCs w:val="28"/>
                <w:highlight w:val="none"/>
                <w:lang w:val="en-US" w:eastAsia="zh-CN"/>
              </w:rPr>
              <w:t>3.1.4</w:t>
            </w:r>
            <w:r>
              <w:rPr>
                <w:rFonts w:hint="eastAsia"/>
                <w:b/>
                <w:color w:val="auto"/>
                <w:sz w:val="28"/>
                <w:szCs w:val="28"/>
                <w:highlight w:val="none"/>
              </w:rPr>
              <w:t>地下水</w:t>
            </w:r>
          </w:p>
          <w:p w14:paraId="73FD0216">
            <w:pPr>
              <w:widowControl/>
              <w:spacing w:line="360" w:lineRule="auto"/>
              <w:ind w:firstLine="480" w:firstLineChars="200"/>
              <w:rPr>
                <w:rFonts w:hint="eastAsia" w:ascii="Times New Roman" w:hAnsi="Times New Roman" w:eastAsia="宋体" w:cs="Times New Roman"/>
                <w:color w:val="auto"/>
                <w:sz w:val="24"/>
                <w:highlight w:val="none"/>
                <w:u w:val="none"/>
              </w:rPr>
            </w:pPr>
            <w:r>
              <w:rPr>
                <w:rFonts w:hint="eastAsia" w:ascii="Times New Roman" w:hAnsi="Times New Roman" w:eastAsia="宋体" w:cs="Times New Roman"/>
                <w:color w:val="auto"/>
                <w:sz w:val="24"/>
                <w:highlight w:val="none"/>
                <w:u w:val="none"/>
              </w:rPr>
              <w:t>本项目</w:t>
            </w:r>
            <w:r>
              <w:rPr>
                <w:rFonts w:hint="eastAsia" w:ascii="Times New Roman" w:hAnsi="Times New Roman" w:eastAsia="宋体" w:cs="Times New Roman"/>
                <w:color w:val="auto"/>
                <w:sz w:val="24"/>
                <w:highlight w:val="none"/>
                <w:u w:val="none"/>
                <w:lang w:eastAsia="zh-CN"/>
              </w:rPr>
              <w:t>为</w:t>
            </w:r>
            <w:r>
              <w:rPr>
                <w:rFonts w:hint="eastAsia" w:ascii="Times New Roman" w:hAnsi="Times New Roman" w:eastAsia="宋体" w:cs="Times New Roman"/>
                <w:color w:val="auto"/>
                <w:sz w:val="24"/>
                <w:highlight w:val="none"/>
                <w:u w:val="none"/>
              </w:rPr>
              <w:t>维护性</w:t>
            </w:r>
            <w:r>
              <w:rPr>
                <w:rFonts w:hint="eastAsia" w:ascii="Times New Roman" w:hAnsi="Times New Roman" w:eastAsia="宋体" w:cs="Times New Roman"/>
                <w:color w:val="auto"/>
                <w:sz w:val="24"/>
                <w:highlight w:val="none"/>
                <w:u w:val="none"/>
                <w:lang w:eastAsia="zh-CN"/>
              </w:rPr>
              <w:t>疏浚</w:t>
            </w:r>
            <w:r>
              <w:rPr>
                <w:rFonts w:hint="eastAsia" w:ascii="Times New Roman" w:hAnsi="Times New Roman" w:eastAsia="宋体" w:cs="Times New Roman"/>
                <w:color w:val="auto"/>
                <w:sz w:val="24"/>
                <w:highlight w:val="none"/>
                <w:u w:val="none"/>
              </w:rPr>
              <w:t>工程，根据《环境影响评价技术导则 地下水环境》(H610-2016)中附录A，属于134、航道工程、水运辅助工程，地下水环境影响评价项目类别为Ⅳ类，不需开展地下水环境影响评价。</w:t>
            </w:r>
          </w:p>
          <w:p w14:paraId="2D34CE7A">
            <w:pPr>
              <w:spacing w:line="360" w:lineRule="auto"/>
              <w:textAlignment w:val="baseline"/>
              <w:rPr>
                <w:b/>
                <w:color w:val="auto"/>
                <w:sz w:val="28"/>
                <w:szCs w:val="28"/>
                <w:highlight w:val="none"/>
              </w:rPr>
            </w:pPr>
            <w:r>
              <w:rPr>
                <w:rFonts w:hint="eastAsia"/>
                <w:b/>
                <w:color w:val="auto"/>
                <w:sz w:val="28"/>
                <w:szCs w:val="28"/>
                <w:highlight w:val="none"/>
                <w:lang w:val="en-US" w:eastAsia="zh-CN"/>
              </w:rPr>
              <w:t>3.1.5</w:t>
            </w:r>
            <w:r>
              <w:rPr>
                <w:rFonts w:hint="eastAsia"/>
                <w:b/>
                <w:color w:val="auto"/>
                <w:sz w:val="28"/>
                <w:szCs w:val="28"/>
                <w:highlight w:val="none"/>
              </w:rPr>
              <w:t>土壤</w:t>
            </w:r>
          </w:p>
          <w:p w14:paraId="77BA8EB7">
            <w:pPr>
              <w:widowControl/>
              <w:spacing w:line="360" w:lineRule="auto"/>
              <w:ind w:firstLine="480" w:firstLineChars="200"/>
              <w:rPr>
                <w:rFonts w:hint="eastAsia"/>
                <w:color w:val="auto"/>
                <w:sz w:val="24"/>
                <w:highlight w:val="none"/>
              </w:rPr>
            </w:pPr>
            <w:r>
              <w:rPr>
                <w:rFonts w:hint="eastAsia"/>
                <w:color w:val="auto"/>
                <w:sz w:val="24"/>
                <w:highlight w:val="none"/>
                <w:u w:val="none"/>
              </w:rPr>
              <w:t>本项目</w:t>
            </w:r>
            <w:r>
              <w:rPr>
                <w:rFonts w:hint="eastAsia"/>
                <w:color w:val="auto"/>
                <w:sz w:val="24"/>
                <w:highlight w:val="none"/>
                <w:u w:val="none"/>
                <w:lang w:eastAsia="zh-CN"/>
              </w:rPr>
              <w:t>为维护性疏浚工程</w:t>
            </w:r>
            <w:r>
              <w:rPr>
                <w:rFonts w:hint="eastAsia"/>
                <w:color w:val="auto"/>
                <w:sz w:val="24"/>
                <w:highlight w:val="none"/>
                <w:u w:val="none"/>
              </w:rPr>
              <w:t>，</w:t>
            </w:r>
            <w:r>
              <w:rPr>
                <w:rFonts w:hint="eastAsia"/>
                <w:color w:val="auto"/>
                <w:sz w:val="24"/>
                <w:highlight w:val="none"/>
              </w:rPr>
              <w:t>《环境影响评价技术导则 土壤环境（试行）》（HJ964-2018）附录A，“本项目属于交通运输仓储邮政业-其他”，土壤环境影响评价项目类别为Ⅳ类。根据导则要求Ⅳ类项目可不开展土壤环境影响评价。</w:t>
            </w:r>
          </w:p>
          <w:p w14:paraId="131A68B6">
            <w:pPr>
              <w:pStyle w:val="9"/>
              <w:rPr>
                <w:rFonts w:hint="eastAsia"/>
                <w:color w:val="auto"/>
                <w:sz w:val="24"/>
                <w:highlight w:val="none"/>
              </w:rPr>
            </w:pPr>
          </w:p>
        </w:tc>
      </w:tr>
    </w:tbl>
    <w:p w14:paraId="22DBC84A">
      <w:pPr>
        <w:pStyle w:val="9"/>
        <w:rPr>
          <w:color w:val="auto"/>
          <w:highlight w:val="none"/>
        </w:rPr>
      </w:pPr>
    </w:p>
    <w:p w14:paraId="18F9182F">
      <w:pPr>
        <w:pStyle w:val="9"/>
        <w:rPr>
          <w:color w:val="auto"/>
          <w:highlight w:val="none"/>
        </w:rPr>
      </w:pPr>
    </w:p>
    <w:p w14:paraId="02AFEDCE">
      <w:pPr>
        <w:pStyle w:val="9"/>
        <w:rPr>
          <w:color w:val="auto"/>
          <w:highlight w:val="none"/>
        </w:rPr>
        <w:sectPr>
          <w:pgSz w:w="11907" w:h="16840"/>
          <w:pgMar w:top="1701" w:right="1531" w:bottom="2127" w:left="1531" w:header="851" w:footer="851" w:gutter="0"/>
          <w:cols w:space="720" w:num="1"/>
          <w:docGrid w:linePitch="312" w:charSpace="0"/>
        </w:sectPr>
      </w:pPr>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5B9AE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exact"/>
          <w:jc w:val="center"/>
        </w:trPr>
        <w:tc>
          <w:tcPr>
            <w:tcW w:w="800" w:type="dxa"/>
            <w:noWrap w:val="0"/>
            <w:vAlign w:val="center"/>
          </w:tcPr>
          <w:p w14:paraId="54D65193">
            <w:pPr>
              <w:adjustRightInd w:val="0"/>
              <w:snapToGrid w:val="0"/>
              <w:jc w:val="center"/>
              <w:rPr>
                <w:rFonts w:hint="eastAsia" w:ascii="宋体" w:hAnsi="宋体" w:cs="宋体"/>
                <w:color w:val="auto"/>
                <w:kern w:val="0"/>
                <w:sz w:val="24"/>
                <w:szCs w:val="21"/>
                <w:highlight w:val="none"/>
              </w:rPr>
            </w:pPr>
            <w:r>
              <w:rPr>
                <w:rFonts w:hint="eastAsia" w:ascii="Times New Roman" w:hAnsi="Times New Roman" w:eastAsia="宋体" w:cs="Times New Roman"/>
                <w:color w:val="auto"/>
                <w:sz w:val="24"/>
                <w:highlight w:val="none"/>
                <w:u w:val="none"/>
              </w:rPr>
              <w:t>与项目有关的原有环境污染和生态破坏问题</w:t>
            </w:r>
          </w:p>
        </w:tc>
        <w:tc>
          <w:tcPr>
            <w:tcW w:w="8190" w:type="dxa"/>
            <w:noWrap w:val="0"/>
            <w:vAlign w:val="center"/>
          </w:tcPr>
          <w:p w14:paraId="70FFBE1A">
            <w:pPr>
              <w:spacing w:line="360" w:lineRule="auto"/>
              <w:ind w:firstLine="480" w:firstLineChars="200"/>
              <w:rPr>
                <w:rFonts w:hint="eastAsia" w:eastAsia="宋体"/>
                <w:color w:val="auto"/>
                <w:sz w:val="24"/>
                <w:highlight w:val="none"/>
                <w:lang w:eastAsia="zh-CN"/>
              </w:rPr>
            </w:pPr>
            <w:r>
              <w:rPr>
                <w:rFonts w:hint="eastAsia" w:ascii="Times New Roman" w:hAnsi="Times New Roman" w:eastAsia="宋体" w:cs="Times New Roman"/>
                <w:color w:val="auto"/>
                <w:sz w:val="24"/>
                <w:highlight w:val="none"/>
                <w:u w:val="none"/>
                <w:lang w:eastAsia="zh-CN"/>
              </w:rPr>
              <w:t>无</w:t>
            </w:r>
          </w:p>
        </w:tc>
      </w:tr>
      <w:tr w14:paraId="2261E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79" w:hRule="atLeast"/>
          <w:jc w:val="center"/>
        </w:trPr>
        <w:tc>
          <w:tcPr>
            <w:tcW w:w="800" w:type="dxa"/>
            <w:noWrap w:val="0"/>
            <w:vAlign w:val="center"/>
          </w:tcPr>
          <w:p w14:paraId="60412BA6">
            <w:pPr>
              <w:adjustRightInd w:val="0"/>
              <w:snapToGrid w:val="0"/>
              <w:jc w:val="center"/>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生态环境</w:t>
            </w:r>
          </w:p>
          <w:p w14:paraId="2CBE48AF">
            <w:pPr>
              <w:adjustRightInd w:val="0"/>
              <w:snapToGrid w:val="0"/>
              <w:jc w:val="center"/>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保护</w:t>
            </w:r>
          </w:p>
          <w:p w14:paraId="3E803919">
            <w:pPr>
              <w:adjustRightInd w:val="0"/>
              <w:snapToGrid w:val="0"/>
              <w:jc w:val="center"/>
              <w:rPr>
                <w:color w:val="auto"/>
                <w:kern w:val="0"/>
                <w:szCs w:val="21"/>
                <w:highlight w:val="none"/>
              </w:rPr>
            </w:pPr>
            <w:r>
              <w:rPr>
                <w:rFonts w:hint="eastAsia" w:ascii="宋体" w:hAnsi="宋体" w:cs="宋体"/>
                <w:color w:val="auto"/>
                <w:kern w:val="0"/>
                <w:sz w:val="24"/>
                <w:szCs w:val="21"/>
                <w:highlight w:val="none"/>
              </w:rPr>
              <w:t>目标</w:t>
            </w:r>
          </w:p>
        </w:tc>
        <w:tc>
          <w:tcPr>
            <w:tcW w:w="8190" w:type="dxa"/>
            <w:noWrap w:val="0"/>
            <w:vAlign w:val="center"/>
          </w:tcPr>
          <w:p w14:paraId="50E6A68C">
            <w:pPr>
              <w:spacing w:line="360" w:lineRule="auto"/>
              <w:rPr>
                <w:rFonts w:hint="eastAsia" w:ascii="Times New Roman" w:hAnsi="Times New Roman" w:eastAsia="宋体" w:cs="Times New Roman"/>
                <w:b/>
                <w:color w:val="auto"/>
                <w:sz w:val="28"/>
                <w:szCs w:val="28"/>
                <w:highlight w:val="none"/>
                <w:lang w:eastAsia="zh-CN"/>
              </w:rPr>
            </w:pPr>
            <w:r>
              <w:rPr>
                <w:rFonts w:hint="eastAsia" w:ascii="Times New Roman" w:hAnsi="Times New Roman" w:eastAsia="宋体" w:cs="Times New Roman"/>
                <w:b/>
                <w:color w:val="auto"/>
                <w:sz w:val="28"/>
                <w:szCs w:val="28"/>
                <w:highlight w:val="none"/>
                <w:lang w:val="en-US" w:eastAsia="zh-CN"/>
              </w:rPr>
              <w:t>3.3.1</w:t>
            </w:r>
            <w:r>
              <w:rPr>
                <w:rFonts w:hint="eastAsia" w:ascii="Times New Roman" w:hAnsi="Times New Roman" w:eastAsia="宋体" w:cs="Times New Roman"/>
                <w:b/>
                <w:color w:val="auto"/>
                <w:sz w:val="28"/>
                <w:szCs w:val="28"/>
                <w:highlight w:val="none"/>
                <w:lang w:eastAsia="zh-CN"/>
              </w:rPr>
              <w:t>评价范围</w:t>
            </w:r>
          </w:p>
          <w:p w14:paraId="3EA88922">
            <w:pPr>
              <w:spacing w:line="360" w:lineRule="auto"/>
              <w:ind w:firstLine="482" w:firstLineChars="200"/>
              <w:rPr>
                <w:rFonts w:hint="default"/>
                <w:b/>
                <w:bCs/>
                <w:color w:val="auto"/>
                <w:sz w:val="24"/>
                <w:highlight w:val="none"/>
                <w:lang w:val="en-US" w:eastAsia="zh-CN"/>
              </w:rPr>
            </w:pPr>
            <w:r>
              <w:rPr>
                <w:rFonts w:hint="eastAsia"/>
                <w:b/>
                <w:bCs/>
                <w:color w:val="auto"/>
                <w:sz w:val="24"/>
                <w:highlight w:val="none"/>
                <w:lang w:val="en-US" w:eastAsia="zh-CN"/>
              </w:rPr>
              <w:t>1、大气环境评价范围</w:t>
            </w:r>
          </w:p>
          <w:p w14:paraId="54E55FBF">
            <w:pPr>
              <w:spacing w:line="360" w:lineRule="auto"/>
              <w:ind w:firstLine="480" w:firstLineChars="200"/>
              <w:rPr>
                <w:rFonts w:hint="eastAsia"/>
                <w:color w:val="auto"/>
                <w:sz w:val="24"/>
                <w:highlight w:val="none"/>
                <w:lang w:eastAsia="zh-CN"/>
              </w:rPr>
            </w:pPr>
            <w:r>
              <w:rPr>
                <w:rFonts w:hint="eastAsia"/>
                <w:color w:val="auto"/>
                <w:sz w:val="24"/>
                <w:highlight w:val="none"/>
                <w:lang w:eastAsia="zh-CN"/>
              </w:rPr>
              <w:t>本项目施工期废气主要为施工船舶的燃油废气，废气污染源污染强度较小，多为间歇性污染源，且随着施工期的结束，影响会逐渐消失，属于无组织排放且发生量很小，根据《环境影响评价技术导则大气环境》（HJ2.2-2018），本项目大气环境影响评价工作等级判定为三级，三级评价项目不需设置大气环境影响评价范围。</w:t>
            </w:r>
          </w:p>
          <w:p w14:paraId="5092237B">
            <w:pPr>
              <w:numPr>
                <w:ilvl w:val="0"/>
                <w:numId w:val="14"/>
              </w:numPr>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声环境评价范围</w:t>
            </w:r>
          </w:p>
          <w:p w14:paraId="3AB48466">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eastAsia"/>
                <w:color w:val="auto"/>
                <w:sz w:val="24"/>
                <w:highlight w:val="none"/>
                <w:lang w:eastAsia="zh-CN"/>
              </w:rPr>
              <w:t>环境影响评价技术导则</w:t>
            </w:r>
            <w:r>
              <w:rPr>
                <w:rFonts w:hint="eastAsia"/>
                <w:color w:val="auto"/>
                <w:sz w:val="24"/>
                <w:highlight w:val="none"/>
                <w:lang w:val="en-US" w:eastAsia="zh-CN"/>
              </w:rPr>
              <w:t xml:space="preserve"> 声环境</w:t>
            </w:r>
            <w:r>
              <w:rPr>
                <w:rFonts w:hint="eastAsia" w:ascii="Times New Roman" w:hAnsi="Times New Roman" w:eastAsia="宋体" w:cs="Times New Roman"/>
                <w:color w:val="auto"/>
                <w:sz w:val="24"/>
                <w:highlight w:val="none"/>
                <w:lang w:val="en-US" w:eastAsia="zh-CN"/>
              </w:rPr>
              <w:t>》（HJ2.4-2021），本项目所在区域为3类声环境功能区，评价范围内无声环境敏感目标，声环境影响评价工作等级为三级，评价范围为项目边界向外200m为评价范围。</w:t>
            </w:r>
          </w:p>
          <w:p w14:paraId="595330F1">
            <w:pPr>
              <w:numPr>
                <w:ilvl w:val="0"/>
                <w:numId w:val="14"/>
              </w:numPr>
              <w:spacing w:line="360" w:lineRule="auto"/>
              <w:ind w:firstLine="482" w:firstLineChars="200"/>
              <w:rPr>
                <w:rFonts w:hint="default"/>
                <w:b/>
                <w:bCs/>
                <w:color w:val="auto"/>
                <w:sz w:val="24"/>
                <w:highlight w:val="none"/>
                <w:lang w:val="en-US" w:eastAsia="zh-CN"/>
              </w:rPr>
            </w:pPr>
            <w:r>
              <w:rPr>
                <w:rFonts w:hint="eastAsia"/>
                <w:b/>
                <w:bCs/>
                <w:color w:val="auto"/>
                <w:sz w:val="24"/>
                <w:highlight w:val="none"/>
                <w:lang w:val="en-US" w:eastAsia="zh-CN"/>
              </w:rPr>
              <w:t>地下水评价范围</w:t>
            </w:r>
          </w:p>
          <w:p w14:paraId="19D2FC00">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根据《环境影响评价技术导则地下水环境》（</w:t>
            </w:r>
            <w:r>
              <w:rPr>
                <w:rFonts w:hint="default" w:ascii="Times New Roman" w:hAnsi="Times New Roman" w:eastAsia="宋体" w:cs="Times New Roman"/>
                <w:color w:val="auto"/>
                <w:sz w:val="24"/>
                <w:highlight w:val="none"/>
                <w:lang w:val="en-US" w:eastAsia="zh-CN"/>
              </w:rPr>
              <w:t>HJ610-2016</w:t>
            </w:r>
            <w:r>
              <w:rPr>
                <w:rFonts w:hint="eastAsia" w:ascii="Times New Roman" w:hAnsi="Times New Roman" w:eastAsia="宋体" w:cs="Times New Roman"/>
                <w:color w:val="auto"/>
                <w:sz w:val="24"/>
                <w:highlight w:val="none"/>
                <w:lang w:val="en-US" w:eastAsia="zh-CN"/>
              </w:rPr>
              <w:t xml:space="preserve">），本项目属于导则附录 </w:t>
            </w:r>
            <w:r>
              <w:rPr>
                <w:rFonts w:hint="default" w:ascii="Times New Roman" w:hAnsi="Times New Roman" w:eastAsia="宋体" w:cs="Times New Roman"/>
                <w:color w:val="auto"/>
                <w:sz w:val="24"/>
                <w:highlight w:val="none"/>
                <w:lang w:val="en-US" w:eastAsia="zh-CN"/>
              </w:rPr>
              <w:t xml:space="preserve">A </w:t>
            </w:r>
            <w:r>
              <w:rPr>
                <w:rFonts w:hint="eastAsia" w:ascii="Times New Roman" w:hAnsi="Times New Roman" w:eastAsia="宋体" w:cs="Times New Roman"/>
                <w:color w:val="auto"/>
                <w:sz w:val="24"/>
                <w:highlight w:val="none"/>
                <w:lang w:val="en-US" w:eastAsia="zh-CN"/>
              </w:rPr>
              <w:t>中的</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航道工程、水运辅助工程</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，属于</w:t>
            </w:r>
            <w:r>
              <w:rPr>
                <w:rFonts w:hint="default" w:ascii="Times New Roman" w:hAnsi="Times New Roman" w:eastAsia="宋体" w:cs="Times New Roman"/>
                <w:color w:val="auto"/>
                <w:sz w:val="24"/>
                <w:highlight w:val="none"/>
                <w:lang w:val="en-US" w:eastAsia="zh-CN"/>
              </w:rPr>
              <w:t>Ⅳ</w:t>
            </w:r>
            <w:r>
              <w:rPr>
                <w:rFonts w:hint="eastAsia" w:ascii="Times New Roman" w:hAnsi="Times New Roman" w:eastAsia="宋体" w:cs="Times New Roman"/>
                <w:color w:val="auto"/>
                <w:sz w:val="24"/>
                <w:highlight w:val="none"/>
                <w:lang w:val="en-US" w:eastAsia="zh-CN"/>
              </w:rPr>
              <w:t>类项目，不开展地下水环境影响评价，因此不设地下水评价范围。</w:t>
            </w:r>
          </w:p>
          <w:p w14:paraId="6D391CC9">
            <w:pPr>
              <w:numPr>
                <w:ilvl w:val="0"/>
                <w:numId w:val="14"/>
              </w:numPr>
              <w:spacing w:line="360" w:lineRule="auto"/>
              <w:ind w:firstLine="482" w:firstLineChars="200"/>
              <w:rPr>
                <w:rFonts w:hint="default"/>
                <w:b/>
                <w:bCs/>
                <w:color w:val="auto"/>
                <w:sz w:val="24"/>
                <w:highlight w:val="none"/>
                <w:lang w:val="en-US" w:eastAsia="zh-CN"/>
              </w:rPr>
            </w:pPr>
            <w:r>
              <w:rPr>
                <w:rFonts w:hint="eastAsia"/>
                <w:b/>
                <w:bCs/>
                <w:color w:val="auto"/>
                <w:sz w:val="24"/>
                <w:highlight w:val="none"/>
                <w:lang w:val="en-US" w:eastAsia="zh-CN"/>
              </w:rPr>
              <w:t>土壤评价范围</w:t>
            </w:r>
          </w:p>
          <w:p w14:paraId="59D587CC">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根据《环境影响评价技术导则土壤环境（试行）》（</w:t>
            </w:r>
            <w:r>
              <w:rPr>
                <w:rFonts w:hint="default" w:ascii="Times New Roman" w:hAnsi="Times New Roman" w:eastAsia="宋体" w:cs="Times New Roman"/>
                <w:color w:val="auto"/>
                <w:sz w:val="24"/>
                <w:highlight w:val="none"/>
                <w:lang w:val="en-US" w:eastAsia="zh-CN"/>
              </w:rPr>
              <w:t>HJ964-2018</w:t>
            </w:r>
            <w:r>
              <w:rPr>
                <w:rFonts w:hint="eastAsia" w:ascii="Times New Roman" w:hAnsi="Times New Roman" w:eastAsia="宋体" w:cs="Times New Roman"/>
                <w:color w:val="auto"/>
                <w:sz w:val="24"/>
                <w:highlight w:val="none"/>
                <w:lang w:val="en-US" w:eastAsia="zh-CN"/>
              </w:rPr>
              <w:t xml:space="preserve">），本项目为附录 </w:t>
            </w:r>
            <w:r>
              <w:rPr>
                <w:rFonts w:hint="default" w:ascii="Times New Roman" w:hAnsi="Times New Roman" w:eastAsia="宋体" w:cs="Times New Roman"/>
                <w:color w:val="auto"/>
                <w:sz w:val="24"/>
                <w:highlight w:val="none"/>
                <w:lang w:val="en-US" w:eastAsia="zh-CN"/>
              </w:rPr>
              <w:t xml:space="preserve">A </w:t>
            </w:r>
            <w:r>
              <w:rPr>
                <w:rFonts w:hint="eastAsia" w:ascii="Times New Roman" w:hAnsi="Times New Roman" w:eastAsia="宋体" w:cs="Times New Roman"/>
                <w:color w:val="auto"/>
                <w:sz w:val="24"/>
                <w:highlight w:val="none"/>
                <w:lang w:val="en-US" w:eastAsia="zh-CN"/>
              </w:rPr>
              <w:t xml:space="preserve">中的“交通运输仓储邮政业”中的“其他”，属 </w:t>
            </w:r>
            <w:r>
              <w:rPr>
                <w:rFonts w:hint="default" w:ascii="Times New Roman" w:hAnsi="Times New Roman" w:eastAsia="宋体" w:cs="Times New Roman"/>
                <w:color w:val="auto"/>
                <w:sz w:val="24"/>
                <w:highlight w:val="none"/>
                <w:lang w:val="en-US" w:eastAsia="zh-CN"/>
              </w:rPr>
              <w:t xml:space="preserve">IV </w:t>
            </w:r>
            <w:r>
              <w:rPr>
                <w:rFonts w:hint="eastAsia" w:ascii="Times New Roman" w:hAnsi="Times New Roman" w:eastAsia="宋体" w:cs="Times New Roman"/>
                <w:color w:val="auto"/>
                <w:sz w:val="24"/>
                <w:highlight w:val="none"/>
                <w:lang w:val="en-US" w:eastAsia="zh-CN"/>
              </w:rPr>
              <w:t>类项目，不开展土壤环境影响评价，因此不设土壤评价范围。</w:t>
            </w:r>
          </w:p>
          <w:p w14:paraId="79C520A4">
            <w:pPr>
              <w:numPr>
                <w:ilvl w:val="0"/>
                <w:numId w:val="14"/>
              </w:numPr>
              <w:spacing w:line="360" w:lineRule="auto"/>
              <w:ind w:firstLine="482" w:firstLineChars="200"/>
              <w:rPr>
                <w:rFonts w:hint="default"/>
                <w:b/>
                <w:bCs/>
                <w:color w:val="auto"/>
                <w:sz w:val="24"/>
                <w:highlight w:val="none"/>
                <w:lang w:val="en-US" w:eastAsia="zh-CN"/>
              </w:rPr>
            </w:pPr>
            <w:r>
              <w:rPr>
                <w:rFonts w:hint="eastAsia"/>
                <w:b/>
                <w:bCs/>
                <w:color w:val="auto"/>
                <w:sz w:val="24"/>
                <w:highlight w:val="none"/>
                <w:lang w:val="en-US" w:eastAsia="zh-CN"/>
              </w:rPr>
              <w:t>环境风险评价范围</w:t>
            </w:r>
          </w:p>
          <w:p w14:paraId="0A925B0D">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结合本项目环境风险评价等级及周边的环境敏感目标，本项目风险评价范围与海洋环境影响评价范围相同。</w:t>
            </w:r>
          </w:p>
          <w:p w14:paraId="390DE848">
            <w:pPr>
              <w:numPr>
                <w:ilvl w:val="0"/>
                <w:numId w:val="14"/>
              </w:num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海洋生态环境评价范围</w:t>
            </w:r>
          </w:p>
          <w:p w14:paraId="32168715">
            <w:pPr>
              <w:spacing w:line="360" w:lineRule="auto"/>
              <w:ind w:firstLine="480" w:firstLineChars="200"/>
              <w:rPr>
                <w:rFonts w:hint="eastAsia"/>
                <w:color w:val="auto"/>
                <w:sz w:val="24"/>
                <w:highlight w:val="none"/>
                <w:lang w:eastAsia="zh-CN"/>
              </w:rPr>
            </w:pPr>
            <w:r>
              <w:rPr>
                <w:rFonts w:hint="eastAsia"/>
                <w:color w:val="auto"/>
                <w:sz w:val="24"/>
                <w:highlight w:val="none"/>
                <w:lang w:eastAsia="zh-CN"/>
              </w:rPr>
              <w:t>结合本工程的特点和建设规模，以及所在海区的自然环境条件和敏感目标情况，本项目对海洋环境的影响范围主要是工程区前沿金鼓江海域及钦州湾。</w:t>
            </w:r>
          </w:p>
          <w:p w14:paraId="1F434A5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lang w:eastAsia="zh-CN"/>
              </w:rPr>
              <w:t>本项目为码头港口及回旋水域维护性疏浚项目，临时用海面积约</w:t>
            </w:r>
            <w:r>
              <w:rPr>
                <w:rFonts w:hint="eastAsia"/>
                <w:color w:val="auto"/>
                <w:sz w:val="24"/>
                <w:highlight w:val="none"/>
                <w:lang w:val="en-US" w:eastAsia="zh-CN"/>
              </w:rPr>
              <w:t>14.15hm</w:t>
            </w:r>
            <w:r>
              <w:rPr>
                <w:rFonts w:hint="eastAsia"/>
                <w:color w:val="auto"/>
                <w:sz w:val="24"/>
                <w:highlight w:val="none"/>
                <w:vertAlign w:val="superscript"/>
                <w:lang w:val="en-US" w:eastAsia="zh-CN"/>
              </w:rPr>
              <w:t>2</w:t>
            </w:r>
            <w:r>
              <w:rPr>
                <w:rFonts w:hint="eastAsia"/>
                <w:color w:val="auto"/>
                <w:sz w:val="24"/>
                <w:highlight w:val="none"/>
                <w:lang w:eastAsia="zh-CN"/>
              </w:rPr>
              <w:t>，疏浚量约</w:t>
            </w:r>
            <w:r>
              <w:rPr>
                <w:rFonts w:hint="eastAsia"/>
                <w:color w:val="auto"/>
                <w:sz w:val="24"/>
                <w:highlight w:val="none"/>
                <w:lang w:val="en-US" w:eastAsia="zh-CN"/>
              </w:rPr>
              <w:t>1.9万m</w:t>
            </w:r>
            <w:r>
              <w:rPr>
                <w:rFonts w:hint="eastAsia"/>
                <w:color w:val="auto"/>
                <w:sz w:val="24"/>
                <w:highlight w:val="none"/>
                <w:vertAlign w:val="superscript"/>
                <w:lang w:val="en-US" w:eastAsia="zh-CN"/>
              </w:rPr>
              <w:t>3</w:t>
            </w:r>
            <w:r>
              <w:rPr>
                <w:rFonts w:hint="eastAsia"/>
                <w:color w:val="auto"/>
                <w:sz w:val="24"/>
                <w:highlight w:val="none"/>
                <w:lang w:val="en-US" w:eastAsia="zh-CN"/>
              </w:rPr>
              <w:t>，</w:t>
            </w:r>
            <w:r>
              <w:rPr>
                <w:rFonts w:hint="eastAsia"/>
                <w:color w:val="auto"/>
                <w:sz w:val="24"/>
                <w:highlight w:val="none"/>
                <w:lang w:eastAsia="zh-CN"/>
              </w:rPr>
              <w:t>根据《环境影响评价技术导则</w:t>
            </w:r>
            <w:r>
              <w:rPr>
                <w:rFonts w:hint="eastAsia"/>
                <w:color w:val="auto"/>
                <w:sz w:val="24"/>
                <w:highlight w:val="none"/>
                <w:lang w:val="en-US" w:eastAsia="zh-CN"/>
              </w:rPr>
              <w:t xml:space="preserve"> 海洋生态环境</w:t>
            </w:r>
            <w:r>
              <w:rPr>
                <w:rFonts w:hint="eastAsia"/>
                <w:color w:val="auto"/>
                <w:sz w:val="24"/>
                <w:highlight w:val="none"/>
                <w:lang w:eastAsia="zh-CN"/>
              </w:rPr>
              <w:t>》（</w:t>
            </w:r>
            <w:r>
              <w:rPr>
                <w:rFonts w:hint="eastAsia"/>
                <w:color w:val="auto"/>
                <w:sz w:val="24"/>
                <w:highlight w:val="none"/>
                <w:lang w:val="en-US" w:eastAsia="zh-CN"/>
              </w:rPr>
              <w:t>HJ1409-2025</w:t>
            </w:r>
            <w:r>
              <w:rPr>
                <w:rFonts w:hint="eastAsia"/>
                <w:color w:val="auto"/>
                <w:sz w:val="24"/>
                <w:highlight w:val="none"/>
                <w:lang w:eastAsia="zh-CN"/>
              </w:rPr>
              <w:t>）建设项目海洋生态环境影响评价等级判定表，用海面积＜</w:t>
            </w:r>
            <w:r>
              <w:rPr>
                <w:rFonts w:hint="eastAsia"/>
                <w:color w:val="auto"/>
                <w:sz w:val="24"/>
                <w:highlight w:val="none"/>
                <w:lang w:val="en-US" w:eastAsia="zh-CN"/>
              </w:rPr>
              <w:t>100hm</w:t>
            </w:r>
            <w:r>
              <w:rPr>
                <w:rFonts w:hint="eastAsia"/>
                <w:color w:val="auto"/>
                <w:sz w:val="24"/>
                <w:highlight w:val="none"/>
                <w:vertAlign w:val="superscript"/>
                <w:lang w:val="en-US" w:eastAsia="zh-CN"/>
              </w:rPr>
              <w:t>2</w:t>
            </w:r>
            <w:r>
              <w:rPr>
                <w:rFonts w:hint="eastAsia"/>
                <w:color w:val="auto"/>
                <w:sz w:val="24"/>
                <w:highlight w:val="none"/>
                <w:lang w:val="en-US" w:eastAsia="zh-CN"/>
              </w:rPr>
              <w:t>，水下开挖量＜100万m</w:t>
            </w:r>
            <w:r>
              <w:rPr>
                <w:rFonts w:hint="eastAsia"/>
                <w:color w:val="auto"/>
                <w:sz w:val="24"/>
                <w:highlight w:val="none"/>
                <w:vertAlign w:val="superscript"/>
                <w:lang w:val="en-US" w:eastAsia="zh-CN"/>
              </w:rPr>
              <w:t>3</w:t>
            </w:r>
            <w:r>
              <w:rPr>
                <w:rFonts w:hint="eastAsia"/>
                <w:color w:val="auto"/>
                <w:sz w:val="24"/>
                <w:highlight w:val="none"/>
                <w:lang w:val="en-US" w:eastAsia="zh-CN"/>
              </w:rPr>
              <w:t>，</w:t>
            </w:r>
            <w:r>
              <w:rPr>
                <w:rFonts w:hint="eastAsia"/>
                <w:color w:val="auto"/>
                <w:sz w:val="24"/>
                <w:highlight w:val="none"/>
                <w:lang w:eastAsia="zh-CN"/>
              </w:rPr>
              <w:t>项目海洋生态环境评价等级为</w:t>
            </w:r>
            <w:r>
              <w:rPr>
                <w:rFonts w:hint="eastAsia"/>
                <w:color w:val="auto"/>
                <w:sz w:val="24"/>
                <w:highlight w:val="none"/>
                <w:lang w:val="en-US" w:eastAsia="zh-CN"/>
              </w:rPr>
              <w:t>3级，</w:t>
            </w:r>
            <w:r>
              <w:rPr>
                <w:rFonts w:ascii="宋体" w:hAnsi="宋体" w:eastAsia="宋体" w:cs="宋体"/>
                <w:color w:val="auto"/>
                <w:sz w:val="24"/>
                <w:szCs w:val="24"/>
                <w:highlight w:val="none"/>
              </w:rPr>
              <w:t>评价范围以建设项目平面布置外缘线向外的扩展距离确定</w:t>
            </w:r>
            <w:r>
              <w:rPr>
                <w:rFonts w:hint="eastAsia" w:ascii="宋体" w:hAnsi="宋体" w:eastAsia="宋体" w:cs="宋体"/>
                <w:color w:val="auto"/>
                <w:sz w:val="24"/>
                <w:szCs w:val="24"/>
                <w:highlight w:val="none"/>
                <w:lang w:eastAsia="zh-CN"/>
              </w:rPr>
              <w:t>，</w:t>
            </w:r>
            <w:r>
              <w:rPr>
                <w:rFonts w:hint="eastAsia" w:ascii="Times New Roman" w:hAnsi="Times New Roman" w:eastAsia="宋体" w:cs="Times New Roman"/>
                <w:color w:val="auto"/>
                <w:sz w:val="24"/>
                <w:highlight w:val="none"/>
                <w:lang w:val="en-US" w:eastAsia="zh-CN"/>
              </w:rPr>
              <w:t>3级评价项目在潮流主流向的扩展距离不小于1km～5km，垂直于潮流主流向的扩展距离以不小于主流向扩展距离的 1/2 为宜。因此，本项目海洋生态环境影响评价范围主流方向扩展10km，垂直于潮流主流向的扩展5km矩形区域围成的海域，评价范围总面积为98.97km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，项目评价范围及环境保护目标分布图详见附图3。</w:t>
            </w:r>
          </w:p>
          <w:p w14:paraId="53CEE7A0">
            <w:pPr>
              <w:spacing w:line="360" w:lineRule="auto"/>
              <w:rPr>
                <w:rFonts w:hint="eastAsia" w:ascii="Times New Roman" w:hAnsi="Times New Roman" w:eastAsia="宋体" w:cs="Times New Roman"/>
                <w:b/>
                <w:color w:val="auto"/>
                <w:sz w:val="28"/>
                <w:szCs w:val="28"/>
                <w:highlight w:val="none"/>
                <w:lang w:eastAsia="zh-CN"/>
              </w:rPr>
            </w:pPr>
            <w:r>
              <w:rPr>
                <w:rFonts w:hint="eastAsia" w:ascii="Times New Roman" w:hAnsi="Times New Roman" w:eastAsia="宋体" w:cs="Times New Roman"/>
                <w:b/>
                <w:color w:val="auto"/>
                <w:sz w:val="28"/>
                <w:szCs w:val="28"/>
                <w:highlight w:val="none"/>
                <w:lang w:val="en-US" w:eastAsia="zh-CN"/>
              </w:rPr>
              <w:t>3.3.2</w:t>
            </w:r>
            <w:r>
              <w:rPr>
                <w:rFonts w:hint="eastAsia" w:ascii="Times New Roman" w:hAnsi="Times New Roman" w:eastAsia="宋体" w:cs="Times New Roman"/>
                <w:b/>
                <w:color w:val="auto"/>
                <w:sz w:val="28"/>
                <w:szCs w:val="28"/>
                <w:highlight w:val="none"/>
                <w:lang w:eastAsia="zh-CN"/>
              </w:rPr>
              <w:t>环境保护目标</w:t>
            </w:r>
          </w:p>
          <w:p w14:paraId="794A3402">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eastAsia="zh-CN"/>
              </w:rPr>
              <w:t>在现场踏勘与调查基础上，识别项目所在海域及周边陆域环境保护目标，项目评价范围及保护目标分布示意图详见附图</w:t>
            </w:r>
            <w:r>
              <w:rPr>
                <w:rFonts w:hint="eastAsia"/>
                <w:color w:val="auto"/>
                <w:sz w:val="24"/>
                <w:highlight w:val="none"/>
                <w:lang w:val="en-US" w:eastAsia="zh-CN"/>
              </w:rPr>
              <w:t>3。</w:t>
            </w:r>
          </w:p>
          <w:p w14:paraId="7AD709AC">
            <w:pPr>
              <w:spacing w:line="360" w:lineRule="auto"/>
              <w:ind w:firstLine="482" w:firstLineChars="200"/>
              <w:rPr>
                <w:b/>
                <w:color w:val="auto"/>
                <w:szCs w:val="21"/>
                <w:highlight w:val="none"/>
                <w:lang w:bidi="ar"/>
              </w:rPr>
            </w:pPr>
            <w:r>
              <w:rPr>
                <w:rFonts w:hint="eastAsia"/>
                <w:b/>
                <w:bCs/>
                <w:color w:val="auto"/>
                <w:sz w:val="24"/>
                <w:highlight w:val="none"/>
                <w:lang w:val="en-US" w:eastAsia="zh-CN"/>
              </w:rPr>
              <w:t>1.</w:t>
            </w:r>
            <w:r>
              <w:rPr>
                <w:rFonts w:hint="eastAsia"/>
                <w:b/>
                <w:bCs/>
                <w:color w:val="auto"/>
                <w:sz w:val="24"/>
                <w:highlight w:val="none"/>
              </w:rPr>
              <w:t>大气环境</w:t>
            </w:r>
            <w:r>
              <w:rPr>
                <w:rFonts w:hint="eastAsia"/>
                <w:b/>
                <w:bCs/>
                <w:color w:val="auto"/>
                <w:sz w:val="24"/>
                <w:highlight w:val="none"/>
                <w:lang w:eastAsia="zh-CN"/>
              </w:rPr>
              <w:t>保护目标</w:t>
            </w:r>
            <w:r>
              <w:rPr>
                <w:rFonts w:hint="eastAsia"/>
                <w:b/>
                <w:bCs/>
                <w:color w:val="auto"/>
                <w:sz w:val="24"/>
                <w:highlight w:val="none"/>
              </w:rPr>
              <w:t>：</w:t>
            </w:r>
            <w:r>
              <w:rPr>
                <w:rFonts w:hint="eastAsia"/>
                <w:color w:val="auto"/>
                <w:sz w:val="24"/>
                <w:highlight w:val="none"/>
              </w:rPr>
              <w:t>根据</w:t>
            </w:r>
            <w:r>
              <w:rPr>
                <w:rFonts w:hint="eastAsia"/>
                <w:color w:val="auto"/>
                <w:sz w:val="24"/>
                <w:highlight w:val="none"/>
                <w:lang w:eastAsia="zh-CN"/>
              </w:rPr>
              <w:t>现场勘查</w:t>
            </w:r>
            <w:r>
              <w:rPr>
                <w:rFonts w:hint="eastAsia"/>
                <w:color w:val="auto"/>
                <w:sz w:val="24"/>
                <w:highlight w:val="none"/>
              </w:rPr>
              <w:t>，本项目厂界外500m范围内无环境空气保护</w:t>
            </w:r>
            <w:r>
              <w:rPr>
                <w:rFonts w:hint="eastAsia" w:ascii="Times New Roman" w:hAnsi="Times New Roman" w:eastAsia="宋体" w:cs="Times New Roman"/>
                <w:color w:val="auto"/>
                <w:sz w:val="24"/>
                <w:highlight w:val="none"/>
                <w:lang w:eastAsia="zh-CN"/>
              </w:rPr>
              <w:t>目标</w:t>
            </w:r>
            <w:r>
              <w:rPr>
                <w:bCs/>
                <w:color w:val="auto"/>
                <w:sz w:val="24"/>
                <w:highlight w:val="none"/>
              </w:rPr>
              <w:t>。</w:t>
            </w:r>
          </w:p>
          <w:p w14:paraId="73906863">
            <w:pPr>
              <w:spacing w:line="360" w:lineRule="auto"/>
              <w:ind w:firstLine="482" w:firstLineChars="200"/>
              <w:rPr>
                <w:rFonts w:hint="eastAsia"/>
                <w:color w:val="auto"/>
                <w:sz w:val="24"/>
                <w:highlight w:val="none"/>
              </w:rPr>
            </w:pPr>
            <w:r>
              <w:rPr>
                <w:rFonts w:hint="eastAsia"/>
                <w:b/>
                <w:bCs/>
                <w:color w:val="auto"/>
                <w:sz w:val="24"/>
                <w:highlight w:val="none"/>
                <w:lang w:val="en-US" w:eastAsia="zh-CN"/>
              </w:rPr>
              <w:t>2.</w:t>
            </w:r>
            <w:r>
              <w:rPr>
                <w:rFonts w:hint="eastAsia"/>
                <w:b/>
                <w:bCs/>
                <w:color w:val="auto"/>
                <w:sz w:val="24"/>
                <w:highlight w:val="none"/>
                <w:lang w:eastAsia="zh-CN"/>
              </w:rPr>
              <w:t>声环境保护目标：</w:t>
            </w:r>
            <w:r>
              <w:rPr>
                <w:rFonts w:hint="eastAsia"/>
                <w:color w:val="auto"/>
                <w:sz w:val="24"/>
                <w:highlight w:val="none"/>
                <w:lang w:eastAsia="zh-CN"/>
              </w:rPr>
              <w:t>项目周边</w:t>
            </w:r>
            <w:r>
              <w:rPr>
                <w:rFonts w:hint="eastAsia"/>
                <w:color w:val="auto"/>
                <w:sz w:val="24"/>
                <w:highlight w:val="none"/>
                <w:lang w:val="en-US" w:eastAsia="zh-CN"/>
              </w:rPr>
              <w:t>200m范围内无声环境保护目标</w:t>
            </w:r>
            <w:r>
              <w:rPr>
                <w:rFonts w:hint="eastAsia"/>
                <w:color w:val="auto"/>
                <w:sz w:val="24"/>
                <w:highlight w:val="none"/>
              </w:rPr>
              <w:t>。</w:t>
            </w:r>
          </w:p>
          <w:p w14:paraId="586622E1">
            <w:pPr>
              <w:spacing w:line="360" w:lineRule="auto"/>
              <w:ind w:firstLine="482" w:firstLineChars="200"/>
              <w:rPr>
                <w:color w:val="auto"/>
                <w:highlight w:val="none"/>
              </w:rPr>
            </w:pPr>
            <w:r>
              <w:rPr>
                <w:rFonts w:hint="eastAsia"/>
                <w:b/>
                <w:bCs/>
                <w:color w:val="auto"/>
                <w:sz w:val="24"/>
                <w:highlight w:val="none"/>
                <w:lang w:val="en-US" w:eastAsia="zh-CN"/>
              </w:rPr>
              <w:t>3.</w:t>
            </w:r>
            <w:r>
              <w:rPr>
                <w:rFonts w:hint="eastAsia"/>
                <w:b/>
                <w:bCs/>
                <w:color w:val="auto"/>
                <w:sz w:val="24"/>
                <w:highlight w:val="none"/>
                <w:lang w:eastAsia="zh-CN"/>
              </w:rPr>
              <w:t>海洋生态环境保护目标</w:t>
            </w:r>
            <w:r>
              <w:rPr>
                <w:rFonts w:hint="eastAsia"/>
                <w:color w:val="auto"/>
                <w:sz w:val="24"/>
                <w:highlight w:val="none"/>
              </w:rPr>
              <w:t>：</w:t>
            </w:r>
            <w:r>
              <w:rPr>
                <w:rFonts w:hint="eastAsia"/>
                <w:color w:val="auto"/>
                <w:sz w:val="24"/>
                <w:highlight w:val="none"/>
                <w:lang w:eastAsia="zh-CN"/>
              </w:rPr>
              <w:t>以项目用海水域生态环境为主要目标，并兼顾项目周边生态敏感区保护，</w:t>
            </w:r>
            <w:r>
              <w:rPr>
                <w:rFonts w:hint="eastAsia" w:ascii="Times New Roman" w:hAnsi="Times New Roman" w:eastAsia="宋体" w:cs="Times New Roman"/>
                <w:color w:val="auto"/>
                <w:sz w:val="24"/>
                <w:highlight w:val="none"/>
                <w:lang w:val="en-US" w:eastAsia="zh-CN"/>
              </w:rPr>
              <w:t>项目评价范围内分布海洋生态保护目标有金鼓江上游红树林区、茅尾海红树林自然保护区七十二泾片、七十二泾旅游休闲娱乐区、钦州港青菜头南浅海滩涂养殖区、七十二泾重要滨海旅游区限制类红线区、</w:t>
            </w:r>
            <w:r>
              <w:rPr>
                <w:rFonts w:hint="eastAsia" w:ascii="Times New Roman" w:hAnsi="Times New Roman" w:eastAsia="宋体" w:cs="Times New Roman"/>
                <w:color w:val="auto"/>
                <w:kern w:val="0"/>
                <w:sz w:val="24"/>
                <w:szCs w:val="24"/>
                <w:highlight w:val="none"/>
                <w:lang w:val="en-US" w:eastAsia="zh-CN" w:bidi="ar"/>
              </w:rPr>
              <w:t>广西茅尾海红树林保护区限制类红线区，</w:t>
            </w:r>
            <w:r>
              <w:rPr>
                <w:rFonts w:hint="default" w:ascii="Times New Roman" w:hAnsi="Times New Roman" w:eastAsia="宋体" w:cs="Times New Roman"/>
                <w:b w:val="0"/>
                <w:bCs w:val="0"/>
                <w:color w:val="auto"/>
                <w:kern w:val="0"/>
                <w:sz w:val="24"/>
                <w:szCs w:val="24"/>
                <w:highlight w:val="none"/>
                <w:u w:val="single"/>
                <w:lang w:val="en-US" w:eastAsia="zh-CN" w:bidi="ar"/>
              </w:rPr>
              <w:t>广西</w:t>
            </w:r>
            <w:r>
              <w:rPr>
                <w:rFonts w:hint="eastAsia" w:ascii="Times New Roman" w:hAnsi="Times New Roman" w:eastAsia="宋体" w:cs="Times New Roman"/>
                <w:b w:val="0"/>
                <w:bCs w:val="0"/>
                <w:color w:val="auto"/>
                <w:kern w:val="0"/>
                <w:sz w:val="24"/>
                <w:szCs w:val="24"/>
                <w:highlight w:val="none"/>
                <w:u w:val="single"/>
                <w:lang w:val="en-US" w:eastAsia="zh-CN" w:bidi="ar"/>
              </w:rPr>
              <w:t>钦州</w:t>
            </w:r>
            <w:r>
              <w:rPr>
                <w:rFonts w:hint="default" w:ascii="Times New Roman" w:hAnsi="Times New Roman" w:eastAsia="宋体" w:cs="Times New Roman"/>
                <w:b w:val="0"/>
                <w:bCs w:val="0"/>
                <w:color w:val="auto"/>
                <w:kern w:val="0"/>
                <w:sz w:val="24"/>
                <w:szCs w:val="24"/>
                <w:highlight w:val="none"/>
                <w:u w:val="single"/>
                <w:lang w:val="en-US" w:eastAsia="zh-CN" w:bidi="ar"/>
              </w:rPr>
              <w:t>茅尾海红树林自治区级重要湿地</w:t>
            </w:r>
            <w:r>
              <w:rPr>
                <w:rFonts w:hint="eastAsia" w:ascii="Times New Roman" w:hAnsi="Times New Roman" w:eastAsia="宋体" w:cs="Times New Roman"/>
                <w:color w:val="auto"/>
                <w:kern w:val="0"/>
                <w:sz w:val="24"/>
                <w:szCs w:val="24"/>
                <w:highlight w:val="none"/>
                <w:lang w:val="en-US" w:eastAsia="zh-CN" w:bidi="ar"/>
              </w:rPr>
              <w:t>，共计</w:t>
            </w:r>
            <w:r>
              <w:rPr>
                <w:rFonts w:hint="eastAsia" w:ascii="Times New Roman" w:hAnsi="Times New Roman" w:eastAsia="宋体" w:cs="Times New Roman"/>
                <w:color w:val="auto"/>
                <w:kern w:val="0"/>
                <w:sz w:val="24"/>
                <w:szCs w:val="24"/>
                <w:highlight w:val="none"/>
                <w:u w:val="single"/>
                <w:lang w:val="en-US" w:eastAsia="zh-CN" w:bidi="ar"/>
              </w:rPr>
              <w:t>7</w:t>
            </w:r>
            <w:r>
              <w:rPr>
                <w:rFonts w:hint="eastAsia" w:ascii="Times New Roman" w:hAnsi="Times New Roman" w:eastAsia="宋体" w:cs="Times New Roman"/>
                <w:color w:val="auto"/>
                <w:kern w:val="0"/>
                <w:sz w:val="24"/>
                <w:szCs w:val="24"/>
                <w:highlight w:val="none"/>
                <w:lang w:val="en-US" w:eastAsia="zh-CN" w:bidi="ar"/>
              </w:rPr>
              <w:t>处</w:t>
            </w:r>
            <w:r>
              <w:rPr>
                <w:rFonts w:hint="eastAsia" w:ascii="Times New Roman" w:hAnsi="Times New Roman" w:eastAsia="宋体" w:cs="Times New Roman"/>
                <w:color w:val="auto"/>
                <w:sz w:val="24"/>
                <w:highlight w:val="none"/>
                <w:lang w:val="en-US" w:eastAsia="zh-CN"/>
              </w:rPr>
              <w:t>。</w:t>
            </w:r>
          </w:p>
          <w:p w14:paraId="7AF864D1">
            <w:p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①金鼓江红树林分布区</w:t>
            </w:r>
          </w:p>
          <w:p w14:paraId="0B1CC2C9">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钦州湾岸线曲折，港汊众多，岛屿棋布，红树林滩涂发育，区划金鼓江上游200hm</w:t>
            </w:r>
            <w:r>
              <w:rPr>
                <w:rFonts w:hint="eastAsia" w:ascii="Times New Roman" w:hAnsi="Times New Roman" w:eastAsia="宋体" w:cs="Times New Roman"/>
                <w:color w:val="auto"/>
                <w:sz w:val="24"/>
                <w:highlight w:val="none"/>
                <w:vertAlign w:val="superscript"/>
                <w:lang w:eastAsia="zh-CN"/>
              </w:rPr>
              <w:t>2</w:t>
            </w:r>
            <w:r>
              <w:rPr>
                <w:rFonts w:hint="eastAsia" w:ascii="Times New Roman" w:hAnsi="Times New Roman" w:eastAsia="宋体" w:cs="Times New Roman"/>
                <w:color w:val="auto"/>
                <w:sz w:val="24"/>
                <w:highlight w:val="none"/>
                <w:lang w:eastAsia="zh-CN"/>
              </w:rPr>
              <w:t>为红树林区，加强红树林保护和恢复，维护海湾生态平衡。本项目未穿越金鼓江上游红树林区；本项目距离</w:t>
            </w:r>
            <w:r>
              <w:rPr>
                <w:rFonts w:hint="eastAsia" w:ascii="Times New Roman" w:hAnsi="Times New Roman" w:eastAsia="宋体" w:cs="Times New Roman"/>
                <w:color w:val="auto"/>
                <w:sz w:val="24"/>
                <w:highlight w:val="none"/>
                <w:lang w:val="en-US" w:eastAsia="zh-CN"/>
              </w:rPr>
              <w:t>最近的</w:t>
            </w:r>
            <w:r>
              <w:rPr>
                <w:rFonts w:hint="eastAsia" w:ascii="Times New Roman" w:hAnsi="Times New Roman" w:eastAsia="宋体" w:cs="Times New Roman"/>
                <w:color w:val="auto"/>
                <w:sz w:val="24"/>
                <w:highlight w:val="none"/>
                <w:lang w:eastAsia="zh-CN"/>
              </w:rPr>
              <w:t>金鼓江红树林分布区约</w:t>
            </w:r>
            <w:r>
              <w:rPr>
                <w:rFonts w:hint="eastAsia" w:ascii="Times New Roman" w:hAnsi="Times New Roman" w:eastAsia="宋体" w:cs="Times New Roman"/>
                <w:color w:val="auto"/>
                <w:sz w:val="24"/>
                <w:highlight w:val="none"/>
                <w:lang w:val="en-US" w:eastAsia="zh-CN"/>
              </w:rPr>
              <w:t>2.5</w:t>
            </w:r>
            <w:r>
              <w:rPr>
                <w:rFonts w:hint="eastAsia" w:ascii="Times New Roman" w:hAnsi="Times New Roman" w:eastAsia="宋体" w:cs="Times New Roman"/>
                <w:color w:val="auto"/>
                <w:sz w:val="24"/>
                <w:highlight w:val="none"/>
                <w:lang w:eastAsia="zh-CN"/>
              </w:rPr>
              <w:t>km。</w:t>
            </w:r>
          </w:p>
          <w:p w14:paraId="18C2697C">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②广西茅尾海红树林自治区级自然保护区</w:t>
            </w:r>
          </w:p>
          <w:p w14:paraId="3B1FB9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本项目未穿越茅尾海红树林自然保护区；与本项目距离最近的为七十二泾片区，位于本项目西北侧约</w:t>
            </w:r>
            <w:r>
              <w:rPr>
                <w:rFonts w:hint="eastAsia" w:ascii="Times New Roman" w:hAnsi="Times New Roman" w:eastAsia="宋体"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rPr>
              <w:t>km。</w:t>
            </w:r>
          </w:p>
          <w:p w14:paraId="402AAA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广西茅尾海红树林自治区级自然保护区位于钦州市的钦南区和钦州港区，面向北部湾，于2005年经自治区人民政府批准建立，是一个以保护红树林为主的南亚热带河口、港湾和海岸滩涂湿地生态系统及越冬鸟类栖息地的自然保护区。保护区总面积3454.00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，包括核心区1293.30hm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、缓冲区1152.20hm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、实验区1008.50hm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保护区内有红树植物11科16种（即木榄、秋茄、红海榄、白骨壤、老鼠簕等），占全国红树种类的43.2%，其中珍稀红树林植物有爵床科的老鼠簕，濒危树种有红树科的木榄和红海榄；各种动物491种（如鸟类黑鹳，海鸬鹚；兽类儒艮、江豚等），其中33种鸟是中澳、中日保护候鸟及其栖息环境协定的保护鸟类。</w:t>
            </w:r>
          </w:p>
          <w:p w14:paraId="3D32A8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保护区由康熙岭片、坚心围片、七十二泾片和大风江片四大片区组成，其中七十二泾片区</w:t>
            </w:r>
            <w:r>
              <w:rPr>
                <w:rFonts w:hint="default" w:ascii="Times New Roman" w:hAnsi="Times New Roman" w:eastAsia="宋体" w:cs="Times New Roman"/>
                <w:color w:val="auto"/>
                <w:sz w:val="24"/>
                <w:szCs w:val="24"/>
                <w:highlight w:val="none"/>
                <w:lang w:val="en-US" w:eastAsia="zh-CN"/>
              </w:rPr>
              <w:t>是</w:t>
            </w:r>
            <w:r>
              <w:rPr>
                <w:rFonts w:hint="default" w:ascii="Times New Roman" w:hAnsi="Times New Roman" w:eastAsia="宋体" w:cs="Times New Roman"/>
                <w:color w:val="auto"/>
                <w:sz w:val="24"/>
                <w:szCs w:val="24"/>
                <w:highlight w:val="none"/>
              </w:rPr>
              <w:t>钦州港辖区的滩涂湿地，陆地部分以仙岛公园边缘和松飞大岭脚为界，面积192.7hm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，其中，核心区面积80.90hm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，缓冲区面积74.00hm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，实验区面积37.80hm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val="en-US" w:eastAsia="zh-CN" w:bidi="ar"/>
              </w:rPr>
              <w:t>钦州市沿海共有红树林植物8种，分别是：木榄（</w:t>
            </w:r>
            <w:r>
              <w:rPr>
                <w:rFonts w:hint="default" w:ascii="Times New Roman" w:hAnsi="Times New Roman" w:eastAsia="宋体" w:cs="Times New Roman"/>
                <w:i/>
                <w:iCs/>
                <w:color w:val="auto"/>
                <w:kern w:val="0"/>
                <w:sz w:val="24"/>
                <w:szCs w:val="24"/>
                <w:highlight w:val="none"/>
                <w:lang w:val="en-US" w:eastAsia="zh-CN" w:bidi="ar"/>
              </w:rPr>
              <w:t>Bruguiera gymnorrhiza</w:t>
            </w:r>
            <w:r>
              <w:rPr>
                <w:rFonts w:hint="default" w:ascii="Times New Roman" w:hAnsi="Times New Roman" w:eastAsia="宋体" w:cs="Times New Roman"/>
                <w:color w:val="auto"/>
                <w:kern w:val="0"/>
                <w:sz w:val="24"/>
                <w:szCs w:val="24"/>
                <w:highlight w:val="none"/>
                <w:lang w:val="en-US" w:eastAsia="zh-CN" w:bidi="ar"/>
              </w:rPr>
              <w:t>）、秋茄（</w:t>
            </w:r>
            <w:r>
              <w:rPr>
                <w:rFonts w:hint="default" w:ascii="Times New Roman" w:hAnsi="Times New Roman" w:eastAsia="宋体" w:cs="Times New Roman"/>
                <w:i/>
                <w:iCs/>
                <w:color w:val="auto"/>
                <w:kern w:val="0"/>
                <w:sz w:val="24"/>
                <w:szCs w:val="24"/>
                <w:highlight w:val="none"/>
                <w:lang w:val="en-US" w:eastAsia="zh-CN" w:bidi="ar"/>
              </w:rPr>
              <w:t>Kandelia candel</w:t>
            </w:r>
            <w:r>
              <w:rPr>
                <w:rFonts w:hint="default" w:ascii="Times New Roman" w:hAnsi="Times New Roman" w:eastAsia="宋体" w:cs="Times New Roman"/>
                <w:color w:val="auto"/>
                <w:kern w:val="0"/>
                <w:sz w:val="24"/>
                <w:szCs w:val="24"/>
                <w:highlight w:val="none"/>
                <w:lang w:val="en-US" w:eastAsia="zh-CN" w:bidi="ar"/>
              </w:rPr>
              <w:t>）、老鼠勒（</w:t>
            </w:r>
            <w:r>
              <w:rPr>
                <w:rFonts w:hint="default" w:ascii="Times New Roman" w:hAnsi="Times New Roman" w:eastAsia="宋体" w:cs="Times New Roman"/>
                <w:i/>
                <w:iCs/>
                <w:color w:val="auto"/>
                <w:kern w:val="0"/>
                <w:sz w:val="24"/>
                <w:szCs w:val="24"/>
                <w:highlight w:val="none"/>
                <w:lang w:val="en-US" w:eastAsia="zh-CN" w:bidi="ar"/>
              </w:rPr>
              <w:t>Acanthus ilicifolius</w:t>
            </w:r>
            <w:r>
              <w:rPr>
                <w:rFonts w:hint="default" w:ascii="Times New Roman" w:hAnsi="Times New Roman" w:eastAsia="宋体" w:cs="Times New Roman"/>
                <w:color w:val="auto"/>
                <w:kern w:val="0"/>
                <w:sz w:val="24"/>
                <w:szCs w:val="24"/>
                <w:highlight w:val="none"/>
                <w:lang w:val="en-US" w:eastAsia="zh-CN" w:bidi="ar"/>
              </w:rPr>
              <w:t>）、榄李（</w:t>
            </w:r>
            <w:r>
              <w:rPr>
                <w:rFonts w:hint="default" w:ascii="Times New Roman" w:hAnsi="Times New Roman" w:eastAsia="宋体" w:cs="Times New Roman"/>
                <w:i/>
                <w:iCs/>
                <w:color w:val="auto"/>
                <w:kern w:val="0"/>
                <w:sz w:val="24"/>
                <w:szCs w:val="24"/>
                <w:highlight w:val="none"/>
                <w:lang w:val="en-US" w:eastAsia="zh-CN" w:bidi="ar"/>
              </w:rPr>
              <w:t>Lumnitzera racemosa</w:t>
            </w:r>
            <w:r>
              <w:rPr>
                <w:rFonts w:hint="default" w:ascii="Times New Roman" w:hAnsi="Times New Roman" w:eastAsia="宋体" w:cs="Times New Roman"/>
                <w:color w:val="auto"/>
                <w:kern w:val="0"/>
                <w:sz w:val="24"/>
                <w:szCs w:val="24"/>
                <w:highlight w:val="none"/>
                <w:lang w:val="en-US" w:eastAsia="zh-CN" w:bidi="ar"/>
              </w:rPr>
              <w:t>）、海漆（</w:t>
            </w:r>
            <w:r>
              <w:rPr>
                <w:rFonts w:hint="default" w:ascii="Times New Roman" w:hAnsi="Times New Roman" w:eastAsia="宋体" w:cs="Times New Roman"/>
                <w:i/>
                <w:iCs/>
                <w:color w:val="auto"/>
                <w:kern w:val="0"/>
                <w:sz w:val="24"/>
                <w:szCs w:val="24"/>
                <w:highlight w:val="none"/>
                <w:lang w:val="en-US" w:eastAsia="zh-CN" w:bidi="ar"/>
              </w:rPr>
              <w:t>Excoecaria agallocha</w:t>
            </w:r>
            <w:r>
              <w:rPr>
                <w:rFonts w:hint="default" w:ascii="Times New Roman" w:hAnsi="Times New Roman" w:eastAsia="宋体" w:cs="Times New Roman"/>
                <w:color w:val="auto"/>
                <w:kern w:val="0"/>
                <w:sz w:val="24"/>
                <w:szCs w:val="24"/>
                <w:highlight w:val="none"/>
                <w:lang w:val="en-US" w:eastAsia="zh-CN" w:bidi="ar"/>
              </w:rPr>
              <w:t>）、桐花树（</w:t>
            </w:r>
            <w:r>
              <w:rPr>
                <w:rFonts w:hint="default" w:ascii="Times New Roman" w:hAnsi="Times New Roman" w:eastAsia="宋体" w:cs="Times New Roman"/>
                <w:i/>
                <w:iCs/>
                <w:color w:val="auto"/>
                <w:kern w:val="0"/>
                <w:sz w:val="24"/>
                <w:szCs w:val="24"/>
                <w:highlight w:val="none"/>
                <w:lang w:val="en-US" w:eastAsia="zh-CN" w:bidi="ar"/>
              </w:rPr>
              <w:t>Aegiceras corniculatum</w:t>
            </w:r>
            <w:r>
              <w:rPr>
                <w:rFonts w:hint="default" w:ascii="Times New Roman" w:hAnsi="Times New Roman" w:eastAsia="宋体" w:cs="Times New Roman"/>
                <w:color w:val="auto"/>
                <w:kern w:val="0"/>
                <w:sz w:val="24"/>
                <w:szCs w:val="24"/>
                <w:highlight w:val="none"/>
                <w:lang w:val="en-US" w:eastAsia="zh-CN" w:bidi="ar"/>
              </w:rPr>
              <w:t>）、白骨壤（</w:t>
            </w:r>
            <w:r>
              <w:rPr>
                <w:rFonts w:hint="default" w:ascii="Times New Roman" w:hAnsi="Times New Roman" w:eastAsia="宋体" w:cs="Times New Roman"/>
                <w:i/>
                <w:iCs/>
                <w:color w:val="auto"/>
                <w:kern w:val="0"/>
                <w:sz w:val="24"/>
                <w:szCs w:val="24"/>
                <w:highlight w:val="none"/>
                <w:lang w:val="en-US" w:eastAsia="zh-CN" w:bidi="ar"/>
              </w:rPr>
              <w:t>Avicennia marina</w:t>
            </w:r>
            <w:r>
              <w:rPr>
                <w:rFonts w:hint="default" w:ascii="Times New Roman" w:hAnsi="Times New Roman" w:eastAsia="宋体" w:cs="Times New Roman"/>
                <w:color w:val="auto"/>
                <w:kern w:val="0"/>
                <w:sz w:val="24"/>
                <w:szCs w:val="24"/>
                <w:highlight w:val="none"/>
                <w:lang w:val="en-US" w:eastAsia="zh-CN" w:bidi="ar"/>
              </w:rPr>
              <w:t>）、卤蕨（</w:t>
            </w:r>
            <w:r>
              <w:rPr>
                <w:rFonts w:hint="default" w:ascii="Times New Roman" w:hAnsi="Times New Roman" w:eastAsia="宋体" w:cs="Times New Roman"/>
                <w:i/>
                <w:iCs/>
                <w:color w:val="auto"/>
                <w:kern w:val="0"/>
                <w:sz w:val="24"/>
                <w:szCs w:val="24"/>
                <w:highlight w:val="none"/>
                <w:lang w:val="en-US" w:eastAsia="zh-CN" w:bidi="ar"/>
              </w:rPr>
              <w:t>Acrostichum aureurm</w:t>
            </w:r>
            <w:r>
              <w:rPr>
                <w:rFonts w:hint="default" w:ascii="Times New Roman" w:hAnsi="Times New Roman" w:eastAsia="宋体" w:cs="Times New Roman"/>
                <w:color w:val="auto"/>
                <w:kern w:val="0"/>
                <w:sz w:val="24"/>
                <w:szCs w:val="24"/>
                <w:highlight w:val="none"/>
                <w:lang w:val="en-US" w:eastAsia="zh-CN" w:bidi="ar"/>
              </w:rPr>
              <w:t>）。半红树植物4种，分别是：海芒果（</w:t>
            </w:r>
            <w:r>
              <w:rPr>
                <w:rFonts w:hint="default" w:ascii="Times New Roman" w:hAnsi="Times New Roman" w:eastAsia="宋体" w:cs="Times New Roman"/>
                <w:i/>
                <w:iCs/>
                <w:color w:val="auto"/>
                <w:kern w:val="0"/>
                <w:sz w:val="24"/>
                <w:szCs w:val="24"/>
                <w:highlight w:val="none"/>
                <w:lang w:val="en-US" w:eastAsia="zh-CN" w:bidi="ar"/>
              </w:rPr>
              <w:t>Cerbera manghas</w:t>
            </w:r>
            <w:r>
              <w:rPr>
                <w:rFonts w:hint="default" w:ascii="Times New Roman" w:hAnsi="Times New Roman" w:eastAsia="宋体" w:cs="Times New Roman"/>
                <w:color w:val="auto"/>
                <w:kern w:val="0"/>
                <w:sz w:val="24"/>
                <w:szCs w:val="24"/>
                <w:highlight w:val="none"/>
                <w:lang w:val="en-US" w:eastAsia="zh-CN" w:bidi="ar"/>
              </w:rPr>
              <w:t>）、黄槿（</w:t>
            </w:r>
            <w:r>
              <w:rPr>
                <w:rFonts w:hint="default" w:ascii="Times New Roman" w:hAnsi="Times New Roman" w:eastAsia="宋体" w:cs="Times New Roman"/>
                <w:i/>
                <w:iCs/>
                <w:color w:val="auto"/>
                <w:kern w:val="0"/>
                <w:sz w:val="24"/>
                <w:szCs w:val="24"/>
                <w:highlight w:val="none"/>
                <w:lang w:val="en-US" w:eastAsia="zh-CN" w:bidi="ar"/>
              </w:rPr>
              <w:t>Hibiscus tiliscus</w:t>
            </w:r>
            <w:r>
              <w:rPr>
                <w:rFonts w:hint="default" w:ascii="Times New Roman" w:hAnsi="Times New Roman" w:eastAsia="宋体" w:cs="Times New Roman"/>
                <w:color w:val="auto"/>
                <w:kern w:val="0"/>
                <w:sz w:val="24"/>
                <w:szCs w:val="24"/>
                <w:highlight w:val="none"/>
                <w:lang w:val="en-US" w:eastAsia="zh-CN" w:bidi="ar"/>
              </w:rPr>
              <w:t>）、杨叶肖槿（</w:t>
            </w:r>
            <w:r>
              <w:rPr>
                <w:rFonts w:hint="default" w:ascii="Times New Roman" w:hAnsi="Times New Roman" w:eastAsia="宋体" w:cs="Times New Roman"/>
                <w:i/>
                <w:iCs/>
                <w:color w:val="auto"/>
                <w:kern w:val="0"/>
                <w:sz w:val="24"/>
                <w:szCs w:val="24"/>
                <w:highlight w:val="none"/>
                <w:lang w:val="en-US" w:eastAsia="zh-CN" w:bidi="ar"/>
              </w:rPr>
              <w:t>Thespesia populnea</w:t>
            </w:r>
            <w:r>
              <w:rPr>
                <w:rFonts w:hint="default" w:ascii="Times New Roman" w:hAnsi="Times New Roman" w:eastAsia="宋体" w:cs="Times New Roman"/>
                <w:color w:val="auto"/>
                <w:kern w:val="0"/>
                <w:sz w:val="24"/>
                <w:szCs w:val="24"/>
                <w:highlight w:val="none"/>
                <w:lang w:val="en-US" w:eastAsia="zh-CN" w:bidi="ar"/>
              </w:rPr>
              <w:t>）和水黄皮（</w:t>
            </w:r>
            <w:r>
              <w:rPr>
                <w:rFonts w:hint="default" w:ascii="Times New Roman" w:hAnsi="Times New Roman" w:eastAsia="宋体" w:cs="Times New Roman"/>
                <w:i/>
                <w:iCs/>
                <w:color w:val="auto"/>
                <w:kern w:val="0"/>
                <w:sz w:val="24"/>
                <w:szCs w:val="24"/>
                <w:highlight w:val="none"/>
                <w:lang w:val="en-US" w:eastAsia="zh-CN" w:bidi="ar"/>
              </w:rPr>
              <w:t>Pongamia pinnata</w:t>
            </w:r>
            <w:r>
              <w:rPr>
                <w:rFonts w:hint="default" w:ascii="Times New Roman" w:hAnsi="Times New Roman" w:eastAsia="宋体" w:cs="Times New Roman"/>
                <w:color w:val="auto"/>
                <w:kern w:val="0"/>
                <w:sz w:val="24"/>
                <w:szCs w:val="24"/>
                <w:highlight w:val="none"/>
                <w:lang w:val="en-US" w:eastAsia="zh-CN" w:bidi="ar"/>
              </w:rPr>
              <w:t>）。真红树植物分布于潮间带，半红树植物和红树林伴生植物通常分布于受海水影响的潮上带及陆地海岸。红树林总面积2000hm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，比较集中连片的有茅尾海沿岸、水井坑、金鼓江、鹿耳环江以及大风江沿岸等区域，其中七十二泾生长着一片面积达667hm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的连片红树林。</w:t>
            </w:r>
          </w:p>
          <w:p w14:paraId="01CF30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七十二泾是茅尾海内海中的一个群岛，位于钦州市城区南约25km，居钦州湾中部，</w:t>
            </w:r>
            <w:r>
              <w:rPr>
                <w:rFonts w:hint="default" w:ascii="Times New Roman" w:hAnsi="Times New Roman" w:eastAsia="宋体" w:cs="Times New Roman"/>
                <w:color w:val="auto"/>
                <w:kern w:val="0"/>
                <w:sz w:val="24"/>
                <w:szCs w:val="24"/>
                <w:highlight w:val="none"/>
                <w:lang w:val="en-US" w:eastAsia="zh-CN" w:bidi="ar"/>
              </w:rPr>
              <w:t>在规划区西面相邻处，主要由龙门岛、亚公山等一百多个岛屿和无数礁石组成，总面积约9.8km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七十二泾红树林中，白骨壤占优，其次为桐花树，偶有其他品种散布其中。白骨壤、桐花树群落主要分布在低潮线一带，生长由地势分类，群落中的外缘一般为白骨壤，桐花树内藏其中，群落中大潮时，白骨壤树干几乎被全部淹没，桐花树则被淹没一半左右。</w:t>
            </w:r>
          </w:p>
          <w:p w14:paraId="5987F13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③七十二泾旅游休闲娱乐区</w:t>
            </w:r>
          </w:p>
          <w:p w14:paraId="3E18C0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b w:val="0"/>
                <w:bCs w:val="0"/>
                <w:color w:val="auto"/>
                <w:kern w:val="0"/>
                <w:sz w:val="24"/>
                <w:szCs w:val="24"/>
                <w:highlight w:val="none"/>
                <w:lang w:val="en-US" w:eastAsia="zh-CN" w:bidi="ar"/>
              </w:rPr>
              <w:t>旅游休闲娱乐区是指适于开发利用滨海和海上旅游资源，可供旅游景区开发和海上文体娱乐活动场所建设的海域，包括风景旅游区和文体休闲娱乐区。</w:t>
            </w:r>
          </w:p>
          <w:p w14:paraId="3C9C8B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b w:val="0"/>
                <w:bCs w:val="0"/>
                <w:color w:val="auto"/>
                <w:kern w:val="0"/>
                <w:sz w:val="24"/>
                <w:szCs w:val="24"/>
                <w:highlight w:val="none"/>
                <w:lang w:val="en-US" w:eastAsia="zh-CN" w:bidi="ar"/>
              </w:rPr>
              <w:t>七十二泾旅游休闲娱乐区位于茅尾海东岸七十二泾海域，包括东经   108°32′55″~108°35′47″，北纬21°44′28″~21°47′53″，总面积为1846hm</w:t>
            </w:r>
            <w:r>
              <w:rPr>
                <w:rFonts w:hint="eastAsia" w:ascii="Times New Roman" w:hAnsi="Times New Roman" w:eastAsia="宋体" w:cs="Times New Roman"/>
                <w:b w:val="0"/>
                <w:bCs w:val="0"/>
                <w:color w:val="auto"/>
                <w:kern w:val="0"/>
                <w:sz w:val="24"/>
                <w:szCs w:val="24"/>
                <w:highlight w:val="none"/>
                <w:vertAlign w:val="superscript"/>
                <w:lang w:val="en-US" w:eastAsia="zh-CN" w:bidi="ar"/>
              </w:rPr>
              <w:t>2</w:t>
            </w:r>
            <w:r>
              <w:rPr>
                <w:rFonts w:hint="eastAsia" w:ascii="Times New Roman" w:hAnsi="Times New Roman" w:eastAsia="宋体" w:cs="Times New Roman"/>
                <w:b w:val="0"/>
                <w:bCs w:val="0"/>
                <w:color w:val="auto"/>
                <w:kern w:val="0"/>
                <w:sz w:val="24"/>
                <w:szCs w:val="24"/>
                <w:highlight w:val="none"/>
                <w:lang w:val="en-US" w:eastAsia="zh-CN" w:bidi="ar"/>
              </w:rPr>
              <w:t>，用海方式上允许适度改变海域自然属性；合理控制旅游开发强度，完善旅游基础设施建设；严格控制填海连岛。</w:t>
            </w:r>
          </w:p>
          <w:p w14:paraId="7F1004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b w:val="0"/>
                <w:bCs w:val="0"/>
                <w:color w:val="auto"/>
                <w:kern w:val="0"/>
                <w:sz w:val="24"/>
                <w:szCs w:val="24"/>
                <w:highlight w:val="none"/>
                <w:lang w:val="en-US" w:eastAsia="zh-CN" w:bidi="ar"/>
              </w:rPr>
              <w:t>旅游区的污水和生活垃圾处理，必须实现达标排放和科学处置，禁止直接排海。修复受损区域景观，养护退化的海滨沙滩浴场。旅游休闲娱乐区中的海岛可用于旅游基础设施建设，加强海岛生态系统保护与修复。旅游休闲娱乐区执行不劣于二类海水水质标准。</w:t>
            </w:r>
          </w:p>
          <w:p w14:paraId="73446F0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④钦州港青菜头南浅海滩涂养殖区</w:t>
            </w:r>
          </w:p>
          <w:p w14:paraId="31C4E4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根据《钦州市养殖水域滩涂规划》（2019-2030），</w:t>
            </w:r>
            <w:r>
              <w:rPr>
                <w:rFonts w:hint="default" w:ascii="Times New Roman" w:hAnsi="Times New Roman" w:eastAsia="宋体" w:cs="Times New Roman"/>
                <w:color w:val="auto"/>
                <w:kern w:val="0"/>
                <w:sz w:val="24"/>
                <w:szCs w:val="24"/>
                <w:highlight w:val="none"/>
                <w:lang w:val="en-US" w:eastAsia="zh-CN" w:bidi="ar"/>
              </w:rPr>
              <w:t>钦州港青菜头南 浅海滩涂养殖区</w:t>
            </w:r>
            <w:r>
              <w:rPr>
                <w:rFonts w:hint="eastAsia" w:ascii="Times New Roman" w:hAnsi="Times New Roman" w:eastAsia="宋体" w:cs="Times New Roman"/>
                <w:color w:val="auto"/>
                <w:kern w:val="0"/>
                <w:sz w:val="24"/>
                <w:szCs w:val="24"/>
                <w:highlight w:val="none"/>
                <w:lang w:val="en-US" w:eastAsia="zh-CN" w:bidi="ar"/>
              </w:rPr>
              <w:t>位于</w:t>
            </w:r>
            <w:r>
              <w:rPr>
                <w:rFonts w:hint="default" w:ascii="Times New Roman" w:hAnsi="Times New Roman" w:eastAsia="宋体" w:cs="Times New Roman"/>
                <w:color w:val="auto"/>
                <w:kern w:val="0"/>
                <w:sz w:val="24"/>
                <w:szCs w:val="24"/>
                <w:highlight w:val="none"/>
                <w:lang w:val="en-US" w:eastAsia="zh-CN" w:bidi="ar"/>
              </w:rPr>
              <w:t>西航道以东，传统中航道以西，北至青菜头，南至伞沙尾海域 （108°35′24″；108°37′56″；21°34′09″；21°40′32″）</w:t>
            </w:r>
            <w:r>
              <w:rPr>
                <w:rFonts w:hint="eastAsia" w:ascii="Times New Roman" w:hAnsi="Times New Roman" w:eastAsia="宋体" w:cs="Times New Roman"/>
                <w:color w:val="auto"/>
                <w:kern w:val="0"/>
                <w:sz w:val="24"/>
                <w:szCs w:val="24"/>
                <w:highlight w:val="none"/>
                <w:lang w:val="en-US" w:eastAsia="zh-CN" w:bidi="ar"/>
              </w:rPr>
              <w:t>，养殖区面积为3649hm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val="en-US" w:eastAsia="zh-CN" w:bidi="ar"/>
              </w:rPr>
              <w:t>，养殖区贝类（大蚝）浮筏吊养殖。海水水质执行不劣于二类标准，海洋沉积物和海洋生物执行一类标准。</w:t>
            </w:r>
          </w:p>
          <w:p w14:paraId="2107556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⑤生态红线</w:t>
            </w:r>
          </w:p>
          <w:p w14:paraId="017FF9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b w:val="0"/>
                <w:bCs w:val="0"/>
                <w:color w:val="auto"/>
                <w:kern w:val="0"/>
                <w:sz w:val="24"/>
                <w:szCs w:val="24"/>
                <w:highlight w:val="none"/>
                <w:lang w:val="en-US" w:eastAsia="zh-CN" w:bidi="ar"/>
              </w:rPr>
              <w:t>项目评价范围涉及广西茅尾海红树林保护区限制类红线区、七十二泾旅游休闲娱乐限制区，项目不占用生态红线，根据</w:t>
            </w:r>
            <w:r>
              <w:rPr>
                <w:rFonts w:hint="eastAsia" w:ascii="Times New Roman" w:hAnsi="Times New Roman" w:eastAsia="宋体" w:cs="Times New Roman"/>
                <w:b w:val="0"/>
                <w:bCs w:val="0"/>
                <w:color w:val="auto"/>
                <w:kern w:val="0"/>
                <w:sz w:val="24"/>
                <w:szCs w:val="24"/>
                <w:highlight w:val="none"/>
                <w:u w:val="single"/>
                <w:lang w:val="en-US" w:eastAsia="zh-CN" w:bidi="ar"/>
              </w:rPr>
              <w:t>《广西壮族自治区国土空间规划（2021-2035年）》</w:t>
            </w:r>
            <w:r>
              <w:rPr>
                <w:rFonts w:hint="eastAsia" w:ascii="Times New Roman" w:hAnsi="Times New Roman" w:eastAsia="宋体" w:cs="Times New Roman"/>
                <w:b w:val="0"/>
                <w:bCs w:val="0"/>
                <w:color w:val="auto"/>
                <w:kern w:val="0"/>
                <w:sz w:val="24"/>
                <w:szCs w:val="24"/>
                <w:highlight w:val="none"/>
                <w:lang w:val="en-US" w:eastAsia="zh-CN" w:bidi="ar"/>
              </w:rPr>
              <w:t>，自然保护区开发活动执行《中华人民共和国自然保护区条例》的有关规定，禁止在自然保护区内进行砍伐、放牧、狩猎、捕捞、采药、开垦、烧荒、开矿、采石、挖沙等活动；在重要滨海旅游区限制类红线区内禁止试图可能改变或影响滨海旅游的开发建设活动。</w:t>
            </w:r>
          </w:p>
          <w:p w14:paraId="105048B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kern w:val="0"/>
                <w:sz w:val="24"/>
                <w:szCs w:val="24"/>
                <w:highlight w:val="none"/>
                <w:u w:val="singl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⑥</w:t>
            </w:r>
            <w:r>
              <w:rPr>
                <w:rFonts w:hint="eastAsia" w:ascii="Times New Roman" w:hAnsi="Times New Roman" w:eastAsia="宋体" w:cs="Times New Roman"/>
                <w:b/>
                <w:bCs/>
                <w:color w:val="auto"/>
                <w:kern w:val="0"/>
                <w:sz w:val="24"/>
                <w:szCs w:val="24"/>
                <w:highlight w:val="none"/>
                <w:u w:val="single"/>
                <w:lang w:val="en-US" w:eastAsia="zh-CN" w:bidi="ar"/>
              </w:rPr>
              <w:t>重要湿地</w:t>
            </w:r>
          </w:p>
          <w:p w14:paraId="49B2F9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u w:val="single"/>
                <w:lang w:val="en-US" w:eastAsia="zh-CN" w:bidi="ar"/>
              </w:rPr>
            </w:pPr>
            <w:r>
              <w:rPr>
                <w:rFonts w:hint="eastAsia" w:ascii="Times New Roman" w:hAnsi="Times New Roman" w:eastAsia="宋体" w:cs="Times New Roman"/>
                <w:b w:val="0"/>
                <w:bCs w:val="0"/>
                <w:color w:val="auto"/>
                <w:kern w:val="0"/>
                <w:sz w:val="24"/>
                <w:szCs w:val="24"/>
                <w:highlight w:val="none"/>
                <w:u w:val="single"/>
                <w:lang w:val="en-US" w:eastAsia="zh-CN" w:bidi="ar"/>
              </w:rPr>
              <w:t>根据《广西壮族自治区林业局关于公布第一批自治区重要湿地名录的通知》（桂林发〔2020〕20号）、《广西壮族自治区林业局关于公布第二批自治区重要湿地名录的通知》（桂林发〔2022〕13号），项目不涉及广西壮族自治区级重要湿地，评价范围内分布有</w:t>
            </w:r>
            <w:r>
              <w:rPr>
                <w:rFonts w:hint="default" w:ascii="Times New Roman" w:hAnsi="Times New Roman" w:eastAsia="宋体" w:cs="Times New Roman"/>
                <w:b w:val="0"/>
                <w:bCs w:val="0"/>
                <w:color w:val="auto"/>
                <w:kern w:val="0"/>
                <w:sz w:val="24"/>
                <w:szCs w:val="24"/>
                <w:highlight w:val="none"/>
                <w:u w:val="single"/>
                <w:lang w:val="en-US" w:eastAsia="zh-CN" w:bidi="ar"/>
              </w:rPr>
              <w:t>广西</w:t>
            </w:r>
            <w:r>
              <w:rPr>
                <w:rFonts w:hint="eastAsia" w:ascii="Times New Roman" w:hAnsi="Times New Roman" w:eastAsia="宋体" w:cs="Times New Roman"/>
                <w:b w:val="0"/>
                <w:bCs w:val="0"/>
                <w:color w:val="auto"/>
                <w:kern w:val="0"/>
                <w:sz w:val="24"/>
                <w:szCs w:val="24"/>
                <w:highlight w:val="none"/>
                <w:u w:val="single"/>
                <w:lang w:val="en-US" w:eastAsia="zh-CN" w:bidi="ar"/>
              </w:rPr>
              <w:t>钦州</w:t>
            </w:r>
            <w:r>
              <w:rPr>
                <w:rFonts w:hint="default" w:ascii="Times New Roman" w:hAnsi="Times New Roman" w:eastAsia="宋体" w:cs="Times New Roman"/>
                <w:b w:val="0"/>
                <w:bCs w:val="0"/>
                <w:color w:val="auto"/>
                <w:kern w:val="0"/>
                <w:sz w:val="24"/>
                <w:szCs w:val="24"/>
                <w:highlight w:val="none"/>
                <w:u w:val="single"/>
                <w:lang w:val="en-US" w:eastAsia="zh-CN" w:bidi="ar"/>
              </w:rPr>
              <w:t>茅尾海红树林自治区级重要湿地</w:t>
            </w:r>
            <w:r>
              <w:rPr>
                <w:rFonts w:hint="eastAsia" w:ascii="Times New Roman" w:hAnsi="Times New Roman" w:eastAsia="宋体" w:cs="Times New Roman"/>
                <w:b w:val="0"/>
                <w:bCs w:val="0"/>
                <w:color w:val="auto"/>
                <w:kern w:val="0"/>
                <w:sz w:val="24"/>
                <w:szCs w:val="24"/>
                <w:highlight w:val="none"/>
                <w:u w:val="single"/>
                <w:lang w:val="en-US" w:eastAsia="zh-CN" w:bidi="ar"/>
              </w:rPr>
              <w:t>。</w:t>
            </w:r>
          </w:p>
          <w:p w14:paraId="4CEBBB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u w:val="single"/>
                <w:lang w:val="en-US" w:eastAsia="zh-CN" w:bidi="ar"/>
              </w:rPr>
            </w:pPr>
            <w:r>
              <w:rPr>
                <w:rFonts w:hint="default" w:ascii="Times New Roman" w:hAnsi="Times New Roman" w:eastAsia="宋体" w:cs="Times New Roman"/>
                <w:b w:val="0"/>
                <w:bCs w:val="0"/>
                <w:color w:val="auto"/>
                <w:kern w:val="0"/>
                <w:sz w:val="24"/>
                <w:szCs w:val="24"/>
                <w:highlight w:val="none"/>
                <w:u w:val="single"/>
                <w:lang w:val="en-US" w:eastAsia="zh-CN" w:bidi="ar"/>
              </w:rPr>
              <w:t>广西</w:t>
            </w:r>
            <w:r>
              <w:rPr>
                <w:rFonts w:hint="eastAsia" w:ascii="Times New Roman" w:hAnsi="Times New Roman" w:eastAsia="宋体" w:cs="Times New Roman"/>
                <w:b w:val="0"/>
                <w:bCs w:val="0"/>
                <w:color w:val="auto"/>
                <w:kern w:val="0"/>
                <w:sz w:val="24"/>
                <w:szCs w:val="24"/>
                <w:highlight w:val="none"/>
                <w:u w:val="single"/>
                <w:lang w:val="en-US" w:eastAsia="zh-CN" w:bidi="ar"/>
              </w:rPr>
              <w:t>钦州</w:t>
            </w:r>
            <w:r>
              <w:rPr>
                <w:rFonts w:hint="default" w:ascii="Times New Roman" w:hAnsi="Times New Roman" w:eastAsia="宋体" w:cs="Times New Roman"/>
                <w:b w:val="0"/>
                <w:bCs w:val="0"/>
                <w:color w:val="auto"/>
                <w:kern w:val="0"/>
                <w:sz w:val="24"/>
                <w:szCs w:val="24"/>
                <w:highlight w:val="none"/>
                <w:u w:val="single"/>
                <w:lang w:val="en-US" w:eastAsia="zh-CN" w:bidi="ar"/>
              </w:rPr>
              <w:t>茅尾海红树林自治区级重要湿地位于项目西北侧，</w:t>
            </w:r>
            <w:r>
              <w:rPr>
                <w:rFonts w:hint="eastAsia" w:ascii="Times New Roman" w:hAnsi="Times New Roman" w:eastAsia="宋体" w:cs="Times New Roman"/>
                <w:b w:val="0"/>
                <w:bCs w:val="0"/>
                <w:color w:val="auto"/>
                <w:kern w:val="0"/>
                <w:sz w:val="24"/>
                <w:szCs w:val="24"/>
                <w:highlight w:val="none"/>
                <w:u w:val="single"/>
                <w:lang w:val="en-US" w:eastAsia="zh-CN" w:bidi="ar"/>
              </w:rPr>
              <w:t>湿地总面积约4908.63hm</w:t>
            </w:r>
            <w:r>
              <w:rPr>
                <w:rFonts w:hint="eastAsia" w:ascii="Times New Roman" w:hAnsi="Times New Roman" w:eastAsia="宋体" w:cs="Times New Roman"/>
                <w:b w:val="0"/>
                <w:bCs w:val="0"/>
                <w:color w:val="auto"/>
                <w:kern w:val="0"/>
                <w:sz w:val="24"/>
                <w:szCs w:val="24"/>
                <w:highlight w:val="none"/>
                <w:u w:val="single"/>
                <w:vertAlign w:val="superscript"/>
                <w:lang w:val="en-US" w:eastAsia="zh-CN" w:bidi="ar"/>
              </w:rPr>
              <w:t>2</w:t>
            </w:r>
            <w:r>
              <w:rPr>
                <w:rFonts w:hint="eastAsia" w:ascii="Times New Roman" w:hAnsi="Times New Roman" w:eastAsia="宋体" w:cs="Times New Roman"/>
                <w:b w:val="0"/>
                <w:bCs w:val="0"/>
                <w:color w:val="auto"/>
                <w:kern w:val="0"/>
                <w:sz w:val="24"/>
                <w:szCs w:val="24"/>
                <w:highlight w:val="none"/>
                <w:u w:val="single"/>
                <w:lang w:val="en-US" w:eastAsia="zh-CN" w:bidi="ar"/>
              </w:rPr>
              <w:t>，湿地类型为近海与海岸湿地。</w:t>
            </w:r>
            <w:r>
              <w:rPr>
                <w:rFonts w:hint="default" w:ascii="Times New Roman" w:hAnsi="Times New Roman" w:eastAsia="宋体" w:cs="Times New Roman"/>
                <w:b w:val="0"/>
                <w:bCs w:val="0"/>
                <w:color w:val="auto"/>
                <w:kern w:val="0"/>
                <w:sz w:val="24"/>
                <w:szCs w:val="24"/>
                <w:highlight w:val="none"/>
                <w:u w:val="single"/>
                <w:lang w:val="en-US" w:eastAsia="zh-CN" w:bidi="ar"/>
              </w:rPr>
              <w:t>项目不涉及占用重要湿地，</w:t>
            </w:r>
            <w:r>
              <w:rPr>
                <w:rFonts w:hint="eastAsia" w:ascii="Times New Roman" w:hAnsi="Times New Roman" w:eastAsia="宋体" w:cs="Times New Roman"/>
                <w:b w:val="0"/>
                <w:bCs w:val="0"/>
                <w:color w:val="auto"/>
                <w:kern w:val="0"/>
                <w:sz w:val="24"/>
                <w:szCs w:val="24"/>
                <w:highlight w:val="none"/>
                <w:u w:val="single"/>
                <w:lang w:val="en-US" w:eastAsia="zh-CN" w:bidi="ar"/>
              </w:rPr>
              <w:t>项目与七十二泾片最近距离约5.5km；</w:t>
            </w:r>
          </w:p>
          <w:p w14:paraId="342514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bidi="ar"/>
              </w:rPr>
            </w:pPr>
          </w:p>
          <w:p w14:paraId="70A5D290">
            <w:pPr>
              <w:spacing w:line="360" w:lineRule="auto"/>
              <w:ind w:firstLine="422" w:firstLineChars="20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表3.3-2- 项目周边环境保护目标一览表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680"/>
              <w:gridCol w:w="1541"/>
              <w:gridCol w:w="818"/>
              <w:gridCol w:w="900"/>
              <w:gridCol w:w="3597"/>
            </w:tblGrid>
            <w:tr w14:paraId="5BAA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noWrap w:val="0"/>
                  <w:vAlign w:val="center"/>
                </w:tcPr>
                <w:p w14:paraId="0021AA72">
                  <w:pPr>
                    <w:snapToGrid w:val="0"/>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序号</w:t>
                  </w:r>
                </w:p>
              </w:tc>
              <w:tc>
                <w:tcPr>
                  <w:tcW w:w="427" w:type="pct"/>
                  <w:noWrap w:val="0"/>
                  <w:vAlign w:val="center"/>
                </w:tcPr>
                <w:p w14:paraId="17757410">
                  <w:pPr>
                    <w:snapToGrid w:val="0"/>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环境</w:t>
                  </w:r>
                </w:p>
                <w:p w14:paraId="3A717494">
                  <w:pPr>
                    <w:snapToGrid w:val="0"/>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要素</w:t>
                  </w:r>
                </w:p>
              </w:tc>
              <w:tc>
                <w:tcPr>
                  <w:tcW w:w="967" w:type="pct"/>
                  <w:noWrap w:val="0"/>
                  <w:vAlign w:val="center"/>
                </w:tcPr>
                <w:p w14:paraId="7A611FFF">
                  <w:pPr>
                    <w:snapToGrid w:val="0"/>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敏感点名称</w:t>
                  </w:r>
                </w:p>
              </w:tc>
              <w:tc>
                <w:tcPr>
                  <w:tcW w:w="513" w:type="pct"/>
                  <w:noWrap w:val="0"/>
                  <w:vAlign w:val="center"/>
                </w:tcPr>
                <w:p w14:paraId="2AADA19C">
                  <w:pPr>
                    <w:snapToGrid w:val="0"/>
                    <w:jc w:val="center"/>
                    <w:rPr>
                      <w:rFonts w:hint="default"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相对工程位置/距离</w:t>
                  </w:r>
                </w:p>
              </w:tc>
              <w:tc>
                <w:tcPr>
                  <w:tcW w:w="565" w:type="pct"/>
                  <w:noWrap w:val="0"/>
                  <w:vAlign w:val="center"/>
                </w:tcPr>
                <w:p w14:paraId="17C5FD12">
                  <w:pPr>
                    <w:snapToGrid w:val="0"/>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保护内容</w:t>
                  </w:r>
                </w:p>
              </w:tc>
              <w:tc>
                <w:tcPr>
                  <w:tcW w:w="2259" w:type="pct"/>
                  <w:noWrap w:val="0"/>
                  <w:vAlign w:val="center"/>
                </w:tcPr>
                <w:p w14:paraId="4E4B8F71">
                  <w:pPr>
                    <w:snapToGrid w:val="0"/>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基本情况</w:t>
                  </w:r>
                </w:p>
              </w:tc>
            </w:tr>
            <w:tr w14:paraId="1839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noWrap w:val="0"/>
                  <w:vAlign w:val="center"/>
                </w:tcPr>
                <w:p w14:paraId="64E31EEA">
                  <w:pPr>
                    <w:snapToGrid w:val="0"/>
                    <w:jc w:val="both"/>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1</w:t>
                  </w:r>
                </w:p>
              </w:tc>
              <w:tc>
                <w:tcPr>
                  <w:tcW w:w="427" w:type="pct"/>
                  <w:noWrap w:val="0"/>
                  <w:vAlign w:val="center"/>
                </w:tcPr>
                <w:p w14:paraId="6D4B0C51">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声环境</w:t>
                  </w:r>
                </w:p>
              </w:tc>
              <w:tc>
                <w:tcPr>
                  <w:tcW w:w="4305" w:type="pct"/>
                  <w:gridSpan w:val="4"/>
                  <w:noWrap w:val="0"/>
                  <w:vAlign w:val="center"/>
                </w:tcPr>
                <w:p w14:paraId="56EB2552">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200m范围内无声环境保护目标</w:t>
                  </w:r>
                </w:p>
              </w:tc>
            </w:tr>
            <w:tr w14:paraId="1EE5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noWrap w:val="0"/>
                  <w:vAlign w:val="center"/>
                </w:tcPr>
                <w:p w14:paraId="5BD884E5">
                  <w:pPr>
                    <w:snapToGrid w:val="0"/>
                    <w:jc w:val="both"/>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2</w:t>
                  </w:r>
                </w:p>
              </w:tc>
              <w:tc>
                <w:tcPr>
                  <w:tcW w:w="427" w:type="pct"/>
                  <w:noWrap w:val="0"/>
                  <w:vAlign w:val="center"/>
                </w:tcPr>
                <w:p w14:paraId="65D36AF0">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环境</w:t>
                  </w:r>
                </w:p>
                <w:p w14:paraId="3F436735">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空气</w:t>
                  </w:r>
                </w:p>
              </w:tc>
              <w:tc>
                <w:tcPr>
                  <w:tcW w:w="4305" w:type="pct"/>
                  <w:gridSpan w:val="4"/>
                  <w:noWrap w:val="0"/>
                  <w:vAlign w:val="center"/>
                </w:tcPr>
                <w:p w14:paraId="3CB2D5BE">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500m范围内无环境空气保护目标</w:t>
                  </w:r>
                </w:p>
              </w:tc>
            </w:tr>
            <w:tr w14:paraId="2396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noWrap w:val="0"/>
                  <w:vAlign w:val="center"/>
                </w:tcPr>
                <w:p w14:paraId="3E105682">
                  <w:pPr>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Cs w:val="21"/>
                      <w:highlight w:val="none"/>
                      <w:vertAlign w:val="baseline"/>
                      <w:lang w:val="en-US" w:eastAsia="zh-CN"/>
                    </w:rPr>
                    <w:t>3</w:t>
                  </w:r>
                </w:p>
              </w:tc>
              <w:tc>
                <w:tcPr>
                  <w:tcW w:w="427" w:type="pct"/>
                  <w:vMerge w:val="restart"/>
                  <w:noWrap w:val="0"/>
                  <w:vAlign w:val="center"/>
                </w:tcPr>
                <w:p w14:paraId="01E7EBD3">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海洋生态、环境风险</w:t>
                  </w:r>
                </w:p>
              </w:tc>
              <w:tc>
                <w:tcPr>
                  <w:tcW w:w="967" w:type="pct"/>
                  <w:noWrap w:val="0"/>
                  <w:vAlign w:val="center"/>
                </w:tcPr>
                <w:p w14:paraId="57AC2E93">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金鼓江上游红树林区</w:t>
                  </w:r>
                </w:p>
              </w:tc>
              <w:tc>
                <w:tcPr>
                  <w:tcW w:w="513" w:type="pct"/>
                  <w:noWrap w:val="0"/>
                  <w:vAlign w:val="center"/>
                </w:tcPr>
                <w:p w14:paraId="3EE7F454">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北/3.5km</w:t>
                  </w:r>
                </w:p>
              </w:tc>
              <w:tc>
                <w:tcPr>
                  <w:tcW w:w="565" w:type="pct"/>
                  <w:noWrap w:val="0"/>
                  <w:vAlign w:val="center"/>
                </w:tcPr>
                <w:p w14:paraId="24DE4324">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生物多样性维持和恢复红树一类水质</w:t>
                  </w:r>
                </w:p>
              </w:tc>
              <w:tc>
                <w:tcPr>
                  <w:tcW w:w="2259" w:type="pct"/>
                  <w:noWrap w:val="0"/>
                  <w:vAlign w:val="center"/>
                </w:tcPr>
                <w:p w14:paraId="3CFFE079">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 xml:space="preserve">钦州湾岸线曲折，港汊众多，岛屿棋 布，红树林滩涂发育，区划金鼓江上游 </w:t>
                  </w:r>
                  <w:r>
                    <w:rPr>
                      <w:rFonts w:hint="default" w:ascii="Times New Roman" w:hAnsi="Times New Roman" w:eastAsia="宋体" w:cs="Times New Roman"/>
                      <w:b w:val="0"/>
                      <w:bCs w:val="0"/>
                      <w:color w:val="auto"/>
                      <w:szCs w:val="21"/>
                      <w:highlight w:val="none"/>
                      <w:vertAlign w:val="baseline"/>
                      <w:lang w:val="en-US" w:eastAsia="zh-CN"/>
                    </w:rPr>
                    <w:t>200 hm</w:t>
                  </w:r>
                  <w:r>
                    <w:rPr>
                      <w:rFonts w:hint="default" w:ascii="Times New Roman" w:hAnsi="Times New Roman" w:eastAsia="宋体" w:cs="Times New Roman"/>
                      <w:b w:val="0"/>
                      <w:bCs w:val="0"/>
                      <w:color w:val="auto"/>
                      <w:szCs w:val="21"/>
                      <w:highlight w:val="none"/>
                      <w:vertAlign w:val="superscript"/>
                      <w:lang w:val="en-US" w:eastAsia="zh-CN"/>
                    </w:rPr>
                    <w:t>2</w:t>
                  </w:r>
                  <w:r>
                    <w:rPr>
                      <w:rFonts w:hint="eastAsia" w:ascii="Times New Roman" w:hAnsi="Times New Roman" w:eastAsia="宋体" w:cs="Times New Roman"/>
                      <w:b w:val="0"/>
                      <w:bCs w:val="0"/>
                      <w:color w:val="auto"/>
                      <w:szCs w:val="21"/>
                      <w:highlight w:val="none"/>
                      <w:vertAlign w:val="baseline"/>
                      <w:lang w:val="en-US" w:eastAsia="zh-CN"/>
                    </w:rPr>
                    <w:t>为红树林区，加强红树林 保护和恢复，维护海湾生态平衡。</w:t>
                  </w:r>
                </w:p>
              </w:tc>
            </w:tr>
            <w:tr w14:paraId="50BD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noWrap w:val="0"/>
                  <w:vAlign w:val="center"/>
                </w:tcPr>
                <w:p w14:paraId="78E99294">
                  <w:pPr>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Cs w:val="21"/>
                      <w:highlight w:val="none"/>
                      <w:vertAlign w:val="baseline"/>
                      <w:lang w:val="en-US" w:eastAsia="zh-CN"/>
                    </w:rPr>
                    <w:t>4</w:t>
                  </w:r>
                </w:p>
              </w:tc>
              <w:tc>
                <w:tcPr>
                  <w:tcW w:w="427" w:type="pct"/>
                  <w:vMerge w:val="continue"/>
                  <w:noWrap w:val="0"/>
                  <w:vAlign w:val="center"/>
                </w:tcPr>
                <w:p w14:paraId="67BDA807">
                  <w:pPr>
                    <w:snapToGrid w:val="0"/>
                    <w:jc w:val="center"/>
                    <w:rPr>
                      <w:rFonts w:hint="eastAsia" w:ascii="Times New Roman" w:hAnsi="Times New Roman" w:eastAsia="宋体" w:cs="Times New Roman"/>
                      <w:b w:val="0"/>
                      <w:bCs w:val="0"/>
                      <w:color w:val="auto"/>
                      <w:szCs w:val="21"/>
                      <w:highlight w:val="none"/>
                      <w:vertAlign w:val="baseline"/>
                      <w:lang w:val="en-US" w:eastAsia="zh-CN"/>
                    </w:rPr>
                  </w:pPr>
                </w:p>
              </w:tc>
              <w:tc>
                <w:tcPr>
                  <w:tcW w:w="967" w:type="pct"/>
                  <w:noWrap w:val="0"/>
                  <w:vAlign w:val="center"/>
                </w:tcPr>
                <w:p w14:paraId="7ADE2DC8">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茅尾海红树林自然保护区-七十二泾片区</w:t>
                  </w:r>
                </w:p>
              </w:tc>
              <w:tc>
                <w:tcPr>
                  <w:tcW w:w="513" w:type="pct"/>
                  <w:noWrap w:val="0"/>
                  <w:vAlign w:val="center"/>
                </w:tcPr>
                <w:p w14:paraId="16550EF7">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西北/5.5km</w:t>
                  </w:r>
                </w:p>
              </w:tc>
              <w:tc>
                <w:tcPr>
                  <w:tcW w:w="565" w:type="pct"/>
                  <w:noWrap w:val="0"/>
                  <w:vAlign w:val="center"/>
                </w:tcPr>
                <w:p w14:paraId="6C124374">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一类水质</w:t>
                  </w:r>
                </w:p>
              </w:tc>
              <w:tc>
                <w:tcPr>
                  <w:tcW w:w="2259" w:type="pct"/>
                  <w:noWrap w:val="0"/>
                  <w:vAlign w:val="center"/>
                </w:tcPr>
                <w:p w14:paraId="57EDB6D9">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保护区范围涉及康熙岭片、坚心围片、七十二泾片和大风江片4个片区，地理坐标为东经 108°28′35″—108°54′26″、北纬21°44′13″—21°53′49″。保护区总面积5010.05公顷，其中核心区面积2153.2公顷、缓冲区面积1386.13公顷、实验区面积1470.72公顷。七十二泾片区为保护区的其中一部分。</w:t>
                  </w:r>
                </w:p>
              </w:tc>
            </w:tr>
            <w:tr w14:paraId="3B7C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noWrap w:val="0"/>
                  <w:vAlign w:val="center"/>
                </w:tcPr>
                <w:p w14:paraId="535AE4D0">
                  <w:pPr>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Cs w:val="21"/>
                      <w:highlight w:val="none"/>
                      <w:vertAlign w:val="baseline"/>
                      <w:lang w:val="en-US" w:eastAsia="zh-CN"/>
                    </w:rPr>
                    <w:t>5</w:t>
                  </w:r>
                </w:p>
              </w:tc>
              <w:tc>
                <w:tcPr>
                  <w:tcW w:w="427" w:type="pct"/>
                  <w:vMerge w:val="continue"/>
                  <w:noWrap w:val="0"/>
                  <w:vAlign w:val="center"/>
                </w:tcPr>
                <w:p w14:paraId="0D023BD4">
                  <w:pPr>
                    <w:snapToGrid w:val="0"/>
                    <w:jc w:val="center"/>
                    <w:rPr>
                      <w:rFonts w:hint="eastAsia" w:ascii="Times New Roman" w:hAnsi="Times New Roman" w:eastAsia="宋体" w:cs="Times New Roman"/>
                      <w:b w:val="0"/>
                      <w:bCs w:val="0"/>
                      <w:color w:val="auto"/>
                      <w:szCs w:val="21"/>
                      <w:highlight w:val="none"/>
                      <w:vertAlign w:val="baseline"/>
                      <w:lang w:val="en-US" w:eastAsia="zh-CN"/>
                    </w:rPr>
                  </w:pPr>
                </w:p>
              </w:tc>
              <w:tc>
                <w:tcPr>
                  <w:tcW w:w="967" w:type="pct"/>
                  <w:noWrap w:val="0"/>
                  <w:vAlign w:val="center"/>
                </w:tcPr>
                <w:p w14:paraId="2AAD125B">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七十二泾旅游休闲娱乐区</w:t>
                  </w:r>
                </w:p>
              </w:tc>
              <w:tc>
                <w:tcPr>
                  <w:tcW w:w="513" w:type="pct"/>
                  <w:noWrap w:val="0"/>
                  <w:vAlign w:val="center"/>
                </w:tcPr>
                <w:p w14:paraId="384112A1">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西北</w:t>
                  </w:r>
                </w:p>
                <w:p w14:paraId="0D43A97C">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/6.7km</w:t>
                  </w:r>
                </w:p>
              </w:tc>
              <w:tc>
                <w:tcPr>
                  <w:tcW w:w="565" w:type="pct"/>
                  <w:noWrap w:val="0"/>
                  <w:vAlign w:val="center"/>
                </w:tcPr>
                <w:p w14:paraId="47CEACFD">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二类水质</w:t>
                  </w:r>
                </w:p>
              </w:tc>
              <w:tc>
                <w:tcPr>
                  <w:tcW w:w="2259" w:type="pct"/>
                  <w:noWrap w:val="0"/>
                  <w:vAlign w:val="center"/>
                </w:tcPr>
                <w:p w14:paraId="531C3DC0">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 xml:space="preserve">茅尾海东岸七十二泾海域，包括东经 </w:t>
                  </w:r>
                  <w:r>
                    <w:rPr>
                      <w:rFonts w:hint="default" w:ascii="Times New Roman" w:hAnsi="Times New Roman" w:eastAsia="宋体" w:cs="Times New Roman"/>
                      <w:b w:val="0"/>
                      <w:bCs w:val="0"/>
                      <w:color w:val="auto"/>
                      <w:szCs w:val="21"/>
                      <w:highlight w:val="none"/>
                      <w:vertAlign w:val="baseline"/>
                      <w:lang w:val="en-US" w:eastAsia="zh-CN"/>
                    </w:rPr>
                    <w:t>108°32′55″~108°35′47″</w:t>
                  </w:r>
                  <w:r>
                    <w:rPr>
                      <w:rFonts w:hint="eastAsia" w:ascii="Times New Roman" w:hAnsi="Times New Roman" w:eastAsia="宋体" w:cs="Times New Roman"/>
                      <w:b w:val="0"/>
                      <w:bCs w:val="0"/>
                      <w:color w:val="auto"/>
                      <w:szCs w:val="21"/>
                      <w:highlight w:val="none"/>
                      <w:vertAlign w:val="baseline"/>
                      <w:lang w:val="en-US" w:eastAsia="zh-CN"/>
                    </w:rPr>
                    <w:t>，北纬</w:t>
                  </w:r>
                  <w:r>
                    <w:rPr>
                      <w:rFonts w:hint="default" w:ascii="Times New Roman" w:hAnsi="Times New Roman" w:eastAsia="宋体" w:cs="Times New Roman"/>
                      <w:b w:val="0"/>
                      <w:bCs w:val="0"/>
                      <w:color w:val="auto"/>
                      <w:szCs w:val="21"/>
                      <w:highlight w:val="none"/>
                      <w:vertAlign w:val="baseline"/>
                      <w:lang w:val="en-US" w:eastAsia="zh-CN"/>
                    </w:rPr>
                    <w:t>21°44′28″~21°47′53″</w:t>
                  </w:r>
                </w:p>
              </w:tc>
            </w:tr>
            <w:tr w14:paraId="3C4C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noWrap w:val="0"/>
                  <w:vAlign w:val="center"/>
                </w:tcPr>
                <w:p w14:paraId="78D72646">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6</w:t>
                  </w:r>
                </w:p>
              </w:tc>
              <w:tc>
                <w:tcPr>
                  <w:tcW w:w="427" w:type="pct"/>
                  <w:vMerge w:val="continue"/>
                  <w:noWrap w:val="0"/>
                  <w:vAlign w:val="center"/>
                </w:tcPr>
                <w:p w14:paraId="6D2375A4">
                  <w:pPr>
                    <w:snapToGrid w:val="0"/>
                    <w:jc w:val="center"/>
                    <w:rPr>
                      <w:rFonts w:hint="eastAsia" w:ascii="Times New Roman" w:hAnsi="Times New Roman" w:eastAsia="宋体" w:cs="Times New Roman"/>
                      <w:b w:val="0"/>
                      <w:bCs w:val="0"/>
                      <w:color w:val="auto"/>
                      <w:szCs w:val="21"/>
                      <w:highlight w:val="none"/>
                      <w:vertAlign w:val="baseline"/>
                      <w:lang w:val="en-US" w:eastAsia="zh-CN"/>
                    </w:rPr>
                  </w:pPr>
                </w:p>
              </w:tc>
              <w:tc>
                <w:tcPr>
                  <w:tcW w:w="967" w:type="pct"/>
                  <w:noWrap w:val="0"/>
                  <w:vAlign w:val="center"/>
                </w:tcPr>
                <w:p w14:paraId="5FDE2D6C">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钦州港青菜头南浅海滩涂养殖区</w:t>
                  </w:r>
                </w:p>
              </w:tc>
              <w:tc>
                <w:tcPr>
                  <w:tcW w:w="513" w:type="pct"/>
                  <w:noWrap w:val="0"/>
                  <w:vAlign w:val="center"/>
                </w:tcPr>
                <w:p w14:paraId="07CF4F11">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西南/3.8km</w:t>
                  </w:r>
                </w:p>
              </w:tc>
              <w:tc>
                <w:tcPr>
                  <w:tcW w:w="565" w:type="pct"/>
                  <w:noWrap w:val="0"/>
                  <w:vAlign w:val="center"/>
                </w:tcPr>
                <w:p w14:paraId="28FD5AA1">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二类水质</w:t>
                  </w:r>
                </w:p>
              </w:tc>
              <w:tc>
                <w:tcPr>
                  <w:tcW w:w="2259" w:type="pct"/>
                  <w:noWrap w:val="0"/>
                  <w:vAlign w:val="center"/>
                </w:tcPr>
                <w:p w14:paraId="575DBF79">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西航道以东，传统中航道以西，北至 青菜头，南至伞沙尾海域（</w:t>
                  </w:r>
                  <w:r>
                    <w:rPr>
                      <w:rFonts w:hint="default" w:ascii="Times New Roman" w:hAnsi="Times New Roman" w:eastAsia="宋体" w:cs="Times New Roman"/>
                      <w:b w:val="0"/>
                      <w:bCs w:val="0"/>
                      <w:color w:val="auto"/>
                      <w:szCs w:val="21"/>
                      <w:highlight w:val="none"/>
                      <w:vertAlign w:val="baseline"/>
                      <w:lang w:val="en-US" w:eastAsia="zh-CN"/>
                    </w:rPr>
                    <w:t>108°35′24″</w:t>
                  </w:r>
                  <w:r>
                    <w:rPr>
                      <w:rFonts w:hint="eastAsia" w:ascii="Times New Roman" w:hAnsi="Times New Roman" w:eastAsia="宋体" w:cs="Times New Roman"/>
                      <w:b w:val="0"/>
                      <w:bCs w:val="0"/>
                      <w:color w:val="auto"/>
                      <w:szCs w:val="21"/>
                      <w:highlight w:val="none"/>
                      <w:vertAlign w:val="baseline"/>
                      <w:lang w:val="en-US" w:eastAsia="zh-CN"/>
                    </w:rPr>
                    <w:t>；</w:t>
                  </w:r>
                  <w:r>
                    <w:rPr>
                      <w:rFonts w:hint="default" w:ascii="Times New Roman" w:hAnsi="Times New Roman" w:eastAsia="宋体" w:cs="Times New Roman"/>
                      <w:b w:val="0"/>
                      <w:bCs w:val="0"/>
                      <w:color w:val="auto"/>
                      <w:szCs w:val="21"/>
                      <w:highlight w:val="none"/>
                      <w:vertAlign w:val="baseline"/>
                      <w:lang w:val="en-US" w:eastAsia="zh-CN"/>
                    </w:rPr>
                    <w:t>108°37′56″</w:t>
                  </w:r>
                  <w:r>
                    <w:rPr>
                      <w:rFonts w:hint="eastAsia" w:ascii="Times New Roman" w:hAnsi="Times New Roman" w:eastAsia="宋体" w:cs="Times New Roman"/>
                      <w:b w:val="0"/>
                      <w:bCs w:val="0"/>
                      <w:color w:val="auto"/>
                      <w:szCs w:val="21"/>
                      <w:highlight w:val="none"/>
                      <w:vertAlign w:val="baseline"/>
                      <w:lang w:val="en-US" w:eastAsia="zh-CN"/>
                    </w:rPr>
                    <w:t>；</w:t>
                  </w:r>
                  <w:r>
                    <w:rPr>
                      <w:rFonts w:hint="default" w:ascii="Times New Roman" w:hAnsi="Times New Roman" w:eastAsia="宋体" w:cs="Times New Roman"/>
                      <w:b w:val="0"/>
                      <w:bCs w:val="0"/>
                      <w:color w:val="auto"/>
                      <w:szCs w:val="21"/>
                      <w:highlight w:val="none"/>
                      <w:vertAlign w:val="baseline"/>
                      <w:lang w:val="en-US" w:eastAsia="zh-CN"/>
                    </w:rPr>
                    <w:t>21°34′ 09″</w:t>
                  </w:r>
                  <w:r>
                    <w:rPr>
                      <w:rFonts w:hint="eastAsia" w:ascii="Times New Roman" w:hAnsi="Times New Roman" w:eastAsia="宋体" w:cs="Times New Roman"/>
                      <w:b w:val="0"/>
                      <w:bCs w:val="0"/>
                      <w:color w:val="auto"/>
                      <w:szCs w:val="21"/>
                      <w:highlight w:val="none"/>
                      <w:vertAlign w:val="baseline"/>
                      <w:lang w:val="en-US" w:eastAsia="zh-CN"/>
                    </w:rPr>
                    <w:t xml:space="preserve">； </w:t>
                  </w:r>
                  <w:r>
                    <w:rPr>
                      <w:rFonts w:hint="default" w:ascii="Times New Roman" w:hAnsi="Times New Roman" w:eastAsia="宋体" w:cs="Times New Roman"/>
                      <w:b w:val="0"/>
                      <w:bCs w:val="0"/>
                      <w:color w:val="auto"/>
                      <w:szCs w:val="21"/>
                      <w:highlight w:val="none"/>
                      <w:vertAlign w:val="baseline"/>
                      <w:lang w:val="en-US" w:eastAsia="zh-CN"/>
                    </w:rPr>
                    <w:t>21°40′32″</w:t>
                  </w:r>
                  <w:r>
                    <w:rPr>
                      <w:rFonts w:hint="eastAsia" w:ascii="Times New Roman" w:hAnsi="Times New Roman" w:eastAsia="宋体" w:cs="Times New Roman"/>
                      <w:b w:val="0"/>
                      <w:bCs w:val="0"/>
                      <w:color w:val="auto"/>
                      <w:szCs w:val="21"/>
                      <w:highlight w:val="none"/>
                      <w:vertAlign w:val="baseline"/>
                      <w:lang w:val="en-US" w:eastAsia="zh-CN"/>
                    </w:rPr>
                    <w:t>）</w:t>
                  </w:r>
                </w:p>
              </w:tc>
            </w:tr>
            <w:tr w14:paraId="1685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noWrap w:val="0"/>
                  <w:vAlign w:val="center"/>
                </w:tcPr>
                <w:p w14:paraId="4B98EC61">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7</w:t>
                  </w:r>
                </w:p>
              </w:tc>
              <w:tc>
                <w:tcPr>
                  <w:tcW w:w="427" w:type="pct"/>
                  <w:vMerge w:val="continue"/>
                  <w:noWrap w:val="0"/>
                  <w:vAlign w:val="center"/>
                </w:tcPr>
                <w:p w14:paraId="3CD976DA">
                  <w:pPr>
                    <w:snapToGrid w:val="0"/>
                    <w:jc w:val="center"/>
                    <w:rPr>
                      <w:rFonts w:hint="eastAsia" w:ascii="Times New Roman" w:hAnsi="Times New Roman" w:eastAsia="宋体" w:cs="Times New Roman"/>
                      <w:b w:val="0"/>
                      <w:bCs w:val="0"/>
                      <w:color w:val="auto"/>
                      <w:szCs w:val="21"/>
                      <w:highlight w:val="none"/>
                      <w:vertAlign w:val="baseline"/>
                      <w:lang w:val="en-US" w:eastAsia="zh-CN"/>
                    </w:rPr>
                  </w:pPr>
                </w:p>
              </w:tc>
              <w:tc>
                <w:tcPr>
                  <w:tcW w:w="967" w:type="pct"/>
                  <w:noWrap w:val="0"/>
                  <w:vAlign w:val="center"/>
                </w:tcPr>
                <w:p w14:paraId="3DC45ED7">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七十二泾重要滨海旅游区限制类红线区</w:t>
                  </w:r>
                </w:p>
              </w:tc>
              <w:tc>
                <w:tcPr>
                  <w:tcW w:w="513" w:type="pct"/>
                  <w:noWrap w:val="0"/>
                  <w:vAlign w:val="center"/>
                </w:tcPr>
                <w:p w14:paraId="3E390D28">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西北</w:t>
                  </w:r>
                </w:p>
                <w:p w14:paraId="704C92E4">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6.8km</w:t>
                  </w:r>
                </w:p>
              </w:tc>
              <w:tc>
                <w:tcPr>
                  <w:tcW w:w="565" w:type="pct"/>
                  <w:noWrap w:val="0"/>
                  <w:vAlign w:val="center"/>
                </w:tcPr>
                <w:p w14:paraId="77D9138A">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二类水质</w:t>
                  </w:r>
                </w:p>
              </w:tc>
              <w:tc>
                <w:tcPr>
                  <w:tcW w:w="2259" w:type="pct"/>
                  <w:noWrap w:val="0"/>
                  <w:vAlign w:val="center"/>
                </w:tcPr>
                <w:p w14:paraId="0B38A39D">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生态红线区范围为以重要旅游区向海扩展100米的区域。</w:t>
                  </w:r>
                </w:p>
              </w:tc>
            </w:tr>
            <w:tr w14:paraId="077E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noWrap w:val="0"/>
                  <w:vAlign w:val="center"/>
                </w:tcPr>
                <w:p w14:paraId="102C31FF">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8</w:t>
                  </w:r>
                </w:p>
              </w:tc>
              <w:tc>
                <w:tcPr>
                  <w:tcW w:w="427" w:type="pct"/>
                  <w:vMerge w:val="continue"/>
                  <w:noWrap w:val="0"/>
                  <w:vAlign w:val="center"/>
                </w:tcPr>
                <w:p w14:paraId="5F8A16CF">
                  <w:pPr>
                    <w:snapToGrid w:val="0"/>
                    <w:jc w:val="center"/>
                    <w:rPr>
                      <w:rFonts w:hint="eastAsia" w:ascii="Times New Roman" w:hAnsi="Times New Roman" w:eastAsia="宋体" w:cs="Times New Roman"/>
                      <w:b w:val="0"/>
                      <w:bCs w:val="0"/>
                      <w:color w:val="auto"/>
                      <w:szCs w:val="21"/>
                      <w:highlight w:val="none"/>
                      <w:vertAlign w:val="baseline"/>
                      <w:lang w:val="en-US" w:eastAsia="zh-CN"/>
                    </w:rPr>
                  </w:pPr>
                </w:p>
              </w:tc>
              <w:tc>
                <w:tcPr>
                  <w:tcW w:w="967" w:type="pct"/>
                  <w:noWrap w:val="0"/>
                  <w:vAlign w:val="center"/>
                </w:tcPr>
                <w:p w14:paraId="7BA394FD">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广西茅尾海红树林保护区限制类红线区</w:t>
                  </w:r>
                </w:p>
              </w:tc>
              <w:tc>
                <w:tcPr>
                  <w:tcW w:w="513" w:type="pct"/>
                  <w:noWrap w:val="0"/>
                  <w:vAlign w:val="center"/>
                </w:tcPr>
                <w:p w14:paraId="7A914D2A">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西北/5.5km</w:t>
                  </w:r>
                </w:p>
              </w:tc>
              <w:tc>
                <w:tcPr>
                  <w:tcW w:w="565" w:type="pct"/>
                  <w:noWrap w:val="0"/>
                  <w:vAlign w:val="center"/>
                </w:tcPr>
                <w:p w14:paraId="5076F627">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一类水质</w:t>
                  </w:r>
                </w:p>
              </w:tc>
              <w:tc>
                <w:tcPr>
                  <w:tcW w:w="2259" w:type="pct"/>
                  <w:noWrap w:val="0"/>
                  <w:vAlign w:val="center"/>
                </w:tcPr>
                <w:p w14:paraId="7B0DBA42">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自然保护区范围内，除已划定为自然保护区禁止类红线区以外区域划定为自然保护区限制类红线区。</w:t>
                  </w:r>
                </w:p>
              </w:tc>
            </w:tr>
            <w:tr w14:paraId="5A6C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noWrap w:val="0"/>
                  <w:vAlign w:val="center"/>
                </w:tcPr>
                <w:p w14:paraId="79B3E6D4">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9</w:t>
                  </w:r>
                </w:p>
              </w:tc>
              <w:tc>
                <w:tcPr>
                  <w:tcW w:w="427" w:type="pct"/>
                  <w:vMerge w:val="continue"/>
                  <w:noWrap w:val="0"/>
                  <w:vAlign w:val="center"/>
                </w:tcPr>
                <w:p w14:paraId="29783979">
                  <w:pPr>
                    <w:snapToGrid w:val="0"/>
                    <w:jc w:val="center"/>
                    <w:rPr>
                      <w:rFonts w:hint="eastAsia" w:ascii="Times New Roman" w:hAnsi="Times New Roman" w:eastAsia="宋体" w:cs="Times New Roman"/>
                      <w:b w:val="0"/>
                      <w:bCs w:val="0"/>
                      <w:color w:val="auto"/>
                      <w:szCs w:val="21"/>
                      <w:highlight w:val="none"/>
                      <w:vertAlign w:val="baseline"/>
                      <w:lang w:val="en-US" w:eastAsia="zh-CN"/>
                    </w:rPr>
                  </w:pPr>
                </w:p>
              </w:tc>
              <w:tc>
                <w:tcPr>
                  <w:tcW w:w="967" w:type="pct"/>
                  <w:noWrap w:val="0"/>
                  <w:vAlign w:val="center"/>
                </w:tcPr>
                <w:p w14:paraId="06E91D72">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u w:val="single"/>
                      <w:lang w:val="en-US" w:eastAsia="zh-CN" w:bidi="ar"/>
                    </w:rPr>
                    <w:t>广西</w:t>
                  </w:r>
                  <w:r>
                    <w:rPr>
                      <w:rFonts w:hint="eastAsia" w:ascii="Times New Roman" w:hAnsi="Times New Roman" w:eastAsia="宋体" w:cs="Times New Roman"/>
                      <w:b w:val="0"/>
                      <w:bCs w:val="0"/>
                      <w:color w:val="auto"/>
                      <w:kern w:val="0"/>
                      <w:sz w:val="21"/>
                      <w:szCs w:val="21"/>
                      <w:highlight w:val="none"/>
                      <w:u w:val="single"/>
                      <w:lang w:val="en-US" w:eastAsia="zh-CN" w:bidi="ar"/>
                    </w:rPr>
                    <w:t>钦州</w:t>
                  </w:r>
                  <w:r>
                    <w:rPr>
                      <w:rFonts w:hint="default" w:ascii="Times New Roman" w:hAnsi="Times New Roman" w:eastAsia="宋体" w:cs="Times New Roman"/>
                      <w:b w:val="0"/>
                      <w:bCs w:val="0"/>
                      <w:color w:val="auto"/>
                      <w:kern w:val="0"/>
                      <w:sz w:val="21"/>
                      <w:szCs w:val="21"/>
                      <w:highlight w:val="none"/>
                      <w:u w:val="single"/>
                      <w:lang w:val="en-US" w:eastAsia="zh-CN" w:bidi="ar"/>
                    </w:rPr>
                    <w:t>茅尾海红树林自治区级重要湿地</w:t>
                  </w:r>
                </w:p>
              </w:tc>
              <w:tc>
                <w:tcPr>
                  <w:tcW w:w="513" w:type="pct"/>
                  <w:noWrap w:val="0"/>
                  <w:vAlign w:val="center"/>
                </w:tcPr>
                <w:p w14:paraId="2CFF77EE">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u w:val="single"/>
                      <w:vertAlign w:val="baseline"/>
                      <w:lang w:val="en-US" w:eastAsia="zh-CN"/>
                    </w:rPr>
                    <w:t>西北/5.0km</w:t>
                  </w:r>
                </w:p>
              </w:tc>
              <w:tc>
                <w:tcPr>
                  <w:tcW w:w="565" w:type="pct"/>
                  <w:noWrap w:val="0"/>
                  <w:vAlign w:val="center"/>
                </w:tcPr>
                <w:p w14:paraId="3CC5636B">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u w:val="single"/>
                      <w:vertAlign w:val="baseline"/>
                      <w:lang w:val="en-US" w:eastAsia="zh-CN"/>
                    </w:rPr>
                    <w:t>一类水质</w:t>
                  </w:r>
                </w:p>
              </w:tc>
              <w:tc>
                <w:tcPr>
                  <w:tcW w:w="2259" w:type="pct"/>
                  <w:noWrap w:val="0"/>
                  <w:vAlign w:val="center"/>
                </w:tcPr>
                <w:p w14:paraId="0CDF2655">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u w:val="single"/>
                      <w:vertAlign w:val="baseline"/>
                      <w:lang w:val="en-US" w:eastAsia="zh-CN"/>
                    </w:rPr>
                    <w:t>湿地总面积约4908.63hm</w:t>
                  </w:r>
                  <w:r>
                    <w:rPr>
                      <w:rFonts w:hint="eastAsia" w:ascii="Times New Roman" w:hAnsi="Times New Roman" w:eastAsia="宋体" w:cs="Times New Roman"/>
                      <w:b w:val="0"/>
                      <w:bCs w:val="0"/>
                      <w:color w:val="auto"/>
                      <w:sz w:val="21"/>
                      <w:szCs w:val="21"/>
                      <w:highlight w:val="none"/>
                      <w:u w:val="single"/>
                      <w:vertAlign w:val="superscript"/>
                      <w:lang w:val="en-US" w:eastAsia="zh-CN"/>
                    </w:rPr>
                    <w:t>2</w:t>
                  </w:r>
                  <w:r>
                    <w:rPr>
                      <w:rFonts w:hint="eastAsia" w:ascii="Times New Roman" w:hAnsi="Times New Roman" w:eastAsia="宋体" w:cs="Times New Roman"/>
                      <w:b w:val="0"/>
                      <w:bCs w:val="0"/>
                      <w:color w:val="auto"/>
                      <w:sz w:val="21"/>
                      <w:szCs w:val="21"/>
                      <w:highlight w:val="none"/>
                      <w:u w:val="single"/>
                      <w:vertAlign w:val="baseline"/>
                      <w:lang w:val="en-US" w:eastAsia="zh-CN"/>
                    </w:rPr>
                    <w:t>，湿地类型为近海与海岸湿地</w:t>
                  </w:r>
                </w:p>
              </w:tc>
            </w:tr>
          </w:tbl>
          <w:p w14:paraId="18EA5A63">
            <w:pPr>
              <w:spacing w:line="360" w:lineRule="auto"/>
              <w:ind w:firstLine="482" w:firstLineChars="200"/>
              <w:rPr>
                <w:rFonts w:hint="eastAsia"/>
                <w:color w:val="auto"/>
                <w:sz w:val="24"/>
                <w:highlight w:val="none"/>
              </w:rPr>
            </w:pPr>
            <w:r>
              <w:rPr>
                <w:rFonts w:hint="eastAsia" w:ascii="Times New Roman" w:hAnsi="Times New Roman" w:eastAsia="宋体" w:cs="Times New Roman"/>
                <w:b/>
                <w:bCs/>
                <w:color w:val="auto"/>
                <w:sz w:val="24"/>
                <w:highlight w:val="none"/>
                <w:lang w:val="en-US" w:eastAsia="zh-CN"/>
              </w:rPr>
              <w:t>4. 环境风险保护目标：</w:t>
            </w:r>
            <w:r>
              <w:rPr>
                <w:rFonts w:hint="eastAsia" w:ascii="Times New Roman" w:hAnsi="Times New Roman" w:eastAsia="宋体" w:cs="Times New Roman"/>
                <w:color w:val="auto"/>
                <w:sz w:val="24"/>
                <w:highlight w:val="none"/>
                <w:lang w:val="en-US" w:eastAsia="zh-CN"/>
              </w:rPr>
              <w:t>项目环境风险保护目标同海洋生态环境保护目标，金鼓江上游红树林区、茅尾海红树林自然保护区七十二泾片、七十二泾旅游休闲娱乐区、钦州港青菜头南浅海滩涂养殖区、七十二泾重要滨海旅游区限制类红线区、</w:t>
            </w:r>
            <w:r>
              <w:rPr>
                <w:rFonts w:hint="eastAsia" w:ascii="Times New Roman" w:hAnsi="Times New Roman" w:eastAsia="宋体" w:cs="Times New Roman"/>
                <w:color w:val="auto"/>
                <w:kern w:val="0"/>
                <w:sz w:val="24"/>
                <w:szCs w:val="24"/>
                <w:highlight w:val="none"/>
                <w:lang w:val="en-US" w:eastAsia="zh-CN" w:bidi="ar"/>
              </w:rPr>
              <w:t>广西茅尾海红树林保护区限制类红线区，</w:t>
            </w:r>
            <w:r>
              <w:rPr>
                <w:rFonts w:hint="default" w:ascii="Times New Roman" w:hAnsi="Times New Roman" w:eastAsia="宋体" w:cs="Times New Roman"/>
                <w:b w:val="0"/>
                <w:bCs w:val="0"/>
                <w:color w:val="auto"/>
                <w:kern w:val="0"/>
                <w:sz w:val="24"/>
                <w:szCs w:val="24"/>
                <w:highlight w:val="none"/>
                <w:u w:val="single"/>
                <w:lang w:val="en-US" w:eastAsia="zh-CN" w:bidi="ar"/>
              </w:rPr>
              <w:t>广西</w:t>
            </w:r>
            <w:r>
              <w:rPr>
                <w:rFonts w:hint="eastAsia" w:ascii="Times New Roman" w:hAnsi="Times New Roman" w:eastAsia="宋体" w:cs="Times New Roman"/>
                <w:b w:val="0"/>
                <w:bCs w:val="0"/>
                <w:color w:val="auto"/>
                <w:kern w:val="0"/>
                <w:sz w:val="24"/>
                <w:szCs w:val="24"/>
                <w:highlight w:val="none"/>
                <w:u w:val="single"/>
                <w:lang w:val="en-US" w:eastAsia="zh-CN" w:bidi="ar"/>
              </w:rPr>
              <w:t>钦州</w:t>
            </w:r>
            <w:r>
              <w:rPr>
                <w:rFonts w:hint="default" w:ascii="Times New Roman" w:hAnsi="Times New Roman" w:eastAsia="宋体" w:cs="Times New Roman"/>
                <w:b w:val="0"/>
                <w:bCs w:val="0"/>
                <w:color w:val="auto"/>
                <w:kern w:val="0"/>
                <w:sz w:val="24"/>
                <w:szCs w:val="24"/>
                <w:highlight w:val="none"/>
                <w:u w:val="single"/>
                <w:lang w:val="en-US" w:eastAsia="zh-CN" w:bidi="ar"/>
              </w:rPr>
              <w:t>茅尾海红树林自治区级重要湿地</w:t>
            </w:r>
            <w:r>
              <w:rPr>
                <w:rFonts w:hint="eastAsia" w:ascii="Times New Roman" w:hAnsi="Times New Roman" w:eastAsia="宋体" w:cs="Times New Roman"/>
                <w:color w:val="auto"/>
                <w:kern w:val="0"/>
                <w:sz w:val="24"/>
                <w:szCs w:val="24"/>
                <w:highlight w:val="none"/>
                <w:lang w:val="en-US" w:eastAsia="zh-CN" w:bidi="ar"/>
              </w:rPr>
              <w:t>，共计</w:t>
            </w:r>
            <w:r>
              <w:rPr>
                <w:rFonts w:hint="eastAsia" w:ascii="Times New Roman" w:hAnsi="Times New Roman" w:eastAsia="宋体" w:cs="Times New Roman"/>
                <w:color w:val="auto"/>
                <w:kern w:val="0"/>
                <w:sz w:val="24"/>
                <w:szCs w:val="24"/>
                <w:highlight w:val="none"/>
                <w:u w:val="single"/>
                <w:lang w:val="en-US" w:eastAsia="zh-CN" w:bidi="ar"/>
              </w:rPr>
              <w:t>7</w:t>
            </w:r>
            <w:r>
              <w:rPr>
                <w:rFonts w:hint="eastAsia" w:ascii="Times New Roman" w:hAnsi="Times New Roman" w:eastAsia="宋体" w:cs="Times New Roman"/>
                <w:color w:val="auto"/>
                <w:kern w:val="0"/>
                <w:sz w:val="24"/>
                <w:szCs w:val="24"/>
                <w:highlight w:val="none"/>
                <w:lang w:val="en-US" w:eastAsia="zh-CN" w:bidi="ar"/>
              </w:rPr>
              <w:t>处</w:t>
            </w:r>
            <w:r>
              <w:rPr>
                <w:rFonts w:hint="eastAsia" w:ascii="Times New Roman" w:hAnsi="Times New Roman" w:eastAsia="宋体" w:cs="Times New Roman"/>
                <w:color w:val="auto"/>
                <w:sz w:val="24"/>
                <w:highlight w:val="none"/>
                <w:lang w:val="en-US" w:eastAsia="zh-CN"/>
              </w:rPr>
              <w:t>。</w:t>
            </w:r>
          </w:p>
        </w:tc>
      </w:tr>
      <w:tr w14:paraId="2D59F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00" w:type="dxa"/>
            <w:noWrap w:val="0"/>
            <w:tcMar>
              <w:left w:w="28" w:type="dxa"/>
              <w:right w:w="28" w:type="dxa"/>
            </w:tcMar>
            <w:vAlign w:val="center"/>
          </w:tcPr>
          <w:p w14:paraId="43890A19">
            <w:pPr>
              <w:adjustRightInd w:val="0"/>
              <w:snapToGrid w:val="0"/>
              <w:jc w:val="center"/>
              <w:rPr>
                <w:color w:val="auto"/>
                <w:kern w:val="0"/>
                <w:szCs w:val="21"/>
                <w:highlight w:val="none"/>
              </w:rPr>
            </w:pPr>
            <w:r>
              <w:rPr>
                <w:rFonts w:hint="eastAsia" w:ascii="宋体" w:hAnsi="宋体" w:cs="宋体"/>
                <w:color w:val="auto"/>
                <w:kern w:val="0"/>
                <w:sz w:val="24"/>
                <w:szCs w:val="21"/>
                <w:highlight w:val="none"/>
              </w:rPr>
              <w:t>评价标准</w:t>
            </w:r>
          </w:p>
        </w:tc>
        <w:tc>
          <w:tcPr>
            <w:tcW w:w="8190" w:type="dxa"/>
            <w:noWrap w:val="0"/>
            <w:vAlign w:val="center"/>
          </w:tcPr>
          <w:p w14:paraId="190D294B">
            <w:pPr>
              <w:spacing w:line="360" w:lineRule="auto"/>
              <w:rPr>
                <w:b/>
                <w:color w:val="auto"/>
                <w:sz w:val="28"/>
                <w:szCs w:val="28"/>
                <w:highlight w:val="none"/>
              </w:rPr>
            </w:pPr>
            <w:r>
              <w:rPr>
                <w:rFonts w:hint="eastAsia"/>
                <w:b/>
                <w:color w:val="auto"/>
                <w:sz w:val="28"/>
                <w:szCs w:val="28"/>
                <w:highlight w:val="none"/>
                <w:lang w:val="en-US" w:eastAsia="zh-CN"/>
              </w:rPr>
              <w:t>3.4.1</w:t>
            </w:r>
            <w:r>
              <w:rPr>
                <w:rFonts w:hint="eastAsia"/>
                <w:b/>
                <w:color w:val="auto"/>
                <w:sz w:val="28"/>
                <w:szCs w:val="28"/>
                <w:highlight w:val="none"/>
              </w:rPr>
              <w:t>环境质量</w:t>
            </w:r>
            <w:r>
              <w:rPr>
                <w:b/>
                <w:color w:val="auto"/>
                <w:sz w:val="28"/>
                <w:szCs w:val="28"/>
                <w:highlight w:val="none"/>
              </w:rPr>
              <w:t>标准</w:t>
            </w:r>
          </w:p>
          <w:p w14:paraId="77D9CE1E">
            <w:pPr>
              <w:spacing w:line="360" w:lineRule="auto"/>
              <w:ind w:firstLine="482" w:firstLineChars="200"/>
              <w:rPr>
                <w:b/>
                <w:bCs/>
                <w:color w:val="auto"/>
                <w:sz w:val="24"/>
                <w:highlight w:val="none"/>
                <w:shd w:val="clear" w:color="auto" w:fill="FFFFFF"/>
              </w:rPr>
            </w:pPr>
            <w:r>
              <w:rPr>
                <w:b/>
                <w:bCs/>
                <w:color w:val="auto"/>
                <w:sz w:val="24"/>
                <w:highlight w:val="none"/>
                <w:shd w:val="clear" w:color="auto" w:fill="FFFFFF"/>
              </w:rPr>
              <w:t>1、</w:t>
            </w:r>
            <w:r>
              <w:rPr>
                <w:rFonts w:hint="eastAsia"/>
                <w:b/>
                <w:bCs/>
                <w:color w:val="auto"/>
                <w:sz w:val="24"/>
                <w:highlight w:val="none"/>
                <w:shd w:val="clear" w:color="auto" w:fill="FFFFFF"/>
              </w:rPr>
              <w:t>环境空气</w:t>
            </w:r>
          </w:p>
          <w:p w14:paraId="149DBE9A">
            <w:pPr>
              <w:widowControl/>
              <w:spacing w:line="360" w:lineRule="auto"/>
              <w:ind w:firstLine="480" w:firstLineChars="200"/>
              <w:rPr>
                <w:rFonts w:hint="eastAsia"/>
                <w:color w:val="auto"/>
                <w:sz w:val="24"/>
                <w:highlight w:val="none"/>
              </w:rPr>
            </w:pPr>
            <w:r>
              <w:rPr>
                <w:rFonts w:hint="eastAsia"/>
                <w:color w:val="auto"/>
                <w:sz w:val="24"/>
                <w:highlight w:val="none"/>
                <w:lang w:eastAsia="zh-CN"/>
              </w:rPr>
              <w:t>本项目所在区域为环境空气功能为二类区，执行《环境空气质量标准》（</w:t>
            </w:r>
            <w:r>
              <w:rPr>
                <w:rFonts w:hint="eastAsia"/>
                <w:color w:val="auto"/>
                <w:sz w:val="24"/>
                <w:highlight w:val="none"/>
                <w:lang w:val="en-US" w:eastAsia="zh-CN"/>
              </w:rPr>
              <w:t>GB3095-2012</w:t>
            </w:r>
            <w:r>
              <w:rPr>
                <w:rFonts w:hint="eastAsia"/>
                <w:color w:val="auto"/>
                <w:sz w:val="24"/>
                <w:highlight w:val="none"/>
                <w:lang w:eastAsia="zh-CN"/>
              </w:rPr>
              <w:t>）</w:t>
            </w:r>
            <w:r>
              <w:rPr>
                <w:rFonts w:hint="eastAsia"/>
                <w:color w:val="auto"/>
                <w:sz w:val="24"/>
                <w:highlight w:val="none"/>
              </w:rPr>
              <w:t>。标准值见下表。</w:t>
            </w:r>
          </w:p>
          <w:p w14:paraId="3DDC6195">
            <w:pPr>
              <w:snapToGrid w:val="0"/>
              <w:jc w:val="center"/>
              <w:rPr>
                <w:color w:val="auto"/>
                <w:szCs w:val="21"/>
                <w:highlight w:val="none"/>
              </w:rPr>
            </w:pPr>
            <w:r>
              <w:rPr>
                <w:b/>
                <w:bCs/>
                <w:color w:val="auto"/>
                <w:szCs w:val="21"/>
                <w:highlight w:val="none"/>
              </w:rPr>
              <w:t xml:space="preserve">表 </w:t>
            </w:r>
            <w:r>
              <w:rPr>
                <w:rFonts w:hint="eastAsia"/>
                <w:b/>
                <w:bCs/>
                <w:color w:val="auto"/>
                <w:szCs w:val="21"/>
                <w:highlight w:val="none"/>
                <w:lang w:val="en-US" w:eastAsia="zh-CN"/>
              </w:rPr>
              <w:t>3.4-1</w:t>
            </w:r>
            <w:r>
              <w:rPr>
                <w:rFonts w:hint="eastAsia"/>
                <w:b/>
                <w:bCs/>
                <w:color w:val="auto"/>
                <w:szCs w:val="21"/>
                <w:highlight w:val="none"/>
              </w:rPr>
              <w:t xml:space="preserve">  环境空气</w:t>
            </w:r>
            <w:r>
              <w:rPr>
                <w:b/>
                <w:bCs/>
                <w:color w:val="auto"/>
                <w:szCs w:val="21"/>
                <w:highlight w:val="none"/>
              </w:rPr>
              <w:t>评价标准表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4"/>
              <w:gridCol w:w="1773"/>
              <w:gridCol w:w="1554"/>
              <w:gridCol w:w="3503"/>
            </w:tblGrid>
            <w:tr w14:paraId="6929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134" w:type="dxa"/>
                  <w:noWrap w:val="0"/>
                  <w:vAlign w:val="center"/>
                </w:tcPr>
                <w:p w14:paraId="25B34534">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评价因子</w:t>
                  </w:r>
                </w:p>
              </w:tc>
              <w:tc>
                <w:tcPr>
                  <w:tcW w:w="1773" w:type="dxa"/>
                  <w:noWrap w:val="0"/>
                  <w:vAlign w:val="center"/>
                </w:tcPr>
                <w:p w14:paraId="74EA8D8E">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平均时段</w:t>
                  </w:r>
                </w:p>
              </w:tc>
              <w:tc>
                <w:tcPr>
                  <w:tcW w:w="1554" w:type="dxa"/>
                  <w:noWrap w:val="0"/>
                  <w:vAlign w:val="center"/>
                </w:tcPr>
                <w:p w14:paraId="361C1BA2">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标准值</w:t>
                  </w:r>
                </w:p>
              </w:tc>
              <w:tc>
                <w:tcPr>
                  <w:tcW w:w="3503" w:type="dxa"/>
                  <w:noWrap w:val="0"/>
                  <w:vAlign w:val="center"/>
                </w:tcPr>
                <w:p w14:paraId="46A895D7">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标准来源</w:t>
                  </w:r>
                </w:p>
              </w:tc>
            </w:tr>
            <w:tr w14:paraId="7853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noWrap w:val="0"/>
                  <w:vAlign w:val="center"/>
                </w:tcPr>
                <w:p w14:paraId="4D1F3189">
                  <w:pPr>
                    <w:snapToGrid w:val="0"/>
                    <w:jc w:val="center"/>
                    <w:rPr>
                      <w:color w:val="auto"/>
                      <w:szCs w:val="21"/>
                      <w:highlight w:val="none"/>
                    </w:rPr>
                  </w:pPr>
                </w:p>
                <w:p w14:paraId="777AA559">
                  <w:pPr>
                    <w:snapToGrid w:val="0"/>
                    <w:jc w:val="center"/>
                    <w:rPr>
                      <w:rFonts w:eastAsia="Times New Roman"/>
                      <w:color w:val="auto"/>
                      <w:szCs w:val="21"/>
                      <w:highlight w:val="none"/>
                    </w:rPr>
                  </w:pPr>
                  <w:r>
                    <w:rPr>
                      <w:color w:val="auto"/>
                      <w:position w:val="2"/>
                      <w:szCs w:val="21"/>
                      <w:highlight w:val="none"/>
                    </w:rPr>
                    <w:t>SO</w:t>
                  </w:r>
                  <w:r>
                    <w:rPr>
                      <w:color w:val="auto"/>
                      <w:szCs w:val="21"/>
                      <w:highlight w:val="none"/>
                      <w:vertAlign w:val="subscript"/>
                    </w:rPr>
                    <w:t>2</w:t>
                  </w:r>
                </w:p>
              </w:tc>
              <w:tc>
                <w:tcPr>
                  <w:tcW w:w="1773" w:type="dxa"/>
                  <w:noWrap w:val="0"/>
                  <w:vAlign w:val="center"/>
                </w:tcPr>
                <w:p w14:paraId="6790915E">
                  <w:pPr>
                    <w:snapToGrid w:val="0"/>
                    <w:jc w:val="center"/>
                    <w:rPr>
                      <w:rFonts w:ascii="宋体" w:hAnsi="宋体" w:cs="宋体"/>
                      <w:color w:val="auto"/>
                      <w:szCs w:val="21"/>
                      <w:highlight w:val="none"/>
                    </w:rPr>
                  </w:pPr>
                  <w:r>
                    <w:rPr>
                      <w:rFonts w:eastAsia="Times New Roman"/>
                      <w:color w:val="auto"/>
                      <w:szCs w:val="21"/>
                      <w:highlight w:val="none"/>
                    </w:rPr>
                    <w:t>1</w:t>
                  </w:r>
                  <w:r>
                    <w:rPr>
                      <w:rFonts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07F25683">
                  <w:pPr>
                    <w:snapToGrid w:val="0"/>
                    <w:jc w:val="center"/>
                    <w:rPr>
                      <w:rFonts w:eastAsia="Times New Roman"/>
                      <w:color w:val="auto"/>
                      <w:szCs w:val="21"/>
                      <w:highlight w:val="none"/>
                    </w:rPr>
                  </w:pPr>
                  <w:r>
                    <w:rPr>
                      <w:color w:val="auto"/>
                      <w:szCs w:val="21"/>
                      <w:highlight w:val="none"/>
                    </w:rPr>
                    <w:t>500</w:t>
                  </w:r>
                  <w:r>
                    <w:rPr>
                      <w:color w:val="auto"/>
                      <w:spacing w:val="-1"/>
                      <w:szCs w:val="21"/>
                      <w:highlight w:val="none"/>
                    </w:rPr>
                    <w:t>μg/m</w:t>
                  </w:r>
                  <w:r>
                    <w:rPr>
                      <w:color w:val="auto"/>
                      <w:spacing w:val="-1"/>
                      <w:szCs w:val="21"/>
                      <w:highlight w:val="none"/>
                      <w:vertAlign w:val="superscript"/>
                    </w:rPr>
                    <w:t>3</w:t>
                  </w:r>
                </w:p>
              </w:tc>
              <w:tc>
                <w:tcPr>
                  <w:tcW w:w="3503" w:type="dxa"/>
                  <w:vMerge w:val="restart"/>
                  <w:noWrap w:val="0"/>
                  <w:vAlign w:val="center"/>
                </w:tcPr>
                <w:p w14:paraId="14C94CB9">
                  <w:pPr>
                    <w:snapToGrid w:val="0"/>
                    <w:jc w:val="center"/>
                    <w:rPr>
                      <w:rFonts w:ascii="宋体" w:hAnsi="宋体" w:cs="宋体"/>
                      <w:color w:val="auto"/>
                      <w:szCs w:val="21"/>
                      <w:highlight w:val="none"/>
                    </w:rPr>
                  </w:pPr>
                  <w:r>
                    <w:rPr>
                      <w:rFonts w:ascii="宋体" w:hAnsi="宋体" w:cs="宋体"/>
                      <w:color w:val="auto"/>
                      <w:spacing w:val="-2"/>
                      <w:szCs w:val="21"/>
                      <w:highlight w:val="none"/>
                    </w:rPr>
                    <w:t>《环境空气质量标准》</w:t>
                  </w:r>
                  <w:r>
                    <w:rPr>
                      <w:rFonts w:eastAsia="Times New Roman"/>
                      <w:color w:val="auto"/>
                      <w:spacing w:val="-2"/>
                      <w:szCs w:val="21"/>
                      <w:highlight w:val="none"/>
                    </w:rPr>
                    <w:t>(GB3095-2012)</w:t>
                  </w:r>
                  <w:r>
                    <w:rPr>
                      <w:rFonts w:ascii="宋体" w:hAnsi="宋体" w:cs="宋体"/>
                      <w:color w:val="auto"/>
                      <w:spacing w:val="-2"/>
                      <w:szCs w:val="21"/>
                      <w:highlight w:val="none"/>
                    </w:rPr>
                    <w:t>二级</w:t>
                  </w:r>
                  <w:r>
                    <w:rPr>
                      <w:rFonts w:hint="eastAsia" w:ascii="宋体" w:hAnsi="宋体" w:cs="宋体"/>
                      <w:color w:val="auto"/>
                      <w:spacing w:val="-2"/>
                      <w:szCs w:val="21"/>
                      <w:highlight w:val="none"/>
                    </w:rPr>
                    <w:t>标准</w:t>
                  </w:r>
                </w:p>
              </w:tc>
            </w:tr>
            <w:tr w14:paraId="64C4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noWrap w:val="0"/>
                  <w:vAlign w:val="center"/>
                </w:tcPr>
                <w:p w14:paraId="093FAC7C">
                  <w:pPr>
                    <w:snapToGrid w:val="0"/>
                    <w:jc w:val="center"/>
                    <w:rPr>
                      <w:color w:val="auto"/>
                      <w:szCs w:val="21"/>
                      <w:highlight w:val="none"/>
                    </w:rPr>
                  </w:pPr>
                </w:p>
              </w:tc>
              <w:tc>
                <w:tcPr>
                  <w:tcW w:w="1773" w:type="dxa"/>
                  <w:noWrap w:val="0"/>
                  <w:vAlign w:val="center"/>
                </w:tcPr>
                <w:p w14:paraId="3670AFD2">
                  <w:pPr>
                    <w:snapToGrid w:val="0"/>
                    <w:jc w:val="center"/>
                    <w:rPr>
                      <w:rFonts w:ascii="宋体" w:hAnsi="宋体" w:cs="宋体"/>
                      <w:color w:val="auto"/>
                      <w:szCs w:val="21"/>
                      <w:highlight w:val="none"/>
                    </w:rPr>
                  </w:pPr>
                  <w:r>
                    <w:rPr>
                      <w:color w:val="auto"/>
                      <w:szCs w:val="21"/>
                      <w:highlight w:val="none"/>
                    </w:rPr>
                    <w:t>24</w:t>
                  </w:r>
                  <w:r>
                    <w:rPr>
                      <w:rFonts w:hint="eastAsia"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705EEB14">
                  <w:pPr>
                    <w:snapToGrid w:val="0"/>
                    <w:jc w:val="center"/>
                    <w:rPr>
                      <w:rFonts w:eastAsia="Times New Roman"/>
                      <w:color w:val="auto"/>
                      <w:szCs w:val="21"/>
                      <w:highlight w:val="none"/>
                    </w:rPr>
                  </w:pPr>
                  <w:r>
                    <w:rPr>
                      <w:color w:val="auto"/>
                      <w:szCs w:val="21"/>
                      <w:highlight w:val="none"/>
                    </w:rPr>
                    <w:t>150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1676FB52">
                  <w:pPr>
                    <w:snapToGrid w:val="0"/>
                    <w:jc w:val="center"/>
                    <w:rPr>
                      <w:color w:val="auto"/>
                      <w:szCs w:val="21"/>
                      <w:highlight w:val="none"/>
                    </w:rPr>
                  </w:pPr>
                </w:p>
              </w:tc>
            </w:tr>
            <w:tr w14:paraId="0D3F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noWrap w:val="0"/>
                  <w:vAlign w:val="center"/>
                </w:tcPr>
                <w:p w14:paraId="5ED72372">
                  <w:pPr>
                    <w:snapToGrid w:val="0"/>
                    <w:jc w:val="center"/>
                    <w:rPr>
                      <w:color w:val="auto"/>
                      <w:szCs w:val="21"/>
                      <w:highlight w:val="none"/>
                    </w:rPr>
                  </w:pPr>
                </w:p>
              </w:tc>
              <w:tc>
                <w:tcPr>
                  <w:tcW w:w="1773" w:type="dxa"/>
                  <w:noWrap w:val="0"/>
                  <w:vAlign w:val="center"/>
                </w:tcPr>
                <w:p w14:paraId="0FCCFA50">
                  <w:pPr>
                    <w:snapToGrid w:val="0"/>
                    <w:jc w:val="center"/>
                    <w:rPr>
                      <w:rFonts w:ascii="宋体" w:hAnsi="宋体" w:cs="宋体"/>
                      <w:color w:val="auto"/>
                      <w:szCs w:val="21"/>
                      <w:highlight w:val="none"/>
                    </w:rPr>
                  </w:pPr>
                  <w:r>
                    <w:rPr>
                      <w:rFonts w:ascii="宋体" w:hAnsi="宋体" w:cs="宋体"/>
                      <w:color w:val="auto"/>
                      <w:szCs w:val="21"/>
                      <w:highlight w:val="none"/>
                    </w:rPr>
                    <w:t>年</w:t>
                  </w:r>
                  <w:r>
                    <w:rPr>
                      <w:rFonts w:ascii="宋体" w:hAnsi="宋体" w:cs="宋体"/>
                      <w:color w:val="auto"/>
                      <w:spacing w:val="-1"/>
                      <w:szCs w:val="21"/>
                      <w:highlight w:val="none"/>
                    </w:rPr>
                    <w:t>平均</w:t>
                  </w:r>
                </w:p>
              </w:tc>
              <w:tc>
                <w:tcPr>
                  <w:tcW w:w="1554" w:type="dxa"/>
                  <w:noWrap w:val="0"/>
                  <w:vAlign w:val="center"/>
                </w:tcPr>
                <w:p w14:paraId="12FC6426">
                  <w:pPr>
                    <w:snapToGrid w:val="0"/>
                    <w:jc w:val="center"/>
                    <w:rPr>
                      <w:rFonts w:eastAsia="Times New Roman"/>
                      <w:color w:val="auto"/>
                      <w:szCs w:val="21"/>
                      <w:highlight w:val="none"/>
                    </w:rPr>
                  </w:pPr>
                  <w:r>
                    <w:rPr>
                      <w:color w:val="auto"/>
                      <w:szCs w:val="21"/>
                      <w:highlight w:val="none"/>
                    </w:rPr>
                    <w:t>60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0CA48C9D">
                  <w:pPr>
                    <w:snapToGrid w:val="0"/>
                    <w:jc w:val="center"/>
                    <w:rPr>
                      <w:color w:val="auto"/>
                      <w:szCs w:val="21"/>
                      <w:highlight w:val="none"/>
                    </w:rPr>
                  </w:pPr>
                </w:p>
              </w:tc>
            </w:tr>
            <w:tr w14:paraId="668A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noWrap w:val="0"/>
                  <w:vAlign w:val="center"/>
                </w:tcPr>
                <w:p w14:paraId="29D624A5">
                  <w:pPr>
                    <w:snapToGrid w:val="0"/>
                    <w:jc w:val="center"/>
                    <w:rPr>
                      <w:color w:val="auto"/>
                      <w:szCs w:val="21"/>
                      <w:highlight w:val="none"/>
                    </w:rPr>
                  </w:pPr>
                </w:p>
                <w:p w14:paraId="4D304908">
                  <w:pPr>
                    <w:snapToGrid w:val="0"/>
                    <w:jc w:val="center"/>
                    <w:rPr>
                      <w:rFonts w:eastAsia="Times New Roman"/>
                      <w:color w:val="auto"/>
                      <w:szCs w:val="21"/>
                      <w:highlight w:val="none"/>
                    </w:rPr>
                  </w:pPr>
                  <w:r>
                    <w:rPr>
                      <w:color w:val="auto"/>
                      <w:spacing w:val="-1"/>
                      <w:position w:val="2"/>
                      <w:szCs w:val="21"/>
                      <w:highlight w:val="none"/>
                    </w:rPr>
                    <w:t>NO</w:t>
                  </w:r>
                  <w:r>
                    <w:rPr>
                      <w:color w:val="auto"/>
                      <w:spacing w:val="-1"/>
                      <w:szCs w:val="21"/>
                      <w:highlight w:val="none"/>
                      <w:vertAlign w:val="subscript"/>
                    </w:rPr>
                    <w:t>2</w:t>
                  </w:r>
                </w:p>
              </w:tc>
              <w:tc>
                <w:tcPr>
                  <w:tcW w:w="1773" w:type="dxa"/>
                  <w:noWrap w:val="0"/>
                  <w:vAlign w:val="center"/>
                </w:tcPr>
                <w:p w14:paraId="12F79DC3">
                  <w:pPr>
                    <w:snapToGrid w:val="0"/>
                    <w:jc w:val="center"/>
                    <w:rPr>
                      <w:rFonts w:ascii="宋体" w:hAnsi="宋体" w:cs="宋体"/>
                      <w:color w:val="auto"/>
                      <w:szCs w:val="21"/>
                      <w:highlight w:val="none"/>
                    </w:rPr>
                  </w:pPr>
                  <w:r>
                    <w:rPr>
                      <w:rFonts w:eastAsia="Times New Roman"/>
                      <w:color w:val="auto"/>
                      <w:szCs w:val="21"/>
                      <w:highlight w:val="none"/>
                    </w:rPr>
                    <w:t>1</w:t>
                  </w:r>
                  <w:r>
                    <w:rPr>
                      <w:rFonts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69FB1F19">
                  <w:pPr>
                    <w:snapToGrid w:val="0"/>
                    <w:jc w:val="center"/>
                    <w:rPr>
                      <w:rFonts w:eastAsia="Times New Roman"/>
                      <w:color w:val="auto"/>
                      <w:szCs w:val="21"/>
                      <w:highlight w:val="none"/>
                    </w:rPr>
                  </w:pPr>
                  <w:r>
                    <w:rPr>
                      <w:color w:val="auto"/>
                      <w:szCs w:val="21"/>
                      <w:highlight w:val="none"/>
                    </w:rPr>
                    <w:t>200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6681D9C1">
                  <w:pPr>
                    <w:snapToGrid w:val="0"/>
                    <w:jc w:val="center"/>
                    <w:rPr>
                      <w:color w:val="auto"/>
                      <w:szCs w:val="21"/>
                      <w:highlight w:val="none"/>
                    </w:rPr>
                  </w:pPr>
                </w:p>
              </w:tc>
            </w:tr>
            <w:tr w14:paraId="6364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noWrap w:val="0"/>
                  <w:vAlign w:val="center"/>
                </w:tcPr>
                <w:p w14:paraId="410E7C75">
                  <w:pPr>
                    <w:snapToGrid w:val="0"/>
                    <w:jc w:val="center"/>
                    <w:rPr>
                      <w:color w:val="auto"/>
                      <w:szCs w:val="21"/>
                      <w:highlight w:val="none"/>
                    </w:rPr>
                  </w:pPr>
                </w:p>
              </w:tc>
              <w:tc>
                <w:tcPr>
                  <w:tcW w:w="1773" w:type="dxa"/>
                  <w:noWrap w:val="0"/>
                  <w:vAlign w:val="center"/>
                </w:tcPr>
                <w:p w14:paraId="5294F3ED">
                  <w:pPr>
                    <w:snapToGrid w:val="0"/>
                    <w:jc w:val="center"/>
                    <w:rPr>
                      <w:rFonts w:ascii="宋体" w:hAnsi="宋体" w:cs="宋体"/>
                      <w:color w:val="auto"/>
                      <w:szCs w:val="21"/>
                      <w:highlight w:val="none"/>
                    </w:rPr>
                  </w:pPr>
                  <w:r>
                    <w:rPr>
                      <w:color w:val="auto"/>
                      <w:szCs w:val="21"/>
                      <w:highlight w:val="none"/>
                    </w:rPr>
                    <w:t>24</w:t>
                  </w:r>
                  <w:r>
                    <w:rPr>
                      <w:rFonts w:hint="eastAsia"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732266EF">
                  <w:pPr>
                    <w:snapToGrid w:val="0"/>
                    <w:jc w:val="center"/>
                    <w:rPr>
                      <w:rFonts w:eastAsia="Times New Roman"/>
                      <w:color w:val="auto"/>
                      <w:szCs w:val="21"/>
                      <w:highlight w:val="none"/>
                    </w:rPr>
                  </w:pPr>
                  <w:r>
                    <w:rPr>
                      <w:color w:val="auto"/>
                      <w:szCs w:val="21"/>
                      <w:highlight w:val="none"/>
                    </w:rPr>
                    <w:t>80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5A41A36D">
                  <w:pPr>
                    <w:snapToGrid w:val="0"/>
                    <w:jc w:val="center"/>
                    <w:rPr>
                      <w:color w:val="auto"/>
                      <w:szCs w:val="21"/>
                      <w:highlight w:val="none"/>
                    </w:rPr>
                  </w:pPr>
                </w:p>
              </w:tc>
            </w:tr>
            <w:tr w14:paraId="59D4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noWrap w:val="0"/>
                  <w:vAlign w:val="center"/>
                </w:tcPr>
                <w:p w14:paraId="102CD84F">
                  <w:pPr>
                    <w:snapToGrid w:val="0"/>
                    <w:jc w:val="center"/>
                    <w:rPr>
                      <w:color w:val="auto"/>
                      <w:szCs w:val="21"/>
                      <w:highlight w:val="none"/>
                    </w:rPr>
                  </w:pPr>
                </w:p>
              </w:tc>
              <w:tc>
                <w:tcPr>
                  <w:tcW w:w="1773" w:type="dxa"/>
                  <w:noWrap w:val="0"/>
                  <w:vAlign w:val="center"/>
                </w:tcPr>
                <w:p w14:paraId="343900B3">
                  <w:pPr>
                    <w:snapToGrid w:val="0"/>
                    <w:jc w:val="center"/>
                    <w:rPr>
                      <w:rFonts w:ascii="宋体" w:hAnsi="宋体" w:cs="宋体"/>
                      <w:color w:val="auto"/>
                      <w:szCs w:val="21"/>
                      <w:highlight w:val="none"/>
                    </w:rPr>
                  </w:pPr>
                  <w:r>
                    <w:rPr>
                      <w:rFonts w:ascii="宋体" w:hAnsi="宋体" w:cs="宋体"/>
                      <w:color w:val="auto"/>
                      <w:szCs w:val="21"/>
                      <w:highlight w:val="none"/>
                    </w:rPr>
                    <w:t>年</w:t>
                  </w:r>
                  <w:r>
                    <w:rPr>
                      <w:rFonts w:ascii="宋体" w:hAnsi="宋体" w:cs="宋体"/>
                      <w:color w:val="auto"/>
                      <w:spacing w:val="-1"/>
                      <w:szCs w:val="21"/>
                      <w:highlight w:val="none"/>
                    </w:rPr>
                    <w:t>平均</w:t>
                  </w:r>
                </w:p>
              </w:tc>
              <w:tc>
                <w:tcPr>
                  <w:tcW w:w="1554" w:type="dxa"/>
                  <w:noWrap w:val="0"/>
                  <w:vAlign w:val="center"/>
                </w:tcPr>
                <w:p w14:paraId="7A1CB1CA">
                  <w:pPr>
                    <w:snapToGrid w:val="0"/>
                    <w:jc w:val="center"/>
                    <w:rPr>
                      <w:rFonts w:eastAsia="Times New Roman"/>
                      <w:color w:val="auto"/>
                      <w:szCs w:val="21"/>
                      <w:highlight w:val="none"/>
                    </w:rPr>
                  </w:pPr>
                  <w:r>
                    <w:rPr>
                      <w:color w:val="auto"/>
                      <w:szCs w:val="21"/>
                      <w:highlight w:val="none"/>
                    </w:rPr>
                    <w:t>40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6E3FF03C">
                  <w:pPr>
                    <w:snapToGrid w:val="0"/>
                    <w:jc w:val="center"/>
                    <w:rPr>
                      <w:color w:val="auto"/>
                      <w:szCs w:val="21"/>
                      <w:highlight w:val="none"/>
                    </w:rPr>
                  </w:pPr>
                </w:p>
              </w:tc>
            </w:tr>
            <w:tr w14:paraId="0FC7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noWrap w:val="0"/>
                  <w:vAlign w:val="center"/>
                </w:tcPr>
                <w:p w14:paraId="628382E7">
                  <w:pPr>
                    <w:snapToGrid w:val="0"/>
                    <w:jc w:val="center"/>
                    <w:rPr>
                      <w:rFonts w:eastAsia="Times New Roman"/>
                      <w:color w:val="auto"/>
                      <w:szCs w:val="21"/>
                      <w:highlight w:val="none"/>
                    </w:rPr>
                  </w:pPr>
                  <w:r>
                    <w:rPr>
                      <w:color w:val="auto"/>
                      <w:spacing w:val="-1"/>
                      <w:position w:val="2"/>
                      <w:szCs w:val="21"/>
                      <w:highlight w:val="none"/>
                    </w:rPr>
                    <w:t>PM</w:t>
                  </w:r>
                  <w:r>
                    <w:rPr>
                      <w:color w:val="auto"/>
                      <w:spacing w:val="-1"/>
                      <w:szCs w:val="21"/>
                      <w:highlight w:val="none"/>
                      <w:vertAlign w:val="subscript"/>
                    </w:rPr>
                    <w:t>10</w:t>
                  </w:r>
                </w:p>
              </w:tc>
              <w:tc>
                <w:tcPr>
                  <w:tcW w:w="1773" w:type="dxa"/>
                  <w:noWrap w:val="0"/>
                  <w:vAlign w:val="center"/>
                </w:tcPr>
                <w:p w14:paraId="16B999E8">
                  <w:pPr>
                    <w:snapToGrid w:val="0"/>
                    <w:jc w:val="center"/>
                    <w:rPr>
                      <w:rFonts w:ascii="宋体" w:hAnsi="宋体" w:cs="宋体"/>
                      <w:color w:val="auto"/>
                      <w:szCs w:val="21"/>
                      <w:highlight w:val="none"/>
                    </w:rPr>
                  </w:pPr>
                  <w:r>
                    <w:rPr>
                      <w:color w:val="auto"/>
                      <w:szCs w:val="21"/>
                      <w:highlight w:val="none"/>
                    </w:rPr>
                    <w:t>24</w:t>
                  </w:r>
                  <w:r>
                    <w:rPr>
                      <w:rFonts w:hint="eastAsia"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1B9D0EAA">
                  <w:pPr>
                    <w:snapToGrid w:val="0"/>
                    <w:jc w:val="center"/>
                    <w:rPr>
                      <w:rFonts w:eastAsia="Times New Roman"/>
                      <w:color w:val="auto"/>
                      <w:szCs w:val="21"/>
                      <w:highlight w:val="none"/>
                    </w:rPr>
                  </w:pPr>
                  <w:r>
                    <w:rPr>
                      <w:color w:val="auto"/>
                      <w:szCs w:val="21"/>
                      <w:highlight w:val="none"/>
                    </w:rPr>
                    <w:t>150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370AD23C">
                  <w:pPr>
                    <w:snapToGrid w:val="0"/>
                    <w:jc w:val="center"/>
                    <w:rPr>
                      <w:color w:val="auto"/>
                      <w:szCs w:val="21"/>
                      <w:highlight w:val="none"/>
                    </w:rPr>
                  </w:pPr>
                </w:p>
              </w:tc>
            </w:tr>
            <w:tr w14:paraId="1B55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noWrap w:val="0"/>
                  <w:vAlign w:val="center"/>
                </w:tcPr>
                <w:p w14:paraId="3CD64A48">
                  <w:pPr>
                    <w:snapToGrid w:val="0"/>
                    <w:jc w:val="center"/>
                    <w:rPr>
                      <w:color w:val="auto"/>
                      <w:szCs w:val="21"/>
                      <w:highlight w:val="none"/>
                    </w:rPr>
                  </w:pPr>
                </w:p>
              </w:tc>
              <w:tc>
                <w:tcPr>
                  <w:tcW w:w="1773" w:type="dxa"/>
                  <w:noWrap w:val="0"/>
                  <w:vAlign w:val="center"/>
                </w:tcPr>
                <w:p w14:paraId="6C86F74B">
                  <w:pPr>
                    <w:snapToGrid w:val="0"/>
                    <w:jc w:val="center"/>
                    <w:rPr>
                      <w:rFonts w:ascii="宋体" w:hAnsi="宋体" w:cs="宋体"/>
                      <w:color w:val="auto"/>
                      <w:szCs w:val="21"/>
                      <w:highlight w:val="none"/>
                    </w:rPr>
                  </w:pPr>
                  <w:r>
                    <w:rPr>
                      <w:rFonts w:ascii="宋体" w:hAnsi="宋体" w:cs="宋体"/>
                      <w:color w:val="auto"/>
                      <w:szCs w:val="21"/>
                      <w:highlight w:val="none"/>
                    </w:rPr>
                    <w:t>年</w:t>
                  </w:r>
                  <w:r>
                    <w:rPr>
                      <w:rFonts w:ascii="宋体" w:hAnsi="宋体" w:cs="宋体"/>
                      <w:color w:val="auto"/>
                      <w:spacing w:val="-1"/>
                      <w:szCs w:val="21"/>
                      <w:highlight w:val="none"/>
                    </w:rPr>
                    <w:t>平均</w:t>
                  </w:r>
                </w:p>
              </w:tc>
              <w:tc>
                <w:tcPr>
                  <w:tcW w:w="1554" w:type="dxa"/>
                  <w:noWrap w:val="0"/>
                  <w:vAlign w:val="center"/>
                </w:tcPr>
                <w:p w14:paraId="4C7BC158">
                  <w:pPr>
                    <w:snapToGrid w:val="0"/>
                    <w:jc w:val="center"/>
                    <w:rPr>
                      <w:rFonts w:eastAsia="Times New Roman"/>
                      <w:color w:val="auto"/>
                      <w:szCs w:val="21"/>
                      <w:highlight w:val="none"/>
                    </w:rPr>
                  </w:pPr>
                  <w:r>
                    <w:rPr>
                      <w:color w:val="auto"/>
                      <w:szCs w:val="21"/>
                      <w:highlight w:val="none"/>
                    </w:rPr>
                    <w:t>70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7B58059D">
                  <w:pPr>
                    <w:snapToGrid w:val="0"/>
                    <w:jc w:val="center"/>
                    <w:rPr>
                      <w:color w:val="auto"/>
                      <w:szCs w:val="21"/>
                      <w:highlight w:val="none"/>
                    </w:rPr>
                  </w:pPr>
                </w:p>
              </w:tc>
            </w:tr>
            <w:tr w14:paraId="595E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noWrap w:val="0"/>
                  <w:vAlign w:val="center"/>
                </w:tcPr>
                <w:p w14:paraId="1A1C6750">
                  <w:pPr>
                    <w:snapToGrid w:val="0"/>
                    <w:jc w:val="center"/>
                    <w:rPr>
                      <w:rFonts w:eastAsia="Times New Roman"/>
                      <w:color w:val="auto"/>
                      <w:szCs w:val="21"/>
                      <w:highlight w:val="none"/>
                    </w:rPr>
                  </w:pPr>
                  <w:r>
                    <w:rPr>
                      <w:color w:val="auto"/>
                      <w:position w:val="2"/>
                      <w:szCs w:val="21"/>
                      <w:highlight w:val="none"/>
                    </w:rPr>
                    <w:t>PM</w:t>
                  </w:r>
                  <w:r>
                    <w:rPr>
                      <w:color w:val="auto"/>
                      <w:szCs w:val="21"/>
                      <w:highlight w:val="none"/>
                      <w:vertAlign w:val="subscript"/>
                    </w:rPr>
                    <w:t>2.5</w:t>
                  </w:r>
                </w:p>
              </w:tc>
              <w:tc>
                <w:tcPr>
                  <w:tcW w:w="1773" w:type="dxa"/>
                  <w:noWrap w:val="0"/>
                  <w:vAlign w:val="center"/>
                </w:tcPr>
                <w:p w14:paraId="4FA1A553">
                  <w:pPr>
                    <w:snapToGrid w:val="0"/>
                    <w:jc w:val="center"/>
                    <w:rPr>
                      <w:rFonts w:ascii="宋体" w:hAnsi="宋体" w:cs="宋体"/>
                      <w:color w:val="auto"/>
                      <w:szCs w:val="21"/>
                      <w:highlight w:val="none"/>
                    </w:rPr>
                  </w:pPr>
                  <w:r>
                    <w:rPr>
                      <w:color w:val="auto"/>
                      <w:szCs w:val="21"/>
                      <w:highlight w:val="none"/>
                    </w:rPr>
                    <w:t>24</w:t>
                  </w:r>
                  <w:r>
                    <w:rPr>
                      <w:rFonts w:hint="eastAsia"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487BE7FE">
                  <w:pPr>
                    <w:snapToGrid w:val="0"/>
                    <w:jc w:val="center"/>
                    <w:rPr>
                      <w:rFonts w:eastAsia="Times New Roman"/>
                      <w:color w:val="auto"/>
                      <w:szCs w:val="21"/>
                      <w:highlight w:val="none"/>
                    </w:rPr>
                  </w:pPr>
                  <w:r>
                    <w:rPr>
                      <w:color w:val="auto"/>
                      <w:szCs w:val="21"/>
                      <w:highlight w:val="none"/>
                    </w:rPr>
                    <w:t>75</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22103726">
                  <w:pPr>
                    <w:snapToGrid w:val="0"/>
                    <w:jc w:val="center"/>
                    <w:rPr>
                      <w:color w:val="auto"/>
                      <w:szCs w:val="21"/>
                      <w:highlight w:val="none"/>
                    </w:rPr>
                  </w:pPr>
                </w:p>
              </w:tc>
            </w:tr>
            <w:tr w14:paraId="513F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noWrap w:val="0"/>
                  <w:vAlign w:val="center"/>
                </w:tcPr>
                <w:p w14:paraId="3F28D5AD">
                  <w:pPr>
                    <w:snapToGrid w:val="0"/>
                    <w:jc w:val="center"/>
                    <w:rPr>
                      <w:color w:val="auto"/>
                      <w:szCs w:val="21"/>
                      <w:highlight w:val="none"/>
                    </w:rPr>
                  </w:pPr>
                </w:p>
              </w:tc>
              <w:tc>
                <w:tcPr>
                  <w:tcW w:w="1773" w:type="dxa"/>
                  <w:noWrap w:val="0"/>
                  <w:vAlign w:val="center"/>
                </w:tcPr>
                <w:p w14:paraId="44547716">
                  <w:pPr>
                    <w:snapToGrid w:val="0"/>
                    <w:jc w:val="center"/>
                    <w:rPr>
                      <w:rFonts w:ascii="宋体" w:hAnsi="宋体" w:cs="宋体"/>
                      <w:color w:val="auto"/>
                      <w:szCs w:val="21"/>
                      <w:highlight w:val="none"/>
                    </w:rPr>
                  </w:pPr>
                  <w:r>
                    <w:rPr>
                      <w:rFonts w:ascii="宋体" w:hAnsi="宋体" w:cs="宋体"/>
                      <w:color w:val="auto"/>
                      <w:szCs w:val="21"/>
                      <w:highlight w:val="none"/>
                    </w:rPr>
                    <w:t>年</w:t>
                  </w:r>
                  <w:r>
                    <w:rPr>
                      <w:rFonts w:ascii="宋体" w:hAnsi="宋体" w:cs="宋体"/>
                      <w:color w:val="auto"/>
                      <w:spacing w:val="-1"/>
                      <w:szCs w:val="21"/>
                      <w:highlight w:val="none"/>
                    </w:rPr>
                    <w:t>平均</w:t>
                  </w:r>
                </w:p>
              </w:tc>
              <w:tc>
                <w:tcPr>
                  <w:tcW w:w="1554" w:type="dxa"/>
                  <w:noWrap w:val="0"/>
                  <w:vAlign w:val="center"/>
                </w:tcPr>
                <w:p w14:paraId="6F967F26">
                  <w:pPr>
                    <w:snapToGrid w:val="0"/>
                    <w:jc w:val="center"/>
                    <w:rPr>
                      <w:rFonts w:eastAsia="Times New Roman"/>
                      <w:color w:val="auto"/>
                      <w:szCs w:val="21"/>
                      <w:highlight w:val="none"/>
                    </w:rPr>
                  </w:pPr>
                  <w:r>
                    <w:rPr>
                      <w:color w:val="auto"/>
                      <w:szCs w:val="21"/>
                      <w:highlight w:val="none"/>
                    </w:rPr>
                    <w:t>35</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0798BA8B">
                  <w:pPr>
                    <w:snapToGrid w:val="0"/>
                    <w:jc w:val="center"/>
                    <w:rPr>
                      <w:color w:val="auto"/>
                      <w:szCs w:val="21"/>
                      <w:highlight w:val="none"/>
                    </w:rPr>
                  </w:pPr>
                </w:p>
              </w:tc>
            </w:tr>
            <w:tr w14:paraId="3AF5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noWrap w:val="0"/>
                  <w:vAlign w:val="center"/>
                </w:tcPr>
                <w:p w14:paraId="6574FC4D">
                  <w:pPr>
                    <w:snapToGrid w:val="0"/>
                    <w:jc w:val="center"/>
                    <w:rPr>
                      <w:rFonts w:eastAsia="Times New Roman"/>
                      <w:color w:val="auto"/>
                      <w:szCs w:val="21"/>
                      <w:highlight w:val="none"/>
                    </w:rPr>
                  </w:pPr>
                  <w:r>
                    <w:rPr>
                      <w:color w:val="auto"/>
                      <w:spacing w:val="-1"/>
                      <w:szCs w:val="21"/>
                      <w:highlight w:val="none"/>
                    </w:rPr>
                    <w:t>TSP</w:t>
                  </w:r>
                </w:p>
              </w:tc>
              <w:tc>
                <w:tcPr>
                  <w:tcW w:w="1773" w:type="dxa"/>
                  <w:noWrap w:val="0"/>
                  <w:vAlign w:val="center"/>
                </w:tcPr>
                <w:p w14:paraId="20E184C0">
                  <w:pPr>
                    <w:snapToGrid w:val="0"/>
                    <w:jc w:val="center"/>
                    <w:rPr>
                      <w:rFonts w:ascii="宋体" w:hAnsi="宋体" w:cs="宋体"/>
                      <w:color w:val="auto"/>
                      <w:szCs w:val="21"/>
                      <w:highlight w:val="none"/>
                    </w:rPr>
                  </w:pPr>
                  <w:r>
                    <w:rPr>
                      <w:color w:val="auto"/>
                      <w:szCs w:val="21"/>
                      <w:highlight w:val="none"/>
                    </w:rPr>
                    <w:t>24</w:t>
                  </w:r>
                  <w:r>
                    <w:rPr>
                      <w:rFonts w:hint="eastAsia"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285297FB">
                  <w:pPr>
                    <w:snapToGrid w:val="0"/>
                    <w:jc w:val="center"/>
                    <w:rPr>
                      <w:rFonts w:eastAsia="Times New Roman"/>
                      <w:color w:val="auto"/>
                      <w:szCs w:val="21"/>
                      <w:highlight w:val="none"/>
                    </w:rPr>
                  </w:pPr>
                  <w:r>
                    <w:rPr>
                      <w:color w:val="auto"/>
                      <w:szCs w:val="21"/>
                      <w:highlight w:val="none"/>
                    </w:rPr>
                    <w:t>300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6C8B0B87">
                  <w:pPr>
                    <w:snapToGrid w:val="0"/>
                    <w:jc w:val="center"/>
                    <w:rPr>
                      <w:color w:val="auto"/>
                      <w:szCs w:val="21"/>
                      <w:highlight w:val="none"/>
                    </w:rPr>
                  </w:pPr>
                </w:p>
              </w:tc>
            </w:tr>
            <w:tr w14:paraId="0EB3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noWrap w:val="0"/>
                  <w:vAlign w:val="center"/>
                </w:tcPr>
                <w:p w14:paraId="768AFC47">
                  <w:pPr>
                    <w:snapToGrid w:val="0"/>
                    <w:jc w:val="center"/>
                    <w:rPr>
                      <w:color w:val="auto"/>
                      <w:szCs w:val="21"/>
                      <w:highlight w:val="none"/>
                    </w:rPr>
                  </w:pPr>
                </w:p>
              </w:tc>
              <w:tc>
                <w:tcPr>
                  <w:tcW w:w="1773" w:type="dxa"/>
                  <w:noWrap w:val="0"/>
                  <w:vAlign w:val="center"/>
                </w:tcPr>
                <w:p w14:paraId="375747BB">
                  <w:pPr>
                    <w:snapToGrid w:val="0"/>
                    <w:jc w:val="center"/>
                    <w:rPr>
                      <w:rFonts w:ascii="宋体" w:hAnsi="宋体" w:cs="宋体"/>
                      <w:color w:val="auto"/>
                      <w:szCs w:val="21"/>
                      <w:highlight w:val="none"/>
                    </w:rPr>
                  </w:pPr>
                  <w:r>
                    <w:rPr>
                      <w:rFonts w:ascii="宋体" w:hAnsi="宋体" w:cs="宋体"/>
                      <w:color w:val="auto"/>
                      <w:szCs w:val="21"/>
                      <w:highlight w:val="none"/>
                    </w:rPr>
                    <w:t>年</w:t>
                  </w:r>
                  <w:r>
                    <w:rPr>
                      <w:rFonts w:ascii="宋体" w:hAnsi="宋体" w:cs="宋体"/>
                      <w:color w:val="auto"/>
                      <w:spacing w:val="-1"/>
                      <w:szCs w:val="21"/>
                      <w:highlight w:val="none"/>
                    </w:rPr>
                    <w:t>平均</w:t>
                  </w:r>
                </w:p>
              </w:tc>
              <w:tc>
                <w:tcPr>
                  <w:tcW w:w="1554" w:type="dxa"/>
                  <w:noWrap w:val="0"/>
                  <w:vAlign w:val="center"/>
                </w:tcPr>
                <w:p w14:paraId="5207E640">
                  <w:pPr>
                    <w:snapToGrid w:val="0"/>
                    <w:jc w:val="center"/>
                    <w:rPr>
                      <w:rFonts w:eastAsia="Times New Roman"/>
                      <w:color w:val="auto"/>
                      <w:szCs w:val="21"/>
                      <w:highlight w:val="none"/>
                    </w:rPr>
                  </w:pPr>
                  <w:r>
                    <w:rPr>
                      <w:color w:val="auto"/>
                      <w:szCs w:val="21"/>
                      <w:highlight w:val="none"/>
                    </w:rPr>
                    <w:t>200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2EFCC58D">
                  <w:pPr>
                    <w:snapToGrid w:val="0"/>
                    <w:jc w:val="center"/>
                    <w:rPr>
                      <w:color w:val="auto"/>
                      <w:szCs w:val="21"/>
                      <w:highlight w:val="none"/>
                    </w:rPr>
                  </w:pPr>
                </w:p>
              </w:tc>
            </w:tr>
            <w:tr w14:paraId="5CD0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noWrap w:val="0"/>
                  <w:vAlign w:val="center"/>
                </w:tcPr>
                <w:p w14:paraId="5EE126A6">
                  <w:pPr>
                    <w:snapToGrid w:val="0"/>
                    <w:jc w:val="center"/>
                    <w:rPr>
                      <w:rFonts w:eastAsia="Times New Roman"/>
                      <w:color w:val="auto"/>
                      <w:szCs w:val="21"/>
                      <w:highlight w:val="none"/>
                    </w:rPr>
                  </w:pPr>
                  <w:r>
                    <w:rPr>
                      <w:color w:val="auto"/>
                      <w:szCs w:val="21"/>
                      <w:highlight w:val="none"/>
                    </w:rPr>
                    <w:t>CO</w:t>
                  </w:r>
                </w:p>
              </w:tc>
              <w:tc>
                <w:tcPr>
                  <w:tcW w:w="1773" w:type="dxa"/>
                  <w:noWrap w:val="0"/>
                  <w:vAlign w:val="center"/>
                </w:tcPr>
                <w:p w14:paraId="2C893449">
                  <w:pPr>
                    <w:snapToGrid w:val="0"/>
                    <w:jc w:val="center"/>
                    <w:rPr>
                      <w:rFonts w:ascii="宋体" w:hAnsi="宋体" w:cs="宋体"/>
                      <w:color w:val="auto"/>
                      <w:szCs w:val="21"/>
                      <w:highlight w:val="none"/>
                    </w:rPr>
                  </w:pPr>
                  <w:r>
                    <w:rPr>
                      <w:rFonts w:eastAsia="Times New Roman"/>
                      <w:color w:val="auto"/>
                      <w:szCs w:val="21"/>
                      <w:highlight w:val="none"/>
                    </w:rPr>
                    <w:t>1</w:t>
                  </w:r>
                  <w:r>
                    <w:rPr>
                      <w:rFonts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5FF06E02">
                  <w:pPr>
                    <w:snapToGrid w:val="0"/>
                    <w:jc w:val="center"/>
                    <w:rPr>
                      <w:rFonts w:eastAsia="Times New Roman"/>
                      <w:color w:val="auto"/>
                      <w:szCs w:val="21"/>
                      <w:highlight w:val="none"/>
                    </w:rPr>
                  </w:pPr>
                  <w:r>
                    <w:rPr>
                      <w:color w:val="auto"/>
                      <w:szCs w:val="21"/>
                      <w:highlight w:val="none"/>
                    </w:rPr>
                    <w:t>10</w:t>
                  </w:r>
                  <w:r>
                    <w:rPr>
                      <w:rFonts w:hint="eastAsia"/>
                      <w:color w:val="auto"/>
                      <w:szCs w:val="21"/>
                      <w:highlight w:val="none"/>
                    </w:rPr>
                    <w:t>m</w:t>
                  </w:r>
                  <w:r>
                    <w:rPr>
                      <w:color w:val="auto"/>
                      <w:spacing w:val="-1"/>
                      <w:szCs w:val="21"/>
                      <w:highlight w:val="none"/>
                    </w:rPr>
                    <w:t>g/m</w:t>
                  </w:r>
                  <w:r>
                    <w:rPr>
                      <w:color w:val="auto"/>
                      <w:spacing w:val="-1"/>
                      <w:szCs w:val="21"/>
                      <w:highlight w:val="none"/>
                      <w:vertAlign w:val="superscript"/>
                    </w:rPr>
                    <w:t>3</w:t>
                  </w:r>
                </w:p>
              </w:tc>
              <w:tc>
                <w:tcPr>
                  <w:tcW w:w="3503" w:type="dxa"/>
                  <w:vMerge w:val="continue"/>
                  <w:noWrap w:val="0"/>
                  <w:vAlign w:val="center"/>
                </w:tcPr>
                <w:p w14:paraId="35E8ADFC">
                  <w:pPr>
                    <w:snapToGrid w:val="0"/>
                    <w:jc w:val="center"/>
                    <w:rPr>
                      <w:color w:val="auto"/>
                      <w:szCs w:val="21"/>
                      <w:highlight w:val="none"/>
                    </w:rPr>
                  </w:pPr>
                </w:p>
              </w:tc>
            </w:tr>
            <w:tr w14:paraId="190A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noWrap w:val="0"/>
                  <w:vAlign w:val="center"/>
                </w:tcPr>
                <w:p w14:paraId="582EE105">
                  <w:pPr>
                    <w:snapToGrid w:val="0"/>
                    <w:jc w:val="center"/>
                    <w:rPr>
                      <w:color w:val="auto"/>
                      <w:szCs w:val="21"/>
                      <w:highlight w:val="none"/>
                    </w:rPr>
                  </w:pPr>
                </w:p>
              </w:tc>
              <w:tc>
                <w:tcPr>
                  <w:tcW w:w="1773" w:type="dxa"/>
                  <w:noWrap w:val="0"/>
                  <w:vAlign w:val="center"/>
                </w:tcPr>
                <w:p w14:paraId="0B06E15F">
                  <w:pPr>
                    <w:snapToGrid w:val="0"/>
                    <w:jc w:val="center"/>
                    <w:rPr>
                      <w:rFonts w:ascii="宋体" w:hAnsi="宋体" w:cs="宋体"/>
                      <w:color w:val="auto"/>
                      <w:szCs w:val="21"/>
                      <w:highlight w:val="none"/>
                    </w:rPr>
                  </w:pPr>
                  <w:r>
                    <w:rPr>
                      <w:color w:val="auto"/>
                      <w:szCs w:val="21"/>
                      <w:highlight w:val="none"/>
                    </w:rPr>
                    <w:t>24</w:t>
                  </w:r>
                  <w:r>
                    <w:rPr>
                      <w:rFonts w:hint="eastAsia"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05022691">
                  <w:pPr>
                    <w:snapToGrid w:val="0"/>
                    <w:jc w:val="center"/>
                    <w:rPr>
                      <w:rFonts w:eastAsia="Times New Roman"/>
                      <w:color w:val="auto"/>
                      <w:szCs w:val="21"/>
                      <w:highlight w:val="none"/>
                    </w:rPr>
                  </w:pPr>
                  <w:r>
                    <w:rPr>
                      <w:color w:val="auto"/>
                      <w:szCs w:val="21"/>
                      <w:highlight w:val="none"/>
                    </w:rPr>
                    <w:t>4</w:t>
                  </w:r>
                  <w:r>
                    <w:rPr>
                      <w:rFonts w:hint="eastAsia"/>
                      <w:color w:val="auto"/>
                      <w:szCs w:val="21"/>
                      <w:highlight w:val="none"/>
                    </w:rPr>
                    <w:t>m</w:t>
                  </w:r>
                  <w:r>
                    <w:rPr>
                      <w:color w:val="auto"/>
                      <w:spacing w:val="-1"/>
                      <w:szCs w:val="21"/>
                      <w:highlight w:val="none"/>
                    </w:rPr>
                    <w:t>g/m</w:t>
                  </w:r>
                  <w:r>
                    <w:rPr>
                      <w:color w:val="auto"/>
                      <w:spacing w:val="-1"/>
                      <w:szCs w:val="21"/>
                      <w:highlight w:val="none"/>
                      <w:vertAlign w:val="superscript"/>
                    </w:rPr>
                    <w:t>3</w:t>
                  </w:r>
                </w:p>
              </w:tc>
              <w:tc>
                <w:tcPr>
                  <w:tcW w:w="3503" w:type="dxa"/>
                  <w:vMerge w:val="continue"/>
                  <w:noWrap w:val="0"/>
                  <w:vAlign w:val="center"/>
                </w:tcPr>
                <w:p w14:paraId="3174B695">
                  <w:pPr>
                    <w:snapToGrid w:val="0"/>
                    <w:jc w:val="center"/>
                    <w:rPr>
                      <w:color w:val="auto"/>
                      <w:szCs w:val="21"/>
                      <w:highlight w:val="none"/>
                    </w:rPr>
                  </w:pPr>
                </w:p>
              </w:tc>
            </w:tr>
            <w:tr w14:paraId="0433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noWrap w:val="0"/>
                  <w:vAlign w:val="center"/>
                </w:tcPr>
                <w:p w14:paraId="64D46D8E">
                  <w:pPr>
                    <w:snapToGrid w:val="0"/>
                    <w:jc w:val="center"/>
                    <w:rPr>
                      <w:rFonts w:eastAsia="Times New Roman"/>
                      <w:color w:val="auto"/>
                      <w:szCs w:val="21"/>
                      <w:highlight w:val="none"/>
                    </w:rPr>
                  </w:pPr>
                  <w:r>
                    <w:rPr>
                      <w:color w:val="auto"/>
                      <w:position w:val="2"/>
                      <w:szCs w:val="21"/>
                      <w:highlight w:val="none"/>
                    </w:rPr>
                    <w:t>O</w:t>
                  </w:r>
                  <w:r>
                    <w:rPr>
                      <w:color w:val="auto"/>
                      <w:szCs w:val="21"/>
                      <w:highlight w:val="none"/>
                      <w:vertAlign w:val="subscript"/>
                    </w:rPr>
                    <w:t>3</w:t>
                  </w:r>
                </w:p>
              </w:tc>
              <w:tc>
                <w:tcPr>
                  <w:tcW w:w="1773" w:type="dxa"/>
                  <w:noWrap w:val="0"/>
                  <w:vAlign w:val="center"/>
                </w:tcPr>
                <w:p w14:paraId="1331B293">
                  <w:pPr>
                    <w:snapToGrid w:val="0"/>
                    <w:jc w:val="center"/>
                    <w:rPr>
                      <w:rFonts w:ascii="宋体" w:hAnsi="宋体" w:cs="宋体"/>
                      <w:color w:val="auto"/>
                      <w:szCs w:val="21"/>
                      <w:highlight w:val="none"/>
                    </w:rPr>
                  </w:pPr>
                  <w:r>
                    <w:rPr>
                      <w:rFonts w:hint="eastAsia" w:ascii="宋体" w:hAnsi="宋体" w:cs="宋体"/>
                      <w:color w:val="auto"/>
                      <w:spacing w:val="-1"/>
                      <w:szCs w:val="21"/>
                      <w:highlight w:val="none"/>
                    </w:rPr>
                    <w:t>1</w:t>
                  </w:r>
                  <w:r>
                    <w:rPr>
                      <w:rFonts w:ascii="宋体" w:hAnsi="宋体" w:cs="宋体"/>
                      <w:color w:val="auto"/>
                      <w:spacing w:val="-1"/>
                      <w:szCs w:val="21"/>
                      <w:highlight w:val="none"/>
                    </w:rPr>
                    <w:t>小时平均</w:t>
                  </w:r>
                </w:p>
              </w:tc>
              <w:tc>
                <w:tcPr>
                  <w:tcW w:w="1554" w:type="dxa"/>
                  <w:noWrap w:val="0"/>
                  <w:vAlign w:val="center"/>
                </w:tcPr>
                <w:p w14:paraId="2BF4C948">
                  <w:pPr>
                    <w:snapToGrid w:val="0"/>
                    <w:jc w:val="center"/>
                    <w:rPr>
                      <w:rFonts w:eastAsia="Times New Roman"/>
                      <w:color w:val="auto"/>
                      <w:szCs w:val="21"/>
                      <w:highlight w:val="none"/>
                    </w:rPr>
                  </w:pPr>
                  <w:r>
                    <w:rPr>
                      <w:color w:val="auto"/>
                      <w:szCs w:val="21"/>
                      <w:highlight w:val="none"/>
                    </w:rPr>
                    <w:t>200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6A1CFF20">
                  <w:pPr>
                    <w:snapToGrid w:val="0"/>
                    <w:jc w:val="center"/>
                    <w:rPr>
                      <w:color w:val="auto"/>
                      <w:szCs w:val="21"/>
                      <w:highlight w:val="none"/>
                    </w:rPr>
                  </w:pPr>
                </w:p>
              </w:tc>
            </w:tr>
            <w:tr w14:paraId="411C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noWrap w:val="0"/>
                  <w:vAlign w:val="center"/>
                </w:tcPr>
                <w:p w14:paraId="476FA7C6">
                  <w:pPr>
                    <w:snapToGrid w:val="0"/>
                    <w:jc w:val="center"/>
                    <w:rPr>
                      <w:color w:val="auto"/>
                      <w:szCs w:val="21"/>
                      <w:highlight w:val="none"/>
                    </w:rPr>
                  </w:pPr>
                </w:p>
              </w:tc>
              <w:tc>
                <w:tcPr>
                  <w:tcW w:w="1773" w:type="dxa"/>
                  <w:noWrap w:val="0"/>
                  <w:vAlign w:val="center"/>
                </w:tcPr>
                <w:p w14:paraId="72CB8F8B">
                  <w:pPr>
                    <w:snapToGrid w:val="0"/>
                    <w:jc w:val="center"/>
                    <w:rPr>
                      <w:rFonts w:ascii="宋体" w:hAnsi="宋体" w:cs="宋体"/>
                      <w:color w:val="auto"/>
                      <w:szCs w:val="21"/>
                      <w:highlight w:val="none"/>
                    </w:rPr>
                  </w:pPr>
                  <w:r>
                    <w:rPr>
                      <w:rFonts w:ascii="宋体" w:hAnsi="宋体" w:cs="宋体"/>
                      <w:color w:val="auto"/>
                      <w:szCs w:val="21"/>
                      <w:highlight w:val="none"/>
                    </w:rPr>
                    <w:t>日最大</w:t>
                  </w:r>
                  <w:r>
                    <w:rPr>
                      <w:rFonts w:eastAsia="Times New Roman"/>
                      <w:color w:val="auto"/>
                      <w:szCs w:val="21"/>
                      <w:highlight w:val="none"/>
                    </w:rPr>
                    <w:t xml:space="preserve">8 </w:t>
                  </w:r>
                  <w:r>
                    <w:rPr>
                      <w:rFonts w:ascii="宋体" w:hAnsi="宋体" w:cs="宋体"/>
                      <w:color w:val="auto"/>
                      <w:spacing w:val="-1"/>
                      <w:szCs w:val="21"/>
                      <w:highlight w:val="none"/>
                    </w:rPr>
                    <w:t>小时平均</w:t>
                  </w:r>
                </w:p>
              </w:tc>
              <w:tc>
                <w:tcPr>
                  <w:tcW w:w="1554" w:type="dxa"/>
                  <w:noWrap w:val="0"/>
                  <w:vAlign w:val="center"/>
                </w:tcPr>
                <w:p w14:paraId="12E9EDF2">
                  <w:pPr>
                    <w:snapToGrid w:val="0"/>
                    <w:jc w:val="center"/>
                    <w:rPr>
                      <w:rFonts w:eastAsia="Times New Roman"/>
                      <w:color w:val="auto"/>
                      <w:szCs w:val="21"/>
                      <w:highlight w:val="none"/>
                    </w:rPr>
                  </w:pPr>
                  <w:r>
                    <w:rPr>
                      <w:color w:val="auto"/>
                      <w:szCs w:val="21"/>
                      <w:highlight w:val="none"/>
                    </w:rPr>
                    <w:t>160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2EBFBA0B">
                  <w:pPr>
                    <w:snapToGrid w:val="0"/>
                    <w:jc w:val="center"/>
                    <w:rPr>
                      <w:color w:val="auto"/>
                      <w:szCs w:val="21"/>
                      <w:highlight w:val="none"/>
                    </w:rPr>
                  </w:pPr>
                </w:p>
              </w:tc>
            </w:tr>
          </w:tbl>
          <w:p w14:paraId="63C3C895">
            <w:pPr>
              <w:spacing w:line="360" w:lineRule="auto"/>
              <w:ind w:firstLine="482" w:firstLineChars="200"/>
              <w:rPr>
                <w:rFonts w:hint="eastAsia"/>
                <w:color w:val="auto"/>
                <w:sz w:val="24"/>
                <w:highlight w:val="none"/>
              </w:rPr>
            </w:pPr>
            <w:r>
              <w:rPr>
                <w:rFonts w:hint="eastAsia"/>
                <w:b/>
                <w:color w:val="auto"/>
                <w:sz w:val="24"/>
                <w:highlight w:val="none"/>
              </w:rPr>
              <w:t>2、声环境</w:t>
            </w:r>
          </w:p>
          <w:p w14:paraId="61C83EAD">
            <w:pPr>
              <w:spacing w:line="360" w:lineRule="auto"/>
              <w:ind w:firstLine="480" w:firstLineChars="200"/>
              <w:rPr>
                <w:rFonts w:hint="eastAsia"/>
                <w:color w:val="auto"/>
                <w:sz w:val="24"/>
                <w:highlight w:val="none"/>
              </w:rPr>
            </w:pPr>
            <w:r>
              <w:rPr>
                <w:rFonts w:hint="eastAsia" w:ascii="Times New Roman" w:hAnsi="Times New Roman" w:eastAsia="宋体" w:cs="Times New Roman"/>
                <w:color w:val="auto"/>
                <w:sz w:val="24"/>
                <w:highlight w:val="none"/>
                <w:lang w:val="en-US" w:eastAsia="zh-CN"/>
              </w:rPr>
              <w:t>根据《钦州市中心城区声环境功能区划（2018-2035年）》，未对其进行声环境功能区划</w:t>
            </w:r>
            <w:r>
              <w:rPr>
                <w:rFonts w:hint="eastAsia" w:ascii="Times New Roman" w:hAnsi="Times New Roman" w:eastAsia="宋体" w:cs="Times New Roman"/>
                <w:color w:val="auto"/>
                <w:sz w:val="24"/>
                <w:highlight w:val="none"/>
                <w:shd w:val="clear" w:color="auto" w:fill="FFFFFF"/>
                <w:lang w:val="en-US" w:eastAsia="zh-CN"/>
              </w:rPr>
              <w:t>，工程区域参照后方陆域执行3类声环境功能区，执行声环境质量标准《声环境质量标准》（GB3096-2008）3类环境噪声限值</w:t>
            </w:r>
            <w:r>
              <w:rPr>
                <w:rFonts w:hint="eastAsia"/>
                <w:color w:val="auto"/>
                <w:sz w:val="24"/>
                <w:highlight w:val="none"/>
              </w:rPr>
              <w:t>。</w:t>
            </w:r>
          </w:p>
          <w:p w14:paraId="2EFF0900">
            <w:pPr>
              <w:snapToGrid w:val="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表3.4-2 环境质量标准</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940"/>
              <w:gridCol w:w="1890"/>
              <w:gridCol w:w="2544"/>
            </w:tblGrid>
            <w:tr w14:paraId="4840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pct"/>
                  <w:vMerge w:val="restart"/>
                  <w:noWrap w:val="0"/>
                  <w:vAlign w:val="center"/>
                </w:tcPr>
                <w:p w14:paraId="2249A3ED">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类别</w:t>
                  </w:r>
                </w:p>
              </w:tc>
              <w:tc>
                <w:tcPr>
                  <w:tcW w:w="2405" w:type="pct"/>
                  <w:gridSpan w:val="2"/>
                  <w:noWrap w:val="0"/>
                  <w:vAlign w:val="center"/>
                </w:tcPr>
                <w:p w14:paraId="1F0AC076">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标准值</w:t>
                  </w:r>
                </w:p>
              </w:tc>
              <w:tc>
                <w:tcPr>
                  <w:tcW w:w="1597" w:type="pct"/>
                  <w:vMerge w:val="restart"/>
                  <w:noWrap w:val="0"/>
                  <w:vAlign w:val="center"/>
                </w:tcPr>
                <w:p w14:paraId="5D2B99A3">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标准来源</w:t>
                  </w:r>
                </w:p>
              </w:tc>
            </w:tr>
            <w:tr w14:paraId="1ACF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pct"/>
                  <w:vMerge w:val="continue"/>
                  <w:noWrap w:val="0"/>
                  <w:vAlign w:val="center"/>
                </w:tcPr>
                <w:p w14:paraId="10472032">
                  <w:pPr>
                    <w:snapToGrid w:val="0"/>
                    <w:jc w:val="center"/>
                    <w:rPr>
                      <w:rFonts w:hint="default" w:ascii="Times New Roman" w:hAnsi="Times New Roman" w:eastAsia="宋体" w:cs="Times New Roman"/>
                      <w:color w:val="auto"/>
                      <w:szCs w:val="21"/>
                      <w:highlight w:val="none"/>
                      <w:lang w:val="en-US" w:eastAsia="zh-CN"/>
                    </w:rPr>
                  </w:pPr>
                </w:p>
              </w:tc>
              <w:tc>
                <w:tcPr>
                  <w:tcW w:w="1218" w:type="pct"/>
                  <w:noWrap w:val="0"/>
                  <w:vAlign w:val="center"/>
                </w:tcPr>
                <w:p w14:paraId="10677D78">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w:t>
                  </w:r>
                </w:p>
              </w:tc>
              <w:tc>
                <w:tcPr>
                  <w:tcW w:w="1187" w:type="pct"/>
                  <w:noWrap w:val="0"/>
                  <w:vAlign w:val="center"/>
                </w:tcPr>
                <w:p w14:paraId="3ADA77F3">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夜间</w:t>
                  </w:r>
                </w:p>
              </w:tc>
              <w:tc>
                <w:tcPr>
                  <w:tcW w:w="1597" w:type="pct"/>
                  <w:vMerge w:val="continue"/>
                  <w:noWrap w:val="0"/>
                  <w:vAlign w:val="top"/>
                </w:tcPr>
                <w:p w14:paraId="0239A867">
                  <w:pPr>
                    <w:snapToGrid w:val="0"/>
                    <w:jc w:val="center"/>
                    <w:rPr>
                      <w:rFonts w:hint="default" w:ascii="Times New Roman" w:hAnsi="Times New Roman" w:eastAsia="宋体" w:cs="Times New Roman"/>
                      <w:color w:val="auto"/>
                      <w:szCs w:val="21"/>
                      <w:highlight w:val="none"/>
                      <w:lang w:val="en-US" w:eastAsia="zh-CN"/>
                    </w:rPr>
                  </w:pPr>
                </w:p>
              </w:tc>
            </w:tr>
            <w:tr w14:paraId="0391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pct"/>
                  <w:noWrap w:val="0"/>
                  <w:vAlign w:val="center"/>
                </w:tcPr>
                <w:p w14:paraId="2082789E">
                  <w:pPr>
                    <w:snapToGrid w:val="0"/>
                    <w:jc w:val="center"/>
                    <w:rPr>
                      <w:rFonts w:hint="default" w:ascii="Times New Roman" w:hAnsi="Times New Roman" w:eastAsia="宋体" w:cs="Times New Roman"/>
                      <w:color w:val="auto"/>
                      <w:position w:val="2"/>
                      <w:szCs w:val="21"/>
                      <w:highlight w:val="none"/>
                      <w:lang w:val="en-US" w:eastAsia="zh-CN"/>
                    </w:rPr>
                  </w:pPr>
                  <w:r>
                    <w:rPr>
                      <w:rFonts w:hint="eastAsia" w:ascii="Times New Roman" w:hAnsi="Times New Roman" w:eastAsia="宋体" w:cs="Times New Roman"/>
                      <w:color w:val="auto"/>
                      <w:position w:val="2"/>
                      <w:szCs w:val="21"/>
                      <w:highlight w:val="none"/>
                      <w:lang w:val="en-US" w:eastAsia="zh-CN"/>
                    </w:rPr>
                    <w:t>3类</w:t>
                  </w:r>
                </w:p>
              </w:tc>
              <w:tc>
                <w:tcPr>
                  <w:tcW w:w="1218" w:type="pct"/>
                  <w:noWrap w:val="0"/>
                  <w:vAlign w:val="center"/>
                </w:tcPr>
                <w:p w14:paraId="4414D516">
                  <w:pPr>
                    <w:snapToGrid w:val="0"/>
                    <w:jc w:val="center"/>
                    <w:rPr>
                      <w:rFonts w:hint="eastAsia" w:ascii="Times New Roman" w:hAnsi="Times New Roman" w:eastAsia="宋体" w:cs="Times New Roman"/>
                      <w:color w:val="auto"/>
                      <w:position w:val="2"/>
                      <w:szCs w:val="21"/>
                      <w:highlight w:val="none"/>
                      <w:lang w:val="en-US" w:eastAsia="zh-CN"/>
                    </w:rPr>
                  </w:pPr>
                  <w:r>
                    <w:rPr>
                      <w:rFonts w:hint="eastAsia" w:ascii="Times New Roman" w:hAnsi="Times New Roman" w:eastAsia="宋体" w:cs="Times New Roman"/>
                      <w:color w:val="auto"/>
                      <w:position w:val="2"/>
                      <w:szCs w:val="21"/>
                      <w:highlight w:val="none"/>
                      <w:lang w:val="en-US" w:eastAsia="zh-CN"/>
                    </w:rPr>
                    <w:t>65</w:t>
                  </w:r>
                </w:p>
              </w:tc>
              <w:tc>
                <w:tcPr>
                  <w:tcW w:w="1187" w:type="pct"/>
                  <w:noWrap w:val="0"/>
                  <w:vAlign w:val="center"/>
                </w:tcPr>
                <w:p w14:paraId="55DB45D7">
                  <w:pPr>
                    <w:snapToGrid w:val="0"/>
                    <w:jc w:val="center"/>
                    <w:rPr>
                      <w:rFonts w:hint="default" w:ascii="Times New Roman" w:hAnsi="Times New Roman" w:eastAsia="宋体" w:cs="Times New Roman"/>
                      <w:color w:val="auto"/>
                      <w:position w:val="2"/>
                      <w:szCs w:val="21"/>
                      <w:highlight w:val="none"/>
                      <w:lang w:val="en-US" w:eastAsia="zh-CN"/>
                    </w:rPr>
                  </w:pPr>
                  <w:r>
                    <w:rPr>
                      <w:rFonts w:hint="eastAsia" w:ascii="Times New Roman" w:hAnsi="Times New Roman" w:eastAsia="宋体" w:cs="Times New Roman"/>
                      <w:color w:val="auto"/>
                      <w:position w:val="2"/>
                      <w:szCs w:val="21"/>
                      <w:highlight w:val="none"/>
                      <w:lang w:val="en-US" w:eastAsia="zh-CN"/>
                    </w:rPr>
                    <w:t>55</w:t>
                  </w:r>
                </w:p>
              </w:tc>
              <w:tc>
                <w:tcPr>
                  <w:tcW w:w="1597" w:type="pct"/>
                  <w:noWrap w:val="0"/>
                  <w:vAlign w:val="center"/>
                </w:tcPr>
                <w:p w14:paraId="7F203FF6">
                  <w:pPr>
                    <w:snapToGrid w:val="0"/>
                    <w:jc w:val="center"/>
                    <w:rPr>
                      <w:rFonts w:hint="default" w:ascii="Times New Roman" w:hAnsi="Times New Roman" w:eastAsia="宋体" w:cs="Times New Roman"/>
                      <w:color w:val="auto"/>
                      <w:position w:val="2"/>
                      <w:szCs w:val="21"/>
                      <w:highlight w:val="none"/>
                      <w:lang w:val="en-US" w:eastAsia="zh-CN"/>
                    </w:rPr>
                  </w:pPr>
                  <w:r>
                    <w:rPr>
                      <w:rFonts w:hint="eastAsia" w:ascii="Times New Roman" w:hAnsi="Times New Roman" w:eastAsia="宋体" w:cs="Times New Roman"/>
                      <w:color w:val="auto"/>
                      <w:position w:val="2"/>
                      <w:szCs w:val="21"/>
                      <w:highlight w:val="none"/>
                      <w:lang w:val="en-US" w:eastAsia="zh-CN"/>
                    </w:rPr>
                    <w:t>《声环境质量标准》（</w:t>
                  </w:r>
                  <w:r>
                    <w:rPr>
                      <w:rFonts w:hint="default" w:ascii="Times New Roman" w:hAnsi="Times New Roman" w:eastAsia="宋体" w:cs="Times New Roman"/>
                      <w:color w:val="auto"/>
                      <w:position w:val="2"/>
                      <w:szCs w:val="21"/>
                      <w:highlight w:val="none"/>
                      <w:lang w:val="en-US" w:eastAsia="zh-CN"/>
                    </w:rPr>
                    <w:t>GB3096-2008</w:t>
                  </w:r>
                  <w:r>
                    <w:rPr>
                      <w:rFonts w:hint="eastAsia" w:ascii="Times New Roman" w:hAnsi="Times New Roman" w:eastAsia="宋体" w:cs="Times New Roman"/>
                      <w:color w:val="auto"/>
                      <w:position w:val="2"/>
                      <w:szCs w:val="21"/>
                      <w:highlight w:val="none"/>
                      <w:lang w:val="en-US" w:eastAsia="zh-CN"/>
                    </w:rPr>
                    <w:t>）</w:t>
                  </w:r>
                </w:p>
              </w:tc>
            </w:tr>
          </w:tbl>
          <w:p w14:paraId="63B3EFB1">
            <w:pPr>
              <w:spacing w:line="360" w:lineRule="auto"/>
              <w:ind w:firstLine="482" w:firstLineChars="200"/>
              <w:rPr>
                <w:rFonts w:hint="eastAsia" w:ascii="Times New Roman" w:hAnsi="Times New Roman" w:eastAsia="宋体" w:cs="Times New Roman"/>
                <w:b/>
                <w:color w:val="auto"/>
                <w:sz w:val="24"/>
                <w:highlight w:val="none"/>
                <w:lang w:val="en-US" w:eastAsia="zh-CN"/>
              </w:rPr>
            </w:pPr>
          </w:p>
          <w:p w14:paraId="622AF6D3">
            <w:pPr>
              <w:spacing w:line="360" w:lineRule="auto"/>
              <w:ind w:firstLine="482" w:firstLineChars="200"/>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3、海水水质</w:t>
            </w:r>
          </w:p>
          <w:p w14:paraId="3AAD4660">
            <w:pPr>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val="en-US" w:eastAsia="zh-CN"/>
              </w:rPr>
              <w:t>《广西壮族自治区近岸海域环境功能区划调整方案》（桂环发〔2023〕9 号）</w:t>
            </w:r>
            <w:r>
              <w:rPr>
                <w:rFonts w:hint="eastAsia" w:ascii="Times New Roman" w:hAnsi="Times New Roman" w:eastAsia="宋体" w:cs="Times New Roman"/>
                <w:color w:val="auto"/>
                <w:sz w:val="24"/>
                <w:highlight w:val="none"/>
                <w:lang w:val="en-US" w:eastAsia="zh-CN"/>
              </w:rPr>
              <w:t>，本项目位于钦州港大榄坪港口、工业区(GX055D IV)，主导功能为港口、工业用海，属四类环境功能区</w:t>
            </w:r>
            <w:r>
              <w:rPr>
                <w:rFonts w:hint="eastAsia" w:hAnsi="宋体"/>
                <w:color w:val="auto"/>
                <w:sz w:val="24"/>
                <w:highlight w:val="none"/>
              </w:rPr>
              <w:t>，</w:t>
            </w:r>
            <w:r>
              <w:rPr>
                <w:rFonts w:hint="eastAsia" w:ascii="Times New Roman" w:hAnsi="Times New Roman" w:eastAsia="宋体" w:cs="Times New Roman"/>
                <w:color w:val="auto"/>
                <w:sz w:val="24"/>
                <w:highlight w:val="none"/>
                <w:lang w:val="en-US" w:eastAsia="zh-CN"/>
              </w:rPr>
              <w:t>水质保护目标为海水水质标准第四类，执行《海水水质标准》（GB3097-1997）第四类标准。</w:t>
            </w:r>
          </w:p>
          <w:p w14:paraId="7A30E03A">
            <w:pPr>
              <w:tabs>
                <w:tab w:val="left" w:pos="0"/>
              </w:tabs>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表3.4-3 海水水质标准  单位：mg/L (pH除外)</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6"/>
              <w:gridCol w:w="3578"/>
            </w:tblGrid>
            <w:tr w14:paraId="4B84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86" w:type="dxa"/>
                  <w:noWrap w:val="0"/>
                  <w:vAlign w:val="center"/>
                </w:tcPr>
                <w:p w14:paraId="0D57D732">
                  <w:pPr>
                    <w:pStyle w:val="179"/>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污染物名称</w:t>
                  </w:r>
                </w:p>
              </w:tc>
              <w:tc>
                <w:tcPr>
                  <w:tcW w:w="3578" w:type="dxa"/>
                  <w:noWrap w:val="0"/>
                  <w:vAlign w:val="center"/>
                </w:tcPr>
                <w:p w14:paraId="3EE86F04">
                  <w:pPr>
                    <w:pStyle w:val="179"/>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第四类</w:t>
                  </w:r>
                </w:p>
              </w:tc>
            </w:tr>
            <w:tr w14:paraId="23BB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noWrap w:val="0"/>
                  <w:vAlign w:val="center"/>
                </w:tcPr>
                <w:p w14:paraId="657CA26B">
                  <w:pPr>
                    <w:pStyle w:val="179"/>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SS</w:t>
                  </w:r>
                </w:p>
              </w:tc>
              <w:tc>
                <w:tcPr>
                  <w:tcW w:w="3578" w:type="dxa"/>
                  <w:noWrap w:val="0"/>
                  <w:vAlign w:val="center"/>
                </w:tcPr>
                <w:p w14:paraId="1E8D2AC0">
                  <w:pPr>
                    <w:pStyle w:val="179"/>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人为增加的量</w:t>
                  </w:r>
                </w:p>
              </w:tc>
            </w:tr>
            <w:tr w14:paraId="0F32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noWrap w:val="0"/>
                  <w:vAlign w:val="center"/>
                </w:tcPr>
                <w:p w14:paraId="5BABD509">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w:t>
                  </w:r>
                </w:p>
              </w:tc>
              <w:tc>
                <w:tcPr>
                  <w:tcW w:w="3578" w:type="dxa"/>
                  <w:noWrap w:val="0"/>
                  <w:vAlign w:val="center"/>
                </w:tcPr>
                <w:p w14:paraId="6BA0F271">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6.8-8.8</w:t>
                  </w:r>
                </w:p>
              </w:tc>
            </w:tr>
            <w:tr w14:paraId="3ED4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noWrap w:val="0"/>
                  <w:vAlign w:val="center"/>
                </w:tcPr>
                <w:p w14:paraId="12EE47FC">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DO&gt;</w:t>
                  </w:r>
                </w:p>
              </w:tc>
              <w:tc>
                <w:tcPr>
                  <w:tcW w:w="3578" w:type="dxa"/>
                  <w:noWrap w:val="0"/>
                  <w:vAlign w:val="center"/>
                </w:tcPr>
                <w:p w14:paraId="4B1F52F5">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r>
            <w:tr w14:paraId="4B8B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386" w:type="dxa"/>
                  <w:noWrap w:val="0"/>
                  <w:vAlign w:val="center"/>
                </w:tcPr>
                <w:p w14:paraId="24E48E73">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r>
                    <w:rPr>
                      <w:rFonts w:hint="eastAsia" w:ascii="Times New Roman" w:hAnsi="Times New Roman" w:eastAsia="宋体" w:cs="Times New Roman"/>
                      <w:color w:val="auto"/>
                      <w:sz w:val="21"/>
                      <w:szCs w:val="21"/>
                      <w:highlight w:val="none"/>
                      <w:lang w:val="en-US" w:eastAsia="zh-CN"/>
                    </w:rPr>
                    <w:t>≤</w:t>
                  </w:r>
                </w:p>
              </w:tc>
              <w:tc>
                <w:tcPr>
                  <w:tcW w:w="3578" w:type="dxa"/>
                  <w:noWrap w:val="0"/>
                  <w:vAlign w:val="center"/>
                </w:tcPr>
                <w:p w14:paraId="76EE5842">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r>
            <w:tr w14:paraId="2A4D1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noWrap w:val="0"/>
                  <w:vAlign w:val="center"/>
                </w:tcPr>
                <w:p w14:paraId="2D5BB39E">
                  <w:pPr>
                    <w:pStyle w:val="179"/>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无机氮≤</w:t>
                  </w:r>
                </w:p>
              </w:tc>
              <w:tc>
                <w:tcPr>
                  <w:tcW w:w="3578" w:type="dxa"/>
                  <w:noWrap w:val="0"/>
                  <w:vAlign w:val="center"/>
                </w:tcPr>
                <w:p w14:paraId="101F2F92">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r>
            <w:tr w14:paraId="66D3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noWrap w:val="0"/>
                  <w:vAlign w:val="center"/>
                </w:tcPr>
                <w:p w14:paraId="18EBDC4F">
                  <w:pPr>
                    <w:pStyle w:val="179"/>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活性磷酸盐≤</w:t>
                  </w:r>
                </w:p>
              </w:tc>
              <w:tc>
                <w:tcPr>
                  <w:tcW w:w="3578" w:type="dxa"/>
                  <w:noWrap w:val="0"/>
                  <w:vAlign w:val="center"/>
                </w:tcPr>
                <w:p w14:paraId="59F7EC9E">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0.045</w:t>
                  </w:r>
                </w:p>
              </w:tc>
            </w:tr>
            <w:tr w14:paraId="6F33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noWrap w:val="0"/>
                  <w:vAlign w:val="center"/>
                </w:tcPr>
                <w:p w14:paraId="01BBDD09">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Pb</w:t>
                  </w:r>
                  <w:r>
                    <w:rPr>
                      <w:rFonts w:hint="eastAsia" w:ascii="Times New Roman" w:hAnsi="Times New Roman" w:eastAsia="宋体" w:cs="Times New Roman"/>
                      <w:color w:val="auto"/>
                      <w:sz w:val="21"/>
                      <w:szCs w:val="21"/>
                      <w:highlight w:val="none"/>
                      <w:lang w:val="en-US" w:eastAsia="zh-CN"/>
                    </w:rPr>
                    <w:t>≤</w:t>
                  </w:r>
                </w:p>
              </w:tc>
              <w:tc>
                <w:tcPr>
                  <w:tcW w:w="3578" w:type="dxa"/>
                  <w:noWrap w:val="0"/>
                  <w:vAlign w:val="center"/>
                </w:tcPr>
                <w:p w14:paraId="7F59FB92">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r>
            <w:tr w14:paraId="25C6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noWrap w:val="0"/>
                  <w:vAlign w:val="center"/>
                </w:tcPr>
                <w:p w14:paraId="14BC33E6">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Cu</w:t>
                  </w:r>
                  <w:r>
                    <w:rPr>
                      <w:rFonts w:hint="eastAsia" w:ascii="Times New Roman" w:hAnsi="Times New Roman" w:eastAsia="宋体" w:cs="Times New Roman"/>
                      <w:color w:val="auto"/>
                      <w:sz w:val="21"/>
                      <w:szCs w:val="21"/>
                      <w:highlight w:val="none"/>
                      <w:lang w:val="en-US" w:eastAsia="zh-CN"/>
                    </w:rPr>
                    <w:t>≤</w:t>
                  </w:r>
                </w:p>
              </w:tc>
              <w:tc>
                <w:tcPr>
                  <w:tcW w:w="3578" w:type="dxa"/>
                  <w:noWrap w:val="0"/>
                  <w:vAlign w:val="center"/>
                </w:tcPr>
                <w:p w14:paraId="4B549E99">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r>
            <w:tr w14:paraId="3BF7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noWrap w:val="0"/>
                  <w:vAlign w:val="center"/>
                </w:tcPr>
                <w:p w14:paraId="110EA646">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Hg</w:t>
                  </w:r>
                  <w:r>
                    <w:rPr>
                      <w:rFonts w:hint="eastAsia" w:ascii="Times New Roman" w:hAnsi="Times New Roman" w:eastAsia="宋体" w:cs="Times New Roman"/>
                      <w:color w:val="auto"/>
                      <w:sz w:val="21"/>
                      <w:szCs w:val="21"/>
                      <w:highlight w:val="none"/>
                      <w:lang w:val="en-US" w:eastAsia="zh-CN"/>
                    </w:rPr>
                    <w:t>≤</w:t>
                  </w:r>
                </w:p>
              </w:tc>
              <w:tc>
                <w:tcPr>
                  <w:tcW w:w="3578" w:type="dxa"/>
                  <w:noWrap w:val="0"/>
                  <w:vAlign w:val="center"/>
                </w:tcPr>
                <w:p w14:paraId="7319181E">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0.0005</w:t>
                  </w:r>
                </w:p>
              </w:tc>
            </w:tr>
            <w:tr w14:paraId="2FB7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noWrap w:val="0"/>
                  <w:vAlign w:val="center"/>
                </w:tcPr>
                <w:p w14:paraId="1CD3A32A">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Zn</w:t>
                  </w:r>
                  <w:r>
                    <w:rPr>
                      <w:rFonts w:hint="eastAsia" w:ascii="Times New Roman" w:hAnsi="Times New Roman" w:eastAsia="宋体" w:cs="Times New Roman"/>
                      <w:color w:val="auto"/>
                      <w:sz w:val="21"/>
                      <w:szCs w:val="21"/>
                      <w:highlight w:val="none"/>
                      <w:lang w:val="en-US" w:eastAsia="zh-CN"/>
                    </w:rPr>
                    <w:t>≤</w:t>
                  </w:r>
                </w:p>
              </w:tc>
              <w:tc>
                <w:tcPr>
                  <w:tcW w:w="3578" w:type="dxa"/>
                  <w:noWrap w:val="0"/>
                  <w:vAlign w:val="center"/>
                </w:tcPr>
                <w:p w14:paraId="3CEABA17">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r>
            <w:tr w14:paraId="2341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noWrap w:val="0"/>
                  <w:vAlign w:val="center"/>
                </w:tcPr>
                <w:p w14:paraId="3F224729">
                  <w:pPr>
                    <w:pStyle w:val="179"/>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石油类≤</w:t>
                  </w:r>
                </w:p>
              </w:tc>
              <w:tc>
                <w:tcPr>
                  <w:tcW w:w="3578" w:type="dxa"/>
                  <w:noWrap w:val="0"/>
                  <w:vAlign w:val="center"/>
                </w:tcPr>
                <w:p w14:paraId="749EC25A">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r>
            <w:tr w14:paraId="630B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noWrap w:val="0"/>
                  <w:vAlign w:val="center"/>
                </w:tcPr>
                <w:p w14:paraId="609C89DD">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Cd</w:t>
                  </w:r>
                  <w:r>
                    <w:rPr>
                      <w:rFonts w:hint="eastAsia" w:ascii="Times New Roman" w:hAnsi="Times New Roman" w:eastAsia="宋体" w:cs="Times New Roman"/>
                      <w:color w:val="auto"/>
                      <w:sz w:val="21"/>
                      <w:szCs w:val="21"/>
                      <w:highlight w:val="none"/>
                      <w:lang w:val="en-US" w:eastAsia="zh-CN"/>
                    </w:rPr>
                    <w:t>≤</w:t>
                  </w:r>
                </w:p>
              </w:tc>
              <w:tc>
                <w:tcPr>
                  <w:tcW w:w="3578" w:type="dxa"/>
                  <w:noWrap w:val="0"/>
                  <w:vAlign w:val="center"/>
                </w:tcPr>
                <w:p w14:paraId="028548E1">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r>
          </w:tbl>
          <w:p w14:paraId="73EE1352">
            <w:pPr>
              <w:spacing w:line="360" w:lineRule="auto"/>
              <w:ind w:firstLine="482" w:firstLineChars="200"/>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4、海洋沉积物</w:t>
            </w:r>
          </w:p>
          <w:p w14:paraId="2A7DD934">
            <w:pPr>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广西壮族自治区海洋功能区划（2012-2020年）</w:t>
            </w:r>
            <w:r>
              <w:rPr>
                <w:rFonts w:hint="default" w:ascii="Times New Roman" w:hAnsi="Times New Roman" w:eastAsia="宋体" w:cs="Times New Roman"/>
                <w:color w:val="auto"/>
                <w:sz w:val="24"/>
                <w:highlight w:val="none"/>
                <w:lang w:val="en-US" w:eastAsia="zh-CN"/>
              </w:rPr>
              <w:t>》（桂</w:t>
            </w:r>
            <w:r>
              <w:rPr>
                <w:rFonts w:hint="eastAsia" w:ascii="Times New Roman" w:hAnsi="Times New Roman" w:eastAsia="宋体" w:cs="Times New Roman"/>
                <w:color w:val="auto"/>
                <w:sz w:val="24"/>
                <w:highlight w:val="none"/>
                <w:lang w:val="en-US" w:eastAsia="zh-CN"/>
              </w:rPr>
              <w:t>海</w:t>
            </w:r>
            <w:r>
              <w:rPr>
                <w:rFonts w:hint="default" w:ascii="Times New Roman" w:hAnsi="Times New Roman" w:eastAsia="宋体" w:cs="Times New Roman"/>
                <w:color w:val="auto"/>
                <w:sz w:val="24"/>
                <w:highlight w:val="none"/>
                <w:lang w:val="en-US" w:eastAsia="zh-CN"/>
              </w:rPr>
              <w:t>发〔</w:t>
            </w:r>
            <w:r>
              <w:rPr>
                <w:rFonts w:hint="eastAsia" w:ascii="Times New Roman" w:hAnsi="Times New Roman" w:eastAsia="宋体" w:cs="Times New Roman"/>
                <w:color w:val="auto"/>
                <w:sz w:val="24"/>
                <w:highlight w:val="none"/>
                <w:lang w:val="en-US" w:eastAsia="zh-CN"/>
              </w:rPr>
              <w:t>2013</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9 号）</w:t>
            </w:r>
            <w:r>
              <w:rPr>
                <w:rFonts w:hint="eastAsia" w:ascii="Times New Roman" w:hAnsi="Times New Roman" w:eastAsia="宋体" w:cs="Times New Roman"/>
                <w:color w:val="auto"/>
                <w:sz w:val="24"/>
                <w:highlight w:val="none"/>
                <w:lang w:val="en-US" w:eastAsia="zh-CN"/>
              </w:rPr>
              <w:t>，本项目位于“A2-9 鹰岭-果子山-金鼓江港口航运区”，主导功能为港口航运，海洋沉积物执行不劣于三类标准。</w:t>
            </w:r>
          </w:p>
          <w:p w14:paraId="058F525A">
            <w:pPr>
              <w:tabs>
                <w:tab w:val="left" w:pos="0"/>
              </w:tabs>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表3.4-5海洋沉积物质量标准</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1989"/>
              <w:gridCol w:w="1991"/>
              <w:gridCol w:w="1992"/>
            </w:tblGrid>
            <w:tr w14:paraId="1218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9" w:type="pct"/>
                  <w:noWrap w:val="0"/>
                  <w:vAlign w:val="top"/>
                </w:tcPr>
                <w:p w14:paraId="474F6C66">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评价项目</w:t>
                  </w:r>
                </w:p>
              </w:tc>
              <w:tc>
                <w:tcPr>
                  <w:tcW w:w="1249" w:type="pct"/>
                  <w:noWrap w:val="0"/>
                  <w:vAlign w:val="top"/>
                </w:tcPr>
                <w:p w14:paraId="03E32529">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第一类</w:t>
                  </w:r>
                </w:p>
              </w:tc>
              <w:tc>
                <w:tcPr>
                  <w:tcW w:w="1250" w:type="pct"/>
                  <w:noWrap w:val="0"/>
                  <w:vAlign w:val="top"/>
                </w:tcPr>
                <w:p w14:paraId="59017E65">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第二类</w:t>
                  </w:r>
                </w:p>
              </w:tc>
              <w:tc>
                <w:tcPr>
                  <w:tcW w:w="1251" w:type="pct"/>
                  <w:noWrap w:val="0"/>
                  <w:vAlign w:val="top"/>
                </w:tcPr>
                <w:p w14:paraId="1983FFB1">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第三类</w:t>
                  </w:r>
                </w:p>
              </w:tc>
            </w:tr>
            <w:tr w14:paraId="7F0E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31FED4DC">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有机碳（</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vertAlign w:val="superscript"/>
                      <w:lang w:val="en-US" w:eastAsia="zh-CN"/>
                    </w:rPr>
                    <w:t>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38284B50">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250" w:type="pct"/>
                  <w:noWrap w:val="0"/>
                  <w:vAlign w:val="top"/>
                </w:tcPr>
                <w:p w14:paraId="6C320658">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251" w:type="pct"/>
                  <w:noWrap w:val="0"/>
                  <w:vAlign w:val="top"/>
                </w:tcPr>
                <w:p w14:paraId="30BCB265">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r>
            <w:tr w14:paraId="328F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249" w:type="pct"/>
                  <w:noWrap w:val="0"/>
                  <w:vAlign w:val="top"/>
                </w:tcPr>
                <w:p w14:paraId="30962CFA">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硫化物（</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vertAlign w:val="superscript"/>
                      <w:lang w:val="en-US" w:eastAsia="zh-CN"/>
                    </w:rPr>
                    <w:t>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6B6C6A61">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1250" w:type="pct"/>
                  <w:noWrap w:val="0"/>
                  <w:vAlign w:val="top"/>
                </w:tcPr>
                <w:p w14:paraId="41DB5A61">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1251" w:type="pct"/>
                  <w:noWrap w:val="0"/>
                  <w:vAlign w:val="top"/>
                </w:tcPr>
                <w:p w14:paraId="0F0D195E">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w:t>
                  </w:r>
                </w:p>
              </w:tc>
            </w:tr>
            <w:tr w14:paraId="76E6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70A27A0A">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石油类（</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vertAlign w:val="superscript"/>
                      <w:lang w:val="en-US" w:eastAsia="zh-CN"/>
                    </w:rPr>
                    <w:t>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77E29AF2">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1250" w:type="pct"/>
                  <w:noWrap w:val="0"/>
                  <w:vAlign w:val="top"/>
                </w:tcPr>
                <w:p w14:paraId="6E837229">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1000</w:t>
                  </w:r>
                </w:p>
              </w:tc>
              <w:tc>
                <w:tcPr>
                  <w:tcW w:w="1251" w:type="pct"/>
                  <w:noWrap w:val="0"/>
                  <w:vAlign w:val="top"/>
                </w:tcPr>
                <w:p w14:paraId="0BC635AD">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1500</w:t>
                  </w:r>
                </w:p>
              </w:tc>
            </w:tr>
            <w:tr w14:paraId="2E00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3AC6662A">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铜（</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vertAlign w:val="superscript"/>
                      <w:lang w:val="en-US" w:eastAsia="zh-CN"/>
                    </w:rPr>
                    <w:t>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66DAB685">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w:t>
                  </w:r>
                </w:p>
              </w:tc>
              <w:tc>
                <w:tcPr>
                  <w:tcW w:w="1250" w:type="pct"/>
                  <w:noWrap w:val="0"/>
                  <w:vAlign w:val="top"/>
                </w:tcPr>
                <w:p w14:paraId="75CFB3E7">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1251" w:type="pct"/>
                  <w:noWrap w:val="0"/>
                  <w:vAlign w:val="top"/>
                </w:tcPr>
                <w:p w14:paraId="13882FCB">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r>
            <w:tr w14:paraId="72FB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0B61FBE7">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铅（</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vertAlign w:val="superscript"/>
                      <w:lang w:val="en-US" w:eastAsia="zh-CN"/>
                    </w:rPr>
                    <w:t>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5837ED92">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1250" w:type="pct"/>
                  <w:noWrap w:val="0"/>
                  <w:vAlign w:val="top"/>
                </w:tcPr>
                <w:p w14:paraId="38676D70">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130</w:t>
                  </w:r>
                </w:p>
              </w:tc>
              <w:tc>
                <w:tcPr>
                  <w:tcW w:w="1251" w:type="pct"/>
                  <w:noWrap w:val="0"/>
                  <w:vAlign w:val="top"/>
                </w:tcPr>
                <w:p w14:paraId="0B3424F7">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w:t>
                  </w:r>
                </w:p>
              </w:tc>
            </w:tr>
            <w:tr w14:paraId="3304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09999B8A">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锌（</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vertAlign w:val="superscript"/>
                      <w:lang w:val="en-US" w:eastAsia="zh-CN"/>
                    </w:rPr>
                    <w:t>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735B7CB9">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c>
                <w:tcPr>
                  <w:tcW w:w="1250" w:type="pct"/>
                  <w:noWrap w:val="0"/>
                  <w:vAlign w:val="top"/>
                </w:tcPr>
                <w:p w14:paraId="2440D8A0">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350</w:t>
                  </w:r>
                </w:p>
              </w:tc>
              <w:tc>
                <w:tcPr>
                  <w:tcW w:w="1251" w:type="pct"/>
                  <w:noWrap w:val="0"/>
                  <w:vAlign w:val="top"/>
                </w:tcPr>
                <w:p w14:paraId="3D1E614F">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w:t>
                  </w:r>
                </w:p>
              </w:tc>
            </w:tr>
            <w:tr w14:paraId="65B6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00357D63">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镉（</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vertAlign w:val="superscript"/>
                      <w:lang w:val="en-US" w:eastAsia="zh-CN"/>
                    </w:rPr>
                    <w:t>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1F37689C">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c>
                <w:tcPr>
                  <w:tcW w:w="1250" w:type="pct"/>
                  <w:noWrap w:val="0"/>
                  <w:vAlign w:val="top"/>
                </w:tcPr>
                <w:p w14:paraId="0AAD1ACD">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1251" w:type="pct"/>
                  <w:noWrap w:val="0"/>
                  <w:vAlign w:val="top"/>
                </w:tcPr>
                <w:p w14:paraId="4778E70C">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r>
            <w:tr w14:paraId="07DF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6E0C70C5">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铬（</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vertAlign w:val="superscript"/>
                      <w:lang w:val="en-US" w:eastAsia="zh-CN"/>
                    </w:rPr>
                    <w:t>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0ABCD90D">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1250" w:type="pct"/>
                  <w:noWrap w:val="0"/>
                  <w:vAlign w:val="top"/>
                </w:tcPr>
                <w:p w14:paraId="4A06A8DD">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c>
                <w:tcPr>
                  <w:tcW w:w="1251" w:type="pct"/>
                  <w:noWrap w:val="0"/>
                  <w:vAlign w:val="top"/>
                </w:tcPr>
                <w:p w14:paraId="3D0D0A20">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270</w:t>
                  </w:r>
                </w:p>
              </w:tc>
            </w:tr>
            <w:tr w14:paraId="2561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76603A07">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汞（</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vertAlign w:val="superscript"/>
                      <w:lang w:val="en-US" w:eastAsia="zh-CN"/>
                    </w:rPr>
                    <w:t>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6CE0FB20">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1250" w:type="pct"/>
                  <w:noWrap w:val="0"/>
                  <w:vAlign w:val="top"/>
                </w:tcPr>
                <w:p w14:paraId="3C2A9DAD">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c>
                <w:tcPr>
                  <w:tcW w:w="1251" w:type="pct"/>
                  <w:noWrap w:val="0"/>
                  <w:vAlign w:val="top"/>
                </w:tcPr>
                <w:p w14:paraId="0E5A541C">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3471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1CE0FBA6">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砷（</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vertAlign w:val="superscript"/>
                      <w:lang w:val="en-US" w:eastAsia="zh-CN"/>
                    </w:rPr>
                    <w:t>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1A53B3BB">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250" w:type="pct"/>
                  <w:noWrap w:val="0"/>
                  <w:vAlign w:val="top"/>
                </w:tcPr>
                <w:p w14:paraId="2B961F12">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c>
                <w:tcPr>
                  <w:tcW w:w="1251" w:type="pct"/>
                  <w:noWrap w:val="0"/>
                  <w:vAlign w:val="top"/>
                </w:tcPr>
                <w:p w14:paraId="6A0E580B">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w:t>
                  </w:r>
                </w:p>
              </w:tc>
            </w:tr>
          </w:tbl>
          <w:p w14:paraId="78CE4616">
            <w:pPr>
              <w:spacing w:line="360" w:lineRule="auto"/>
              <w:ind w:firstLine="482" w:firstLineChars="200"/>
              <w:rPr>
                <w:rFonts w:hint="eastAsia" w:ascii="Times New Roman" w:hAnsi="Times New Roman" w:eastAsia="宋体" w:cs="Times New Roman"/>
                <w:b/>
                <w:color w:val="auto"/>
                <w:sz w:val="24"/>
                <w:highlight w:val="none"/>
                <w:lang w:val="en-US" w:eastAsia="zh-CN"/>
              </w:rPr>
            </w:pPr>
          </w:p>
          <w:p w14:paraId="0BD693A3">
            <w:pPr>
              <w:spacing w:line="360" w:lineRule="auto"/>
              <w:ind w:firstLine="482" w:firstLineChars="200"/>
              <w:rPr>
                <w:rFonts w:hint="eastAsia"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5、</w:t>
            </w:r>
            <w:r>
              <w:rPr>
                <w:rFonts w:hint="eastAsia" w:ascii="Times New Roman" w:hAnsi="Times New Roman" w:eastAsia="宋体" w:cs="Times New Roman"/>
                <w:b/>
                <w:color w:val="auto"/>
                <w:sz w:val="24"/>
                <w:highlight w:val="none"/>
                <w:lang w:eastAsia="zh-CN"/>
              </w:rPr>
              <w:t>海洋生物质量标准</w:t>
            </w:r>
          </w:p>
          <w:p w14:paraId="6017F0DA">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根据《广西壮族自治区海洋功能区划（2012-2020年）》（桂海发〔2013〕39 号），本项目位于“A2-9 鹰岭-果子山-金鼓江港口航运区”，主导功能为港口航运，海洋生物执行不劣于三类标准。其他海洋生物（甲壳类、鱼类、软体动物（非双壳贝类））中的污染物质（除铬外）含量评价标准采用《环境影响评价技术导则 海洋生态环境》（HJ 1409-2025）中规定的生物质量标准；铬含量评价标准采用《全国海岸带和海涂资源综合调查简明规程》中规定的生物质量标准。</w:t>
            </w:r>
          </w:p>
          <w:p w14:paraId="0AC30160">
            <w:pPr>
              <w:tabs>
                <w:tab w:val="left" w:pos="0"/>
              </w:tabs>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highlight w:val="none"/>
                <w:lang w:val="en-US" w:eastAsia="zh-CN"/>
              </w:rPr>
              <w:t>表3.4-6 《海洋生物质量》（GB18421-2001）（鲜重：mg/kg）</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1989"/>
              <w:gridCol w:w="1991"/>
              <w:gridCol w:w="1992"/>
            </w:tblGrid>
            <w:tr w14:paraId="25C1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51367230">
                  <w:pPr>
                    <w:pStyle w:val="179"/>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评价项目</w:t>
                  </w:r>
                </w:p>
              </w:tc>
              <w:tc>
                <w:tcPr>
                  <w:tcW w:w="1249" w:type="pct"/>
                  <w:noWrap w:val="0"/>
                  <w:vAlign w:val="top"/>
                </w:tcPr>
                <w:p w14:paraId="51F40D26">
                  <w:pPr>
                    <w:pStyle w:val="179"/>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第一类</w:t>
                  </w:r>
                </w:p>
              </w:tc>
              <w:tc>
                <w:tcPr>
                  <w:tcW w:w="1250" w:type="pct"/>
                  <w:noWrap w:val="0"/>
                  <w:vAlign w:val="top"/>
                </w:tcPr>
                <w:p w14:paraId="33C09FFE">
                  <w:pPr>
                    <w:pStyle w:val="179"/>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第二类</w:t>
                  </w:r>
                </w:p>
              </w:tc>
              <w:tc>
                <w:tcPr>
                  <w:tcW w:w="1251" w:type="pct"/>
                  <w:noWrap w:val="0"/>
                  <w:vAlign w:val="top"/>
                </w:tcPr>
                <w:p w14:paraId="65B55B1A">
                  <w:pPr>
                    <w:pStyle w:val="179"/>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第三类</w:t>
                  </w:r>
                </w:p>
              </w:tc>
            </w:tr>
            <w:tr w14:paraId="2CC9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6A9810AD">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总汞</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7F245742">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1250" w:type="pct"/>
                  <w:noWrap w:val="0"/>
                  <w:vAlign w:val="top"/>
                </w:tcPr>
                <w:p w14:paraId="67B3C104">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0.10</w:t>
                  </w:r>
                </w:p>
              </w:tc>
              <w:tc>
                <w:tcPr>
                  <w:tcW w:w="1251" w:type="pct"/>
                  <w:noWrap w:val="0"/>
                  <w:vAlign w:val="top"/>
                </w:tcPr>
                <w:p w14:paraId="3E36A50D">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0.30</w:t>
                  </w:r>
                </w:p>
              </w:tc>
            </w:tr>
            <w:tr w14:paraId="68C6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249" w:type="pct"/>
                  <w:noWrap w:val="0"/>
                  <w:vAlign w:val="top"/>
                </w:tcPr>
                <w:p w14:paraId="6ACC24A8">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镉</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1BFA2E84">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1250" w:type="pct"/>
                  <w:noWrap w:val="0"/>
                  <w:vAlign w:val="top"/>
                </w:tcPr>
                <w:p w14:paraId="3EAC09DE">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251" w:type="pct"/>
                  <w:noWrap w:val="0"/>
                  <w:vAlign w:val="top"/>
                </w:tcPr>
                <w:p w14:paraId="0C51C265">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r>
            <w:tr w14:paraId="0F24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394E5E4F">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铅</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71D6C777">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1250" w:type="pct"/>
                  <w:noWrap w:val="0"/>
                  <w:vAlign w:val="top"/>
                </w:tcPr>
                <w:p w14:paraId="73674ED0">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251" w:type="pct"/>
                  <w:noWrap w:val="0"/>
                  <w:vAlign w:val="top"/>
                </w:tcPr>
                <w:p w14:paraId="5A6C5258">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r>
            <w:tr w14:paraId="49B9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1D663876">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铜</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41D50B6D">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250" w:type="pct"/>
                  <w:noWrap w:val="0"/>
                  <w:vAlign w:val="top"/>
                </w:tcPr>
                <w:p w14:paraId="772CE793">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1251" w:type="pct"/>
                  <w:noWrap w:val="0"/>
                  <w:vAlign w:val="top"/>
                </w:tcPr>
                <w:p w14:paraId="55076D82">
                  <w:pPr>
                    <w:pStyle w:val="17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r>
                    <w:rPr>
                      <w:rFonts w:hint="eastAsia" w:ascii="Times New Roman" w:hAnsi="Times New Roman" w:eastAsia="宋体" w:cs="Times New Roman"/>
                      <w:color w:val="auto"/>
                      <w:sz w:val="21"/>
                      <w:szCs w:val="21"/>
                      <w:highlight w:val="none"/>
                      <w:lang w:val="en-US" w:eastAsia="zh-CN"/>
                    </w:rPr>
                    <w:t xml:space="preserve">（牡蛎 </w:t>
                  </w:r>
                  <w:r>
                    <w:rPr>
                      <w:rFonts w:hint="default" w:ascii="Times New Roman" w:hAnsi="Times New Roman" w:eastAsia="宋体" w:cs="Times New Roman"/>
                      <w:color w:val="auto"/>
                      <w:sz w:val="21"/>
                      <w:szCs w:val="21"/>
                      <w:highlight w:val="none"/>
                      <w:lang w:val="en-US" w:eastAsia="zh-CN"/>
                    </w:rPr>
                    <w:t>100</w:t>
                  </w:r>
                  <w:r>
                    <w:rPr>
                      <w:rFonts w:hint="eastAsia" w:ascii="Times New Roman" w:hAnsi="Times New Roman" w:eastAsia="宋体" w:cs="Times New Roman"/>
                      <w:color w:val="auto"/>
                      <w:sz w:val="21"/>
                      <w:szCs w:val="21"/>
                      <w:highlight w:val="none"/>
                      <w:lang w:val="en-US" w:eastAsia="zh-CN"/>
                    </w:rPr>
                    <w:t>）</w:t>
                  </w:r>
                </w:p>
              </w:tc>
            </w:tr>
            <w:tr w14:paraId="431A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75018A10">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锌</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02658247">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250" w:type="pct"/>
                  <w:noWrap w:val="0"/>
                  <w:vAlign w:val="top"/>
                </w:tcPr>
                <w:p w14:paraId="5FE7BFAE">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1251" w:type="pct"/>
                  <w:noWrap w:val="0"/>
                  <w:vAlign w:val="top"/>
                </w:tcPr>
                <w:p w14:paraId="14740B87">
                  <w:pPr>
                    <w:pStyle w:val="17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r>
                    <w:rPr>
                      <w:rFonts w:hint="eastAsia" w:ascii="Times New Roman" w:hAnsi="Times New Roman" w:eastAsia="宋体" w:cs="Times New Roman"/>
                      <w:color w:val="auto"/>
                      <w:sz w:val="21"/>
                      <w:szCs w:val="21"/>
                      <w:highlight w:val="none"/>
                      <w:lang w:val="en-US" w:eastAsia="zh-CN"/>
                    </w:rPr>
                    <w:t xml:space="preserve">（牡蛎 </w:t>
                  </w:r>
                  <w:r>
                    <w:rPr>
                      <w:rFonts w:hint="default" w:ascii="Times New Roman" w:hAnsi="Times New Roman" w:eastAsia="宋体" w:cs="Times New Roman"/>
                      <w:color w:val="auto"/>
                      <w:sz w:val="21"/>
                      <w:szCs w:val="21"/>
                      <w:highlight w:val="none"/>
                      <w:lang w:val="en-US" w:eastAsia="zh-CN"/>
                    </w:rPr>
                    <w:t>500</w:t>
                  </w:r>
                  <w:r>
                    <w:rPr>
                      <w:rFonts w:hint="eastAsia" w:ascii="Times New Roman" w:hAnsi="Times New Roman" w:eastAsia="宋体" w:cs="Times New Roman"/>
                      <w:color w:val="auto"/>
                      <w:sz w:val="21"/>
                      <w:szCs w:val="21"/>
                      <w:highlight w:val="none"/>
                      <w:lang w:val="en-US" w:eastAsia="zh-CN"/>
                    </w:rPr>
                    <w:t>）</w:t>
                  </w:r>
                </w:p>
              </w:tc>
            </w:tr>
            <w:tr w14:paraId="6E15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1933700D">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砷</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6518D001">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250" w:type="pct"/>
                  <w:noWrap w:val="0"/>
                  <w:vAlign w:val="top"/>
                </w:tcPr>
                <w:p w14:paraId="78FF2B4E">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1251" w:type="pct"/>
                  <w:noWrap w:val="0"/>
                  <w:vAlign w:val="top"/>
                </w:tcPr>
                <w:p w14:paraId="7985DF63">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r>
            <w:tr w14:paraId="2B02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2BA12019">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铬</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5179AE8E">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c>
                <w:tcPr>
                  <w:tcW w:w="1250" w:type="pct"/>
                  <w:noWrap w:val="0"/>
                  <w:vAlign w:val="top"/>
                </w:tcPr>
                <w:p w14:paraId="4AA36F1F">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251" w:type="pct"/>
                  <w:noWrap w:val="0"/>
                  <w:vAlign w:val="top"/>
                </w:tcPr>
                <w:p w14:paraId="6D88CE0D">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r>
            <w:tr w14:paraId="5902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7D733951">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石油烃</w:t>
                  </w:r>
                  <w:r>
                    <w:rPr>
                      <w:rFonts w:hint="default" w:ascii="Times New Roman" w:hAnsi="Times New Roman" w:eastAsia="宋体" w:cs="Times New Roman"/>
                      <w:color w:val="auto"/>
                      <w:sz w:val="21"/>
                      <w:szCs w:val="21"/>
                      <w:highlight w:val="none"/>
                      <w:lang w:val="en-US" w:eastAsia="zh-CN"/>
                    </w:rPr>
                    <w:t>≤</w:t>
                  </w:r>
                </w:p>
              </w:tc>
              <w:tc>
                <w:tcPr>
                  <w:tcW w:w="1249" w:type="pct"/>
                  <w:noWrap w:val="0"/>
                  <w:vAlign w:val="top"/>
                </w:tcPr>
                <w:p w14:paraId="7004EB10">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1250" w:type="pct"/>
                  <w:noWrap w:val="0"/>
                  <w:vAlign w:val="top"/>
                </w:tcPr>
                <w:p w14:paraId="47C7D401">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1251" w:type="pct"/>
                  <w:noWrap w:val="0"/>
                  <w:vAlign w:val="top"/>
                </w:tcPr>
                <w:p w14:paraId="1406945B">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r>
          </w:tbl>
          <w:p w14:paraId="6019E92C">
            <w:pPr>
              <w:tabs>
                <w:tab w:val="left" w:pos="0"/>
              </w:tabs>
              <w:jc w:val="center"/>
              <w:rPr>
                <w:rFonts w:hint="eastAsia" w:ascii="Times New Roman" w:hAnsi="Times New Roman" w:eastAsia="宋体" w:cs="Times New Roman"/>
                <w:b/>
                <w:bCs/>
                <w:color w:val="auto"/>
                <w:highlight w:val="none"/>
                <w:lang w:val="en-US" w:eastAsia="zh-CN"/>
              </w:rPr>
            </w:pPr>
          </w:p>
          <w:p w14:paraId="7D9FE78B">
            <w:pPr>
              <w:tabs>
                <w:tab w:val="left" w:pos="0"/>
              </w:tabs>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表3.4-7其他海洋生物质量参考值（鲜重：mg/kg）</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1989"/>
              <w:gridCol w:w="1991"/>
              <w:gridCol w:w="1992"/>
            </w:tblGrid>
            <w:tr w14:paraId="4D6B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3D9D7696">
                  <w:pPr>
                    <w:pStyle w:val="179"/>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评价项目</w:t>
                  </w:r>
                </w:p>
              </w:tc>
              <w:tc>
                <w:tcPr>
                  <w:tcW w:w="1249" w:type="pct"/>
                  <w:noWrap w:val="0"/>
                  <w:vAlign w:val="top"/>
                </w:tcPr>
                <w:p w14:paraId="41D2753B">
                  <w:pPr>
                    <w:pStyle w:val="179"/>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软体动物（非双壳贝类）</w:t>
                  </w:r>
                </w:p>
              </w:tc>
              <w:tc>
                <w:tcPr>
                  <w:tcW w:w="1250" w:type="pct"/>
                  <w:noWrap w:val="0"/>
                  <w:vAlign w:val="top"/>
                </w:tcPr>
                <w:p w14:paraId="7D49666B">
                  <w:pPr>
                    <w:pStyle w:val="179"/>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甲壳类</w:t>
                  </w:r>
                </w:p>
              </w:tc>
              <w:tc>
                <w:tcPr>
                  <w:tcW w:w="1250" w:type="pct"/>
                  <w:noWrap w:val="0"/>
                  <w:vAlign w:val="top"/>
                </w:tcPr>
                <w:p w14:paraId="1A4508E3">
                  <w:pPr>
                    <w:pStyle w:val="179"/>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鱼类</w:t>
                  </w:r>
                </w:p>
              </w:tc>
            </w:tr>
            <w:tr w14:paraId="4B35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5B34AB1E">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铬</w:t>
                  </w:r>
                </w:p>
              </w:tc>
              <w:tc>
                <w:tcPr>
                  <w:tcW w:w="1249" w:type="pct"/>
                  <w:noWrap w:val="0"/>
                  <w:vAlign w:val="top"/>
                </w:tcPr>
                <w:p w14:paraId="77B02374">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c>
                <w:tcPr>
                  <w:tcW w:w="1250" w:type="pct"/>
                  <w:noWrap w:val="0"/>
                  <w:vAlign w:val="top"/>
                </w:tcPr>
                <w:p w14:paraId="70FF86AF">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1250" w:type="pct"/>
                  <w:noWrap w:val="0"/>
                  <w:vAlign w:val="top"/>
                </w:tcPr>
                <w:p w14:paraId="23595090">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r>
            <w:tr w14:paraId="69AE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249" w:type="pct"/>
                  <w:noWrap w:val="0"/>
                  <w:vAlign w:val="top"/>
                </w:tcPr>
                <w:p w14:paraId="64E597CD">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铜</w:t>
                  </w:r>
                </w:p>
              </w:tc>
              <w:tc>
                <w:tcPr>
                  <w:tcW w:w="1249" w:type="pct"/>
                  <w:noWrap w:val="0"/>
                  <w:vAlign w:val="top"/>
                </w:tcPr>
                <w:p w14:paraId="5B8876B1">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1250" w:type="pct"/>
                  <w:noWrap w:val="0"/>
                  <w:vAlign w:val="top"/>
                </w:tcPr>
                <w:p w14:paraId="2268A3CB">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250" w:type="pct"/>
                  <w:noWrap w:val="0"/>
                  <w:vAlign w:val="top"/>
                </w:tcPr>
                <w:p w14:paraId="3E638DC9">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r>
            <w:tr w14:paraId="0B8E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02D2E0D8">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锌</w:t>
                  </w:r>
                </w:p>
              </w:tc>
              <w:tc>
                <w:tcPr>
                  <w:tcW w:w="1249" w:type="pct"/>
                  <w:noWrap w:val="0"/>
                  <w:vAlign w:val="top"/>
                </w:tcPr>
                <w:p w14:paraId="26187339">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c>
                <w:tcPr>
                  <w:tcW w:w="1250" w:type="pct"/>
                  <w:noWrap w:val="0"/>
                  <w:vAlign w:val="top"/>
                </w:tcPr>
                <w:p w14:paraId="63BCD4B4">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c>
                <w:tcPr>
                  <w:tcW w:w="1250" w:type="pct"/>
                  <w:noWrap w:val="0"/>
                  <w:vAlign w:val="top"/>
                </w:tcPr>
                <w:p w14:paraId="50DE034B">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r>
            <w:tr w14:paraId="59E4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5248BF61">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砷</w:t>
                  </w:r>
                </w:p>
              </w:tc>
              <w:tc>
                <w:tcPr>
                  <w:tcW w:w="1249" w:type="pct"/>
                  <w:noWrap w:val="0"/>
                  <w:vAlign w:val="top"/>
                </w:tcPr>
                <w:p w14:paraId="1273EAFC">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250" w:type="pct"/>
                  <w:noWrap w:val="0"/>
                  <w:vAlign w:val="top"/>
                </w:tcPr>
                <w:p w14:paraId="30DA35B6">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250" w:type="pct"/>
                  <w:noWrap w:val="0"/>
                  <w:vAlign w:val="top"/>
                </w:tcPr>
                <w:p w14:paraId="6F11DAB4">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7CAA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53BEAEDC">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镉</w:t>
                  </w:r>
                </w:p>
              </w:tc>
              <w:tc>
                <w:tcPr>
                  <w:tcW w:w="1249" w:type="pct"/>
                  <w:noWrap w:val="0"/>
                  <w:vAlign w:val="top"/>
                </w:tcPr>
                <w:p w14:paraId="05EA79BE">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250" w:type="pct"/>
                  <w:noWrap w:val="0"/>
                  <w:vAlign w:val="top"/>
                </w:tcPr>
                <w:p w14:paraId="5FDFAECE">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w:t>
                  </w:r>
                </w:p>
              </w:tc>
              <w:tc>
                <w:tcPr>
                  <w:tcW w:w="1250" w:type="pct"/>
                  <w:noWrap w:val="0"/>
                  <w:vAlign w:val="top"/>
                </w:tcPr>
                <w:p w14:paraId="48B2CC7C">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w:t>
                  </w:r>
                </w:p>
              </w:tc>
            </w:tr>
            <w:tr w14:paraId="3C28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6F8F3B42">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铅</w:t>
                  </w:r>
                </w:p>
              </w:tc>
              <w:tc>
                <w:tcPr>
                  <w:tcW w:w="1249" w:type="pct"/>
                  <w:noWrap w:val="0"/>
                  <w:vAlign w:val="top"/>
                </w:tcPr>
                <w:p w14:paraId="1CDEBEE9">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250" w:type="pct"/>
                  <w:noWrap w:val="0"/>
                  <w:vAlign w:val="top"/>
                </w:tcPr>
                <w:p w14:paraId="6341632D">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250" w:type="pct"/>
                  <w:noWrap w:val="0"/>
                  <w:vAlign w:val="top"/>
                </w:tcPr>
                <w:p w14:paraId="0646523C">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r>
            <w:tr w14:paraId="271F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5717566F">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总汞</w:t>
                  </w:r>
                </w:p>
              </w:tc>
              <w:tc>
                <w:tcPr>
                  <w:tcW w:w="1249" w:type="pct"/>
                  <w:noWrap w:val="0"/>
                  <w:vAlign w:val="top"/>
                </w:tcPr>
                <w:p w14:paraId="0D3D1108">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1250" w:type="pct"/>
                  <w:noWrap w:val="0"/>
                  <w:vAlign w:val="top"/>
                </w:tcPr>
                <w:p w14:paraId="2ED37D16">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1250" w:type="pct"/>
                  <w:noWrap w:val="0"/>
                  <w:vAlign w:val="top"/>
                </w:tcPr>
                <w:p w14:paraId="2233976D">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r>
            <w:tr w14:paraId="2BDB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5F92B654">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石油烃</w:t>
                  </w:r>
                </w:p>
              </w:tc>
              <w:tc>
                <w:tcPr>
                  <w:tcW w:w="1249" w:type="pct"/>
                  <w:noWrap w:val="0"/>
                  <w:vAlign w:val="top"/>
                </w:tcPr>
                <w:p w14:paraId="2DAA05F3">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250" w:type="pct"/>
                  <w:noWrap w:val="0"/>
                  <w:vAlign w:val="top"/>
                </w:tcPr>
                <w:p w14:paraId="0226D856">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250" w:type="pct"/>
                  <w:noWrap w:val="0"/>
                  <w:vAlign w:val="top"/>
                </w:tcPr>
                <w:p w14:paraId="0C6325FA">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r>
          </w:tbl>
          <w:p w14:paraId="548067B8">
            <w:pPr>
              <w:tabs>
                <w:tab w:val="left" w:pos="0"/>
              </w:tabs>
              <w:jc w:val="both"/>
              <w:rPr>
                <w:rFonts w:hint="eastAsia" w:ascii="Times New Roman" w:hAnsi="Times New Roman" w:eastAsia="宋体" w:cs="Times New Roman"/>
                <w:b/>
                <w:bCs/>
                <w:color w:val="auto"/>
                <w:highlight w:val="none"/>
                <w:lang w:val="en-US" w:eastAsia="zh-CN"/>
              </w:rPr>
            </w:pPr>
          </w:p>
          <w:p w14:paraId="23AB77C4">
            <w:pPr>
              <w:spacing w:line="360" w:lineRule="auto"/>
              <w:rPr>
                <w:color w:val="auto"/>
                <w:sz w:val="24"/>
                <w:highlight w:val="none"/>
              </w:rPr>
            </w:pPr>
            <w:r>
              <w:rPr>
                <w:rFonts w:hint="eastAsia"/>
                <w:b/>
                <w:color w:val="auto"/>
                <w:sz w:val="28"/>
                <w:szCs w:val="28"/>
                <w:highlight w:val="none"/>
                <w:lang w:val="en-US" w:eastAsia="zh-CN"/>
              </w:rPr>
              <w:t>3.4.2</w:t>
            </w:r>
            <w:r>
              <w:rPr>
                <w:b/>
                <w:color w:val="auto"/>
                <w:sz w:val="28"/>
                <w:szCs w:val="28"/>
                <w:highlight w:val="none"/>
              </w:rPr>
              <w:t>污染物排放标准</w:t>
            </w:r>
          </w:p>
          <w:p w14:paraId="6B94880D">
            <w:pPr>
              <w:spacing w:line="360" w:lineRule="auto"/>
              <w:ind w:firstLine="482" w:firstLineChars="200"/>
              <w:rPr>
                <w:rFonts w:hint="eastAsia"/>
                <w:b/>
                <w:color w:val="auto"/>
                <w:sz w:val="24"/>
                <w:highlight w:val="none"/>
                <w:lang w:eastAsia="zh-CN"/>
              </w:rPr>
            </w:pPr>
            <w:r>
              <w:rPr>
                <w:rFonts w:hint="eastAsia"/>
                <w:b/>
                <w:color w:val="auto"/>
                <w:sz w:val="24"/>
                <w:highlight w:val="none"/>
              </w:rPr>
              <w:t>1、</w:t>
            </w:r>
            <w:r>
              <w:rPr>
                <w:rFonts w:hint="eastAsia"/>
                <w:b/>
                <w:color w:val="auto"/>
                <w:sz w:val="24"/>
                <w:highlight w:val="none"/>
                <w:lang w:eastAsia="zh-CN"/>
              </w:rPr>
              <w:t>大气污染物排放标准</w:t>
            </w:r>
          </w:p>
          <w:p w14:paraId="5CABA017">
            <w:pPr>
              <w:spacing w:line="360" w:lineRule="auto"/>
              <w:ind w:firstLine="480" w:firstLineChars="20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施工过程中的大气污染物主要是施工船舶产生的废气，其污染物主要为 </w:t>
            </w:r>
            <w:r>
              <w:rPr>
                <w:rFonts w:hint="default" w:ascii="Times New Roman" w:hAnsi="Times New Roman" w:eastAsia="宋体" w:cs="Times New Roman"/>
                <w:color w:val="auto"/>
                <w:sz w:val="24"/>
                <w:highlight w:val="none"/>
                <w:lang w:val="en-US" w:eastAsia="zh-CN"/>
              </w:rPr>
              <w:t>SO</w:t>
            </w:r>
            <w:r>
              <w:rPr>
                <w:rFonts w:hint="default" w:ascii="Times New Roman" w:hAnsi="Times New Roman" w:eastAsia="宋体" w:cs="Times New Roman"/>
                <w:color w:val="auto"/>
                <w:sz w:val="24"/>
                <w:highlight w:val="none"/>
                <w:vertAlign w:val="subscript"/>
                <w:lang w:val="en-US" w:eastAsia="zh-CN"/>
              </w:rPr>
              <w:t>2</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CO</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NO</w:t>
            </w:r>
            <w:r>
              <w:rPr>
                <w:rFonts w:hint="default" w:ascii="Times New Roman" w:hAnsi="Times New Roman" w:eastAsia="宋体" w:cs="Times New Roman"/>
                <w:color w:val="auto"/>
                <w:sz w:val="24"/>
                <w:highlight w:val="none"/>
                <w:vertAlign w:val="subscript"/>
                <w:lang w:val="en-US" w:eastAsia="zh-CN"/>
              </w:rPr>
              <w:t>X</w:t>
            </w:r>
            <w:r>
              <w:rPr>
                <w:rFonts w:hint="default"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 xml:space="preserve">等，均为无组织排放。本项目为维护性疏浚工程，无运营期。 </w:t>
            </w:r>
          </w:p>
          <w:p w14:paraId="5DFB6C4D">
            <w:pPr>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船舶应符合《船舶大气污染物排放控制区实施方案》（交海发〔</w:t>
            </w:r>
            <w:r>
              <w:rPr>
                <w:rFonts w:hint="default" w:ascii="Times New Roman" w:hAnsi="Times New Roman" w:eastAsia="宋体" w:cs="Times New Roman"/>
                <w:color w:val="auto"/>
                <w:sz w:val="24"/>
                <w:highlight w:val="none"/>
                <w:lang w:val="en-US" w:eastAsia="zh-CN"/>
              </w:rPr>
              <w:t>2018</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 xml:space="preserve">168 </w:t>
            </w:r>
            <w:r>
              <w:rPr>
                <w:rFonts w:hint="eastAsia" w:ascii="Times New Roman" w:hAnsi="Times New Roman" w:eastAsia="宋体" w:cs="Times New Roman"/>
                <w:color w:val="auto"/>
                <w:sz w:val="24"/>
                <w:highlight w:val="none"/>
                <w:lang w:val="en-US" w:eastAsia="zh-CN"/>
              </w:rPr>
              <w:t>号）中的控制要求，使用符合规定的船舶及燃油。船舶废气排放应满足《船舶发动机排气污染物排放限值及测量方法（中国第一、二阶段）》（</w:t>
            </w:r>
            <w:r>
              <w:rPr>
                <w:rFonts w:hint="default" w:ascii="Times New Roman" w:hAnsi="Times New Roman" w:eastAsia="宋体" w:cs="Times New Roman"/>
                <w:color w:val="auto"/>
                <w:sz w:val="24"/>
                <w:highlight w:val="none"/>
                <w:lang w:val="en-US" w:eastAsia="zh-CN"/>
              </w:rPr>
              <w:t>GB15097-2016</w:t>
            </w:r>
            <w:r>
              <w:rPr>
                <w:rFonts w:hint="eastAsia" w:ascii="Times New Roman" w:hAnsi="Times New Roman" w:eastAsia="宋体" w:cs="Times New Roman"/>
                <w:color w:val="auto"/>
                <w:sz w:val="24"/>
                <w:highlight w:val="none"/>
                <w:lang w:val="en-US" w:eastAsia="zh-CN"/>
              </w:rPr>
              <w:t>）第二阶段排放限值。</w:t>
            </w:r>
          </w:p>
          <w:p w14:paraId="3DD24865">
            <w:pPr>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表3.4-8船舶废气排放标准第二阶段（2021年7月1日开始）排放限值</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636"/>
              <w:gridCol w:w="2319"/>
              <w:gridCol w:w="1282"/>
              <w:gridCol w:w="1511"/>
            </w:tblGrid>
            <w:tr w14:paraId="6A5D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4F39C5EA">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船机类型</w:t>
                  </w:r>
                </w:p>
              </w:tc>
              <w:tc>
                <w:tcPr>
                  <w:tcW w:w="1027" w:type="pct"/>
                  <w:noWrap w:val="0"/>
                  <w:vAlign w:val="top"/>
                </w:tcPr>
                <w:p w14:paraId="593C1E0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单杠排量（SV）</w:t>
                  </w:r>
                </w:p>
                <w:p w14:paraId="105799FB">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（L/缸）</w:t>
                  </w:r>
                </w:p>
              </w:tc>
              <w:tc>
                <w:tcPr>
                  <w:tcW w:w="1455" w:type="pct"/>
                  <w:noWrap w:val="0"/>
                  <w:vAlign w:val="top"/>
                </w:tcPr>
                <w:p w14:paraId="0D3BEF8F">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额定净功率（P） </w:t>
                  </w:r>
                </w:p>
                <w:p w14:paraId="165373D8">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（kW）</w:t>
                  </w:r>
                </w:p>
              </w:tc>
              <w:tc>
                <w:tcPr>
                  <w:tcW w:w="805" w:type="pct"/>
                  <w:noWrap w:val="0"/>
                  <w:vAlign w:val="top"/>
                </w:tcPr>
                <w:p w14:paraId="31BBE474">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HC+NOx</w:t>
                  </w:r>
                </w:p>
                <w:p w14:paraId="7986CBF6">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（g/kWh）</w:t>
                  </w:r>
                </w:p>
              </w:tc>
              <w:tc>
                <w:tcPr>
                  <w:tcW w:w="949" w:type="pct"/>
                  <w:noWrap w:val="0"/>
                  <w:vAlign w:val="top"/>
                </w:tcPr>
                <w:p w14:paraId="5E533CAD">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PM</w:t>
                  </w:r>
                </w:p>
                <w:p w14:paraId="48C11D83">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（g/kWh）</w:t>
                  </w:r>
                </w:p>
              </w:tc>
            </w:tr>
            <w:tr w14:paraId="7545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restart"/>
                  <w:noWrap w:val="0"/>
                  <w:vAlign w:val="center"/>
                </w:tcPr>
                <w:p w14:paraId="0355E75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第一类</w:t>
                  </w:r>
                </w:p>
              </w:tc>
              <w:tc>
                <w:tcPr>
                  <w:tcW w:w="1027" w:type="pct"/>
                  <w:noWrap w:val="0"/>
                  <w:vAlign w:val="center"/>
                </w:tcPr>
                <w:p w14:paraId="1B98B8C7">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SV＜0.9</w:t>
                  </w:r>
                </w:p>
              </w:tc>
              <w:tc>
                <w:tcPr>
                  <w:tcW w:w="1455" w:type="pct"/>
                  <w:noWrap w:val="0"/>
                  <w:vAlign w:val="center"/>
                </w:tcPr>
                <w:p w14:paraId="6CAF362A">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P≥37</w:t>
                  </w:r>
                </w:p>
              </w:tc>
              <w:tc>
                <w:tcPr>
                  <w:tcW w:w="805" w:type="pct"/>
                  <w:noWrap w:val="0"/>
                  <w:vAlign w:val="center"/>
                </w:tcPr>
                <w:p w14:paraId="28750A94">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5.8</w:t>
                  </w:r>
                </w:p>
              </w:tc>
              <w:tc>
                <w:tcPr>
                  <w:tcW w:w="949" w:type="pct"/>
                  <w:noWrap w:val="0"/>
                  <w:vAlign w:val="center"/>
                </w:tcPr>
                <w:p w14:paraId="761584A0">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0.3</w:t>
                  </w:r>
                </w:p>
              </w:tc>
            </w:tr>
            <w:tr w14:paraId="4E46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2DECDC71">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483" w:type="pct"/>
                  <w:gridSpan w:val="2"/>
                  <w:noWrap w:val="0"/>
                  <w:vAlign w:val="center"/>
                </w:tcPr>
                <w:p w14:paraId="70AAE798">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0.9≤SV＜1.2</w:t>
                  </w:r>
                </w:p>
              </w:tc>
              <w:tc>
                <w:tcPr>
                  <w:tcW w:w="805" w:type="pct"/>
                  <w:noWrap w:val="0"/>
                  <w:vAlign w:val="center"/>
                </w:tcPr>
                <w:p w14:paraId="045A9570">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5.8</w:t>
                  </w:r>
                </w:p>
              </w:tc>
              <w:tc>
                <w:tcPr>
                  <w:tcW w:w="949" w:type="pct"/>
                  <w:noWrap w:val="0"/>
                  <w:vAlign w:val="center"/>
                </w:tcPr>
                <w:p w14:paraId="44146AC6">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0.14</w:t>
                  </w:r>
                </w:p>
              </w:tc>
            </w:tr>
            <w:tr w14:paraId="0C04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pct"/>
                  <w:vMerge w:val="continue"/>
                  <w:noWrap w:val="0"/>
                  <w:vAlign w:val="center"/>
                </w:tcPr>
                <w:p w14:paraId="3AA548FF">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483" w:type="pct"/>
                  <w:gridSpan w:val="2"/>
                  <w:noWrap w:val="0"/>
                  <w:vAlign w:val="center"/>
                </w:tcPr>
                <w:p w14:paraId="57A85D00">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1.2≤SV＜5</w:t>
                  </w:r>
                </w:p>
              </w:tc>
              <w:tc>
                <w:tcPr>
                  <w:tcW w:w="805" w:type="pct"/>
                  <w:noWrap w:val="0"/>
                  <w:vAlign w:val="center"/>
                </w:tcPr>
                <w:p w14:paraId="2722D0C0">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5.8</w:t>
                  </w:r>
                </w:p>
              </w:tc>
              <w:tc>
                <w:tcPr>
                  <w:tcW w:w="949" w:type="pct"/>
                  <w:noWrap w:val="0"/>
                  <w:vAlign w:val="center"/>
                </w:tcPr>
                <w:p w14:paraId="203034FB">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0.12</w:t>
                  </w:r>
                </w:p>
              </w:tc>
            </w:tr>
            <w:tr w14:paraId="7E8A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restart"/>
                  <w:noWrap w:val="0"/>
                  <w:vAlign w:val="center"/>
                </w:tcPr>
                <w:p w14:paraId="503C35C4">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第二类</w:t>
                  </w:r>
                </w:p>
              </w:tc>
              <w:tc>
                <w:tcPr>
                  <w:tcW w:w="1027" w:type="pct"/>
                  <w:vMerge w:val="restart"/>
                  <w:noWrap w:val="0"/>
                  <w:vAlign w:val="center"/>
                </w:tcPr>
                <w:p w14:paraId="739E4948">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5≤SV＜15</w:t>
                  </w:r>
                </w:p>
              </w:tc>
              <w:tc>
                <w:tcPr>
                  <w:tcW w:w="1455" w:type="pct"/>
                  <w:noWrap w:val="0"/>
                  <w:vAlign w:val="center"/>
                </w:tcPr>
                <w:p w14:paraId="00A5EA46">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P＜2000</w:t>
                  </w:r>
                </w:p>
              </w:tc>
              <w:tc>
                <w:tcPr>
                  <w:tcW w:w="805" w:type="pct"/>
                  <w:noWrap w:val="0"/>
                  <w:vAlign w:val="center"/>
                </w:tcPr>
                <w:p w14:paraId="1D8F855F">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6.2</w:t>
                  </w:r>
                </w:p>
              </w:tc>
              <w:tc>
                <w:tcPr>
                  <w:tcW w:w="949" w:type="pct"/>
                  <w:noWrap w:val="0"/>
                  <w:vAlign w:val="center"/>
                </w:tcPr>
                <w:p w14:paraId="7BB6296F">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0.14</w:t>
                  </w:r>
                </w:p>
              </w:tc>
            </w:tr>
            <w:tr w14:paraId="1FD5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07464FAF">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continue"/>
                  <w:noWrap w:val="0"/>
                  <w:vAlign w:val="center"/>
                </w:tcPr>
                <w:p w14:paraId="439A16D9">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455" w:type="pct"/>
                  <w:noWrap w:val="0"/>
                  <w:vAlign w:val="center"/>
                </w:tcPr>
                <w:p w14:paraId="3FE0E0B8">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2000≤P＜3700</w:t>
                  </w:r>
                </w:p>
              </w:tc>
              <w:tc>
                <w:tcPr>
                  <w:tcW w:w="805" w:type="pct"/>
                  <w:noWrap w:val="0"/>
                  <w:vAlign w:val="center"/>
                </w:tcPr>
                <w:p w14:paraId="1E7F351A">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7.8</w:t>
                  </w:r>
                </w:p>
              </w:tc>
              <w:tc>
                <w:tcPr>
                  <w:tcW w:w="949" w:type="pct"/>
                  <w:noWrap w:val="0"/>
                  <w:vAlign w:val="center"/>
                </w:tcPr>
                <w:p w14:paraId="6A240DF4">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0.14</w:t>
                  </w:r>
                </w:p>
              </w:tc>
            </w:tr>
            <w:tr w14:paraId="7690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3CBC71BC">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continue"/>
                  <w:noWrap w:val="0"/>
                  <w:vAlign w:val="center"/>
                </w:tcPr>
                <w:p w14:paraId="2A4C33A4">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455" w:type="pct"/>
                  <w:noWrap w:val="0"/>
                  <w:vAlign w:val="center"/>
                </w:tcPr>
                <w:p w14:paraId="282F7ABC">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P≥3700</w:t>
                  </w:r>
                </w:p>
              </w:tc>
              <w:tc>
                <w:tcPr>
                  <w:tcW w:w="805" w:type="pct"/>
                  <w:noWrap w:val="0"/>
                  <w:vAlign w:val="center"/>
                </w:tcPr>
                <w:p w14:paraId="57D499BE">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7.8</w:t>
                  </w:r>
                </w:p>
              </w:tc>
              <w:tc>
                <w:tcPr>
                  <w:tcW w:w="949" w:type="pct"/>
                  <w:noWrap w:val="0"/>
                  <w:vAlign w:val="center"/>
                </w:tcPr>
                <w:p w14:paraId="681AEA73">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0.27</w:t>
                  </w:r>
                </w:p>
              </w:tc>
            </w:tr>
            <w:tr w14:paraId="4375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4CB90E16">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restart"/>
                  <w:noWrap w:val="0"/>
                  <w:vAlign w:val="center"/>
                </w:tcPr>
                <w:p w14:paraId="40CAC21F">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15≤SV＜20</w:t>
                  </w:r>
                </w:p>
              </w:tc>
              <w:tc>
                <w:tcPr>
                  <w:tcW w:w="1455" w:type="pct"/>
                  <w:noWrap w:val="0"/>
                  <w:vAlign w:val="center"/>
                </w:tcPr>
                <w:p w14:paraId="76D15F4C">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P＜2000</w:t>
                  </w:r>
                </w:p>
              </w:tc>
              <w:tc>
                <w:tcPr>
                  <w:tcW w:w="805" w:type="pct"/>
                  <w:noWrap w:val="0"/>
                  <w:vAlign w:val="center"/>
                </w:tcPr>
                <w:p w14:paraId="6E3A8BA2">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7.0</w:t>
                  </w:r>
                </w:p>
              </w:tc>
              <w:tc>
                <w:tcPr>
                  <w:tcW w:w="949" w:type="pct"/>
                  <w:noWrap w:val="0"/>
                  <w:vAlign w:val="center"/>
                </w:tcPr>
                <w:p w14:paraId="795A45D7">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0.34</w:t>
                  </w:r>
                </w:p>
              </w:tc>
            </w:tr>
            <w:tr w14:paraId="2027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50E50FD5">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continue"/>
                  <w:noWrap w:val="0"/>
                  <w:vAlign w:val="center"/>
                </w:tcPr>
                <w:p w14:paraId="2B6B14A3">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455" w:type="pct"/>
                  <w:noWrap w:val="0"/>
                  <w:vAlign w:val="center"/>
                </w:tcPr>
                <w:p w14:paraId="1E4F3AB1">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2000≤P＜3300</w:t>
                  </w:r>
                </w:p>
              </w:tc>
              <w:tc>
                <w:tcPr>
                  <w:tcW w:w="805" w:type="pct"/>
                  <w:noWrap w:val="0"/>
                  <w:vAlign w:val="center"/>
                </w:tcPr>
                <w:p w14:paraId="2F42948C">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8.7</w:t>
                  </w:r>
                </w:p>
              </w:tc>
              <w:tc>
                <w:tcPr>
                  <w:tcW w:w="949" w:type="pct"/>
                  <w:noWrap w:val="0"/>
                  <w:vAlign w:val="center"/>
                </w:tcPr>
                <w:p w14:paraId="5C043AC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0.50</w:t>
                  </w:r>
                </w:p>
              </w:tc>
            </w:tr>
            <w:tr w14:paraId="3D93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36C632A2">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continue"/>
                  <w:noWrap w:val="0"/>
                  <w:vAlign w:val="center"/>
                </w:tcPr>
                <w:p w14:paraId="7EAE6E1E">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455" w:type="pct"/>
                  <w:noWrap w:val="0"/>
                  <w:vAlign w:val="center"/>
                </w:tcPr>
                <w:p w14:paraId="6464F609">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P≥3300</w:t>
                  </w:r>
                </w:p>
              </w:tc>
              <w:tc>
                <w:tcPr>
                  <w:tcW w:w="805" w:type="pct"/>
                  <w:noWrap w:val="0"/>
                  <w:vAlign w:val="center"/>
                </w:tcPr>
                <w:p w14:paraId="49C54352">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9.8</w:t>
                  </w:r>
                </w:p>
              </w:tc>
              <w:tc>
                <w:tcPr>
                  <w:tcW w:w="949" w:type="pct"/>
                  <w:noWrap w:val="0"/>
                  <w:vAlign w:val="center"/>
                </w:tcPr>
                <w:p w14:paraId="49D4DD37">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0.50</w:t>
                  </w:r>
                </w:p>
              </w:tc>
            </w:tr>
            <w:tr w14:paraId="6160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48F5641D">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restart"/>
                  <w:noWrap w:val="0"/>
                  <w:vAlign w:val="center"/>
                </w:tcPr>
                <w:p w14:paraId="5F7CD43C">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20≤SV＜25</w:t>
                  </w:r>
                </w:p>
              </w:tc>
              <w:tc>
                <w:tcPr>
                  <w:tcW w:w="1455" w:type="pct"/>
                  <w:noWrap w:val="0"/>
                  <w:vAlign w:val="center"/>
                </w:tcPr>
                <w:p w14:paraId="1231B3AE">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P＜2000</w:t>
                  </w:r>
                </w:p>
              </w:tc>
              <w:tc>
                <w:tcPr>
                  <w:tcW w:w="805" w:type="pct"/>
                  <w:noWrap w:val="0"/>
                  <w:vAlign w:val="center"/>
                </w:tcPr>
                <w:p w14:paraId="313730D3">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9.8</w:t>
                  </w:r>
                </w:p>
              </w:tc>
              <w:tc>
                <w:tcPr>
                  <w:tcW w:w="949" w:type="pct"/>
                  <w:noWrap w:val="0"/>
                  <w:vAlign w:val="center"/>
                </w:tcPr>
                <w:p w14:paraId="49A3D404">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0.27</w:t>
                  </w:r>
                </w:p>
              </w:tc>
            </w:tr>
            <w:tr w14:paraId="4966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1F49B19C">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continue"/>
                  <w:noWrap w:val="0"/>
                  <w:vAlign w:val="center"/>
                </w:tcPr>
                <w:p w14:paraId="3E2D3FB7">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455" w:type="pct"/>
                  <w:noWrap w:val="0"/>
                  <w:vAlign w:val="center"/>
                </w:tcPr>
                <w:p w14:paraId="7B4959C7">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P≥2000</w:t>
                  </w:r>
                </w:p>
              </w:tc>
              <w:tc>
                <w:tcPr>
                  <w:tcW w:w="805" w:type="pct"/>
                  <w:noWrap w:val="0"/>
                  <w:vAlign w:val="center"/>
                </w:tcPr>
                <w:p w14:paraId="01264A2F">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9.8</w:t>
                  </w:r>
                </w:p>
              </w:tc>
              <w:tc>
                <w:tcPr>
                  <w:tcW w:w="949" w:type="pct"/>
                  <w:noWrap w:val="0"/>
                  <w:vAlign w:val="center"/>
                </w:tcPr>
                <w:p w14:paraId="3D2C78A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0.50</w:t>
                  </w:r>
                </w:p>
              </w:tc>
            </w:tr>
            <w:tr w14:paraId="1062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6AE6F7D3">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noWrap w:val="0"/>
                  <w:vAlign w:val="center"/>
                </w:tcPr>
                <w:p w14:paraId="195DDE66">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20≤SV＜30</w:t>
                  </w:r>
                </w:p>
              </w:tc>
              <w:tc>
                <w:tcPr>
                  <w:tcW w:w="1455" w:type="pct"/>
                  <w:noWrap w:val="0"/>
                  <w:vAlign w:val="center"/>
                </w:tcPr>
                <w:p w14:paraId="34AAEF6C">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P＜2000</w:t>
                  </w:r>
                </w:p>
              </w:tc>
              <w:tc>
                <w:tcPr>
                  <w:tcW w:w="805" w:type="pct"/>
                  <w:noWrap w:val="0"/>
                  <w:vAlign w:val="center"/>
                </w:tcPr>
                <w:p w14:paraId="5F6815AF">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11.0</w:t>
                  </w:r>
                </w:p>
              </w:tc>
              <w:tc>
                <w:tcPr>
                  <w:tcW w:w="949" w:type="pct"/>
                  <w:noWrap w:val="0"/>
                  <w:vAlign w:val="center"/>
                </w:tcPr>
                <w:p w14:paraId="23C29F41">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0.27</w:t>
                  </w:r>
                </w:p>
              </w:tc>
            </w:tr>
          </w:tbl>
          <w:p w14:paraId="2BD2CBF2">
            <w:pPr>
              <w:spacing w:line="360" w:lineRule="auto"/>
              <w:ind w:firstLine="482" w:firstLineChars="200"/>
              <w:rPr>
                <w:b/>
                <w:color w:val="auto"/>
                <w:sz w:val="24"/>
                <w:highlight w:val="none"/>
              </w:rPr>
            </w:pPr>
            <w:r>
              <w:rPr>
                <w:rFonts w:hint="eastAsia"/>
                <w:b/>
                <w:color w:val="auto"/>
                <w:sz w:val="24"/>
                <w:highlight w:val="none"/>
              </w:rPr>
              <w:t>2</w:t>
            </w:r>
            <w:r>
              <w:rPr>
                <w:b/>
                <w:color w:val="auto"/>
                <w:sz w:val="24"/>
                <w:highlight w:val="none"/>
              </w:rPr>
              <w:t>、水污染物排放标准</w:t>
            </w:r>
          </w:p>
          <w:p w14:paraId="37BB09F8">
            <w:pPr>
              <w:spacing w:line="360" w:lineRule="auto"/>
              <w:ind w:firstLine="480"/>
              <w:rPr>
                <w:rFonts w:hint="eastAsia"/>
                <w:color w:val="auto"/>
                <w:sz w:val="24"/>
                <w:highlight w:val="none"/>
                <w:lang w:eastAsia="zh-CN"/>
              </w:rPr>
            </w:pPr>
            <w:r>
              <w:rPr>
                <w:rFonts w:hint="eastAsia"/>
                <w:color w:val="auto"/>
                <w:sz w:val="24"/>
                <w:highlight w:val="none"/>
                <w:lang w:eastAsia="zh-CN"/>
              </w:rPr>
              <w:t>施工期产生的废水为船舶含油污水和施工人员生活污水，本项目为维护性疏浚工程，无营运期。</w:t>
            </w:r>
          </w:p>
          <w:p w14:paraId="25DF89C7">
            <w:pPr>
              <w:numPr>
                <w:ilvl w:val="0"/>
                <w:numId w:val="15"/>
              </w:numPr>
              <w:spacing w:line="360" w:lineRule="auto"/>
              <w:ind w:firstLine="480"/>
              <w:rPr>
                <w:rFonts w:hint="eastAsia"/>
                <w:color w:val="auto"/>
                <w:sz w:val="24"/>
                <w:highlight w:val="none"/>
                <w:lang w:val="en-US" w:eastAsia="zh-CN"/>
              </w:rPr>
            </w:pPr>
            <w:r>
              <w:rPr>
                <w:rFonts w:hint="eastAsia"/>
                <w:color w:val="auto"/>
                <w:sz w:val="24"/>
                <w:highlight w:val="none"/>
                <w:lang w:val="en-US" w:eastAsia="zh-CN"/>
              </w:rPr>
              <w:t>施工船舶含油污水</w:t>
            </w:r>
          </w:p>
          <w:p w14:paraId="2E516B66">
            <w:pPr>
              <w:spacing w:line="360" w:lineRule="auto"/>
              <w:ind w:firstLine="480"/>
              <w:rPr>
                <w:rFonts w:hint="eastAsia"/>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船舶含油废水执行《船舶水污染物排放控制标准》（</w:t>
            </w:r>
            <w:r>
              <w:rPr>
                <w:rFonts w:hint="default" w:ascii="Times New Roman" w:hAnsi="Times New Roman" w:eastAsia="宋体" w:cs="Times New Roman"/>
                <w:color w:val="auto"/>
                <w:sz w:val="24"/>
                <w:highlight w:val="none"/>
                <w:lang w:val="en-US" w:eastAsia="zh-CN"/>
              </w:rPr>
              <w:t>GB3552-2018</w:t>
            </w:r>
            <w:r>
              <w:rPr>
                <w:rFonts w:hint="eastAsia" w:ascii="Times New Roman" w:hAnsi="Times New Roman" w:eastAsia="宋体" w:cs="Times New Roman"/>
                <w:color w:val="auto"/>
                <w:sz w:val="24"/>
                <w:highlight w:val="none"/>
                <w:lang w:val="en-US" w:eastAsia="zh-CN"/>
              </w:rPr>
              <w:t xml:space="preserve">），根据 </w:t>
            </w:r>
            <w:r>
              <w:rPr>
                <w:rFonts w:hint="default" w:ascii="Times New Roman" w:hAnsi="Times New Roman" w:eastAsia="宋体" w:cs="Times New Roman"/>
                <w:color w:val="auto"/>
                <w:sz w:val="24"/>
                <w:highlight w:val="none"/>
                <w:lang w:val="en-US" w:eastAsia="zh-CN"/>
              </w:rPr>
              <w:t>GB3552</w:t>
            </w:r>
            <w:r>
              <w:rPr>
                <w:rFonts w:hint="eastAsia" w:ascii="Times New Roman" w:hAnsi="Times New Roman" w:eastAsia="宋体" w:cs="Times New Roman"/>
                <w:color w:val="auto"/>
                <w:sz w:val="24"/>
                <w:highlight w:val="none"/>
                <w:lang w:val="en-US" w:eastAsia="zh-CN"/>
              </w:rPr>
              <w:t>中表</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，沿海</w:t>
            </w:r>
            <w:r>
              <w:rPr>
                <w:rFonts w:hint="default" w:ascii="Times New Roman" w:hAnsi="Times New Roman" w:eastAsia="宋体" w:cs="Times New Roman"/>
                <w:color w:val="auto"/>
                <w:sz w:val="24"/>
                <w:highlight w:val="none"/>
                <w:lang w:val="en-US" w:eastAsia="zh-CN"/>
              </w:rPr>
              <w:t>400</w:t>
            </w:r>
            <w:r>
              <w:rPr>
                <w:rFonts w:hint="eastAsia" w:ascii="Times New Roman" w:hAnsi="Times New Roman" w:eastAsia="宋体" w:cs="Times New Roman"/>
                <w:color w:val="auto"/>
                <w:sz w:val="24"/>
                <w:highlight w:val="none"/>
                <w:lang w:val="en-US" w:eastAsia="zh-CN"/>
              </w:rPr>
              <w:t>总吨以下渔业船舶含油污水可自</w:t>
            </w:r>
            <w:r>
              <w:rPr>
                <w:rFonts w:hint="default" w:ascii="Times New Roman" w:hAnsi="Times New Roman" w:eastAsia="宋体" w:cs="Times New Roman"/>
                <w:color w:val="auto"/>
                <w:sz w:val="24"/>
                <w:highlight w:val="none"/>
                <w:lang w:val="en-US" w:eastAsia="zh-CN"/>
              </w:rPr>
              <w:t>2021</w:t>
            </w:r>
            <w:r>
              <w:rPr>
                <w:rFonts w:hint="eastAsia" w:ascii="Times New Roman" w:hAnsi="Times New Roman" w:eastAsia="宋体" w:cs="Times New Roman"/>
                <w:color w:val="auto"/>
                <w:sz w:val="24"/>
                <w:highlight w:val="none"/>
                <w:lang w:val="en-US" w:eastAsia="zh-CN"/>
              </w:rPr>
              <w:t>年</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月</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日起，按该标准表</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执行或收集并排入接收设施。本项目船舶含油污水收集后密封储存，委托有接收能力的单位处置。</w:t>
            </w:r>
          </w:p>
          <w:p w14:paraId="00E50F00">
            <w:pPr>
              <w:numPr>
                <w:ilvl w:val="0"/>
                <w:numId w:val="15"/>
              </w:numPr>
              <w:spacing w:line="360" w:lineRule="auto"/>
              <w:ind w:firstLine="480"/>
              <w:rPr>
                <w:rFonts w:hint="default"/>
                <w:color w:val="auto"/>
                <w:sz w:val="24"/>
                <w:highlight w:val="none"/>
                <w:lang w:val="en-US" w:eastAsia="zh-CN"/>
              </w:rPr>
            </w:pPr>
            <w:r>
              <w:rPr>
                <w:rFonts w:hint="eastAsia"/>
                <w:color w:val="auto"/>
                <w:sz w:val="24"/>
                <w:highlight w:val="none"/>
                <w:lang w:val="en-US" w:eastAsia="zh-CN"/>
              </w:rPr>
              <w:t>施工人员生活污水</w:t>
            </w:r>
          </w:p>
          <w:p w14:paraId="307FE1B2">
            <w:pPr>
              <w:spacing w:line="360" w:lineRule="auto"/>
              <w:ind w:firstLine="480"/>
              <w:rPr>
                <w:rFonts w:hint="eastAsia"/>
                <w:color w:val="auto"/>
                <w:sz w:val="24"/>
                <w:highlight w:val="none"/>
              </w:rPr>
            </w:pPr>
            <w:r>
              <w:rPr>
                <w:rFonts w:hint="eastAsia" w:ascii="Times New Roman" w:hAnsi="Times New Roman" w:eastAsia="宋体" w:cs="Times New Roman"/>
                <w:color w:val="auto"/>
                <w:sz w:val="24"/>
                <w:highlight w:val="none"/>
                <w:lang w:val="en-US" w:eastAsia="zh-CN"/>
              </w:rPr>
              <w:t>项目施工期船舶工作人员生活污水执行《船舶水污染物排放控制标准》（</w:t>
            </w:r>
            <w:r>
              <w:rPr>
                <w:rFonts w:hint="default" w:ascii="Times New Roman" w:hAnsi="Times New Roman" w:eastAsia="宋体" w:cs="Times New Roman"/>
                <w:color w:val="auto"/>
                <w:sz w:val="24"/>
                <w:highlight w:val="none"/>
                <w:lang w:val="en-US" w:eastAsia="zh-CN"/>
              </w:rPr>
              <w:t>GB3552-2018</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5.1.1</w:t>
            </w:r>
            <w:r>
              <w:rPr>
                <w:rFonts w:hint="eastAsia" w:ascii="Times New Roman" w:hAnsi="Times New Roman" w:eastAsia="宋体" w:cs="Times New Roman"/>
                <w:color w:val="auto"/>
                <w:sz w:val="24"/>
                <w:highlight w:val="none"/>
                <w:lang w:val="en-US" w:eastAsia="zh-CN"/>
              </w:rPr>
              <w:t>节“利用船载收集装置收集，排入接收设施”规定，船舶生活污水收集后委托有接收能力的单位处理。</w:t>
            </w:r>
          </w:p>
          <w:p w14:paraId="4FEBF6E5">
            <w:pPr>
              <w:spacing w:line="360" w:lineRule="auto"/>
              <w:ind w:firstLine="482" w:firstLineChars="200"/>
              <w:textAlignment w:val="baseline"/>
              <w:rPr>
                <w:b/>
                <w:color w:val="auto"/>
                <w:sz w:val="24"/>
                <w:highlight w:val="none"/>
              </w:rPr>
            </w:pPr>
            <w:r>
              <w:rPr>
                <w:rFonts w:hint="eastAsia"/>
                <w:b/>
                <w:color w:val="auto"/>
                <w:sz w:val="24"/>
                <w:highlight w:val="none"/>
              </w:rPr>
              <w:t>3</w:t>
            </w:r>
            <w:r>
              <w:rPr>
                <w:b/>
                <w:color w:val="auto"/>
                <w:sz w:val="24"/>
                <w:highlight w:val="none"/>
              </w:rPr>
              <w:t>、噪声排放标准</w:t>
            </w:r>
          </w:p>
          <w:p w14:paraId="53A5CC10">
            <w:pPr>
              <w:spacing w:line="360" w:lineRule="auto"/>
              <w:ind w:firstLine="480" w:firstLineChars="200"/>
              <w:textAlignment w:val="baseline"/>
              <w:rPr>
                <w:rFonts w:hint="default" w:eastAsia="宋体"/>
                <w:color w:val="auto"/>
                <w:sz w:val="24"/>
                <w:highlight w:val="none"/>
                <w:lang w:val="en-US" w:eastAsia="zh-CN"/>
              </w:rPr>
            </w:pPr>
            <w:r>
              <w:rPr>
                <w:color w:val="auto"/>
                <w:sz w:val="24"/>
                <w:highlight w:val="none"/>
              </w:rPr>
              <w:t>本项目施工期噪声执行《建筑施工</w:t>
            </w:r>
            <w:r>
              <w:rPr>
                <w:rFonts w:hint="eastAsia"/>
                <w:color w:val="auto"/>
                <w:sz w:val="24"/>
                <w:highlight w:val="none"/>
              </w:rPr>
              <w:t>场</w:t>
            </w:r>
            <w:r>
              <w:rPr>
                <w:color w:val="auto"/>
                <w:sz w:val="24"/>
                <w:highlight w:val="none"/>
              </w:rPr>
              <w:t>界环境噪声排放标准》（GB12523-2011）（昼间≤70dB(A)、夜间≤55dB(A)）标准限值</w:t>
            </w:r>
            <w:r>
              <w:rPr>
                <w:rFonts w:hint="eastAsia"/>
                <w:color w:val="auto"/>
                <w:sz w:val="24"/>
                <w:highlight w:val="none"/>
              </w:rPr>
              <w:t>。</w:t>
            </w:r>
            <w:r>
              <w:rPr>
                <w:rFonts w:hint="eastAsia"/>
                <w:color w:val="auto"/>
                <w:sz w:val="24"/>
                <w:highlight w:val="none"/>
                <w:u w:val="single"/>
                <w:lang w:eastAsia="zh-CN"/>
              </w:rPr>
              <w:t>《建筑施工噪声排放标准》</w:t>
            </w:r>
            <w:r>
              <w:rPr>
                <w:color w:val="auto"/>
                <w:sz w:val="24"/>
                <w:highlight w:val="none"/>
                <w:u w:val="single"/>
              </w:rPr>
              <w:t>（GB12523</w:t>
            </w:r>
            <w:r>
              <w:rPr>
                <w:rFonts w:hint="eastAsia"/>
                <w:color w:val="auto"/>
                <w:sz w:val="24"/>
                <w:highlight w:val="none"/>
                <w:u w:val="single"/>
                <w:lang w:val="en-US" w:eastAsia="zh-CN"/>
              </w:rPr>
              <w:t>-2025</w:t>
            </w:r>
            <w:r>
              <w:rPr>
                <w:color w:val="auto"/>
                <w:sz w:val="24"/>
                <w:highlight w:val="none"/>
                <w:u w:val="single"/>
              </w:rPr>
              <w:t>）</w:t>
            </w:r>
            <w:r>
              <w:rPr>
                <w:rFonts w:hint="eastAsia"/>
                <w:color w:val="auto"/>
                <w:sz w:val="24"/>
                <w:highlight w:val="none"/>
                <w:u w:val="single"/>
                <w:lang w:eastAsia="zh-CN"/>
              </w:rPr>
              <w:t>表</w:t>
            </w:r>
            <w:r>
              <w:rPr>
                <w:rFonts w:hint="eastAsia"/>
                <w:color w:val="auto"/>
                <w:sz w:val="24"/>
                <w:highlight w:val="none"/>
                <w:u w:val="single"/>
                <w:lang w:val="en-US" w:eastAsia="zh-CN"/>
              </w:rPr>
              <w:t>1 建筑施工场界噪声排放标准。此外，夜间场界最大噪声级超过表1限值的幅度不得高于15dB（A）;当场界无法测量到声源的实际排放时，应该噪声敏感建筑外测量，并以4.1和4.2规定的排放限值作为评价依据。</w:t>
            </w:r>
          </w:p>
          <w:p w14:paraId="1FC34D8B">
            <w:pPr>
              <w:pStyle w:val="9"/>
              <w:ind w:left="0" w:leftChars="0" w:firstLine="0" w:firstLineChars="0"/>
              <w:jc w:val="center"/>
              <w:rPr>
                <w:rFonts w:hint="default"/>
                <w:b/>
                <w:bCs/>
                <w:color w:val="auto"/>
                <w:lang w:val="en-US" w:eastAsia="zh-CN"/>
              </w:rPr>
            </w:pPr>
            <w:r>
              <w:rPr>
                <w:rFonts w:hint="eastAsia"/>
                <w:b/>
                <w:bCs/>
                <w:color w:val="auto"/>
                <w:sz w:val="24"/>
                <w:highlight w:val="none"/>
                <w:lang w:eastAsia="zh-CN"/>
              </w:rPr>
              <w:t>表</w:t>
            </w:r>
            <w:r>
              <w:rPr>
                <w:rFonts w:hint="eastAsia"/>
                <w:b/>
                <w:bCs/>
                <w:color w:val="auto"/>
                <w:sz w:val="24"/>
                <w:highlight w:val="none"/>
                <w:lang w:val="en-US" w:eastAsia="zh-CN"/>
              </w:rPr>
              <w:t>3.4-9 筑施工场界噪声排放标准  单位：dB（A）</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2"/>
              <w:gridCol w:w="3982"/>
            </w:tblGrid>
            <w:tr w14:paraId="031D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noWrap w:val="0"/>
                  <w:vAlign w:val="center"/>
                </w:tcPr>
                <w:p w14:paraId="24BCD1CE">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bCs/>
                      <w:color w:val="auto"/>
                      <w:u w:val="single"/>
                      <w:vertAlign w:val="baseline"/>
                      <w:lang w:eastAsia="zh-CN"/>
                    </w:rPr>
                  </w:pPr>
                  <w:r>
                    <w:rPr>
                      <w:rFonts w:hint="eastAsia"/>
                      <w:b/>
                      <w:bCs/>
                      <w:color w:val="auto"/>
                      <w:u w:val="single"/>
                      <w:vertAlign w:val="baseline"/>
                      <w:lang w:eastAsia="zh-CN"/>
                    </w:rPr>
                    <w:t>昼间</w:t>
                  </w:r>
                </w:p>
              </w:tc>
              <w:tc>
                <w:tcPr>
                  <w:tcW w:w="2500" w:type="pct"/>
                  <w:noWrap w:val="0"/>
                  <w:vAlign w:val="center"/>
                </w:tcPr>
                <w:p w14:paraId="5BB867D4">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bCs/>
                      <w:color w:val="auto"/>
                      <w:u w:val="single"/>
                      <w:vertAlign w:val="baseline"/>
                      <w:lang w:eastAsia="zh-CN"/>
                    </w:rPr>
                  </w:pPr>
                  <w:r>
                    <w:rPr>
                      <w:rFonts w:hint="eastAsia"/>
                      <w:b/>
                      <w:bCs/>
                      <w:color w:val="auto"/>
                      <w:u w:val="single"/>
                      <w:vertAlign w:val="baseline"/>
                      <w:lang w:eastAsia="zh-CN"/>
                    </w:rPr>
                    <w:t>夜间</w:t>
                  </w:r>
                </w:p>
              </w:tc>
            </w:tr>
            <w:tr w14:paraId="3CC2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noWrap w:val="0"/>
                  <w:vAlign w:val="center"/>
                </w:tcPr>
                <w:p w14:paraId="3F7C51EA">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color w:val="auto"/>
                      <w:u w:val="single"/>
                      <w:vertAlign w:val="baseline"/>
                      <w:lang w:val="en-US" w:eastAsia="zh-CN"/>
                    </w:rPr>
                  </w:pPr>
                  <w:r>
                    <w:rPr>
                      <w:rFonts w:hint="eastAsia"/>
                      <w:color w:val="auto"/>
                      <w:u w:val="single"/>
                      <w:vertAlign w:val="baseline"/>
                      <w:lang w:val="en-US" w:eastAsia="zh-CN"/>
                    </w:rPr>
                    <w:t>70</w:t>
                  </w:r>
                </w:p>
              </w:tc>
              <w:tc>
                <w:tcPr>
                  <w:tcW w:w="2500" w:type="pct"/>
                  <w:noWrap w:val="0"/>
                  <w:vAlign w:val="center"/>
                </w:tcPr>
                <w:p w14:paraId="499269A1">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color w:val="auto"/>
                      <w:u w:val="single"/>
                      <w:vertAlign w:val="baseline"/>
                      <w:lang w:val="en-US" w:eastAsia="zh-CN"/>
                    </w:rPr>
                  </w:pPr>
                  <w:r>
                    <w:rPr>
                      <w:rFonts w:hint="eastAsia"/>
                      <w:color w:val="auto"/>
                      <w:u w:val="single"/>
                      <w:vertAlign w:val="baseline"/>
                      <w:lang w:val="en-US" w:eastAsia="zh-CN"/>
                    </w:rPr>
                    <w:t>55</w:t>
                  </w:r>
                </w:p>
              </w:tc>
            </w:tr>
          </w:tbl>
          <w:p w14:paraId="45AECB5A">
            <w:pPr>
              <w:adjustRightInd w:val="0"/>
              <w:spacing w:line="360" w:lineRule="auto"/>
              <w:ind w:firstLine="482" w:firstLineChars="200"/>
              <w:textAlignment w:val="baseline"/>
              <w:rPr>
                <w:rFonts w:hint="eastAsia"/>
                <w:b/>
                <w:color w:val="auto"/>
                <w:sz w:val="24"/>
                <w:highlight w:val="none"/>
              </w:rPr>
            </w:pPr>
            <w:r>
              <w:rPr>
                <w:rFonts w:hint="eastAsia"/>
                <w:b/>
                <w:color w:val="auto"/>
                <w:sz w:val="24"/>
                <w:highlight w:val="none"/>
              </w:rPr>
              <w:t>4</w:t>
            </w:r>
            <w:r>
              <w:rPr>
                <w:b/>
                <w:color w:val="auto"/>
                <w:sz w:val="24"/>
                <w:highlight w:val="none"/>
              </w:rPr>
              <w:t>、固体废物控制标准</w:t>
            </w:r>
          </w:p>
          <w:p w14:paraId="52A2063D">
            <w:pPr>
              <w:spacing w:line="360" w:lineRule="auto"/>
              <w:ind w:firstLine="480" w:firstLineChars="200"/>
              <w:textAlignment w:val="baseline"/>
              <w:rPr>
                <w:color w:val="auto"/>
                <w:kern w:val="0"/>
                <w:szCs w:val="21"/>
                <w:highlight w:val="none"/>
              </w:rPr>
            </w:pPr>
            <w:r>
              <w:rPr>
                <w:rFonts w:hint="eastAsia" w:ascii="Times New Roman" w:hAnsi="Times New Roman" w:eastAsia="宋体" w:cs="Times New Roman"/>
                <w:color w:val="auto"/>
                <w:sz w:val="24"/>
                <w:highlight w:val="none"/>
              </w:rPr>
              <w:t>一般工业固体废物贮存、处置执行《一般工业固体废物贮存和填埋污染控制标准》（GB18599-2020）</w:t>
            </w:r>
            <w:r>
              <w:rPr>
                <w:rFonts w:hint="eastAsia" w:ascii="Times New Roman" w:hAnsi="Times New Roman" w:eastAsia="宋体" w:cs="Times New Roman"/>
                <w:color w:val="auto"/>
                <w:sz w:val="24"/>
                <w:highlight w:val="none"/>
                <w:lang w:eastAsia="zh-CN"/>
              </w:rPr>
              <w:t>；危险废物执行《危险废物贮存污染物控制标准》（</w:t>
            </w:r>
            <w:r>
              <w:rPr>
                <w:rFonts w:hint="eastAsia" w:ascii="Times New Roman" w:hAnsi="Times New Roman" w:eastAsia="宋体" w:cs="Times New Roman"/>
                <w:color w:val="auto"/>
                <w:sz w:val="24"/>
                <w:highlight w:val="none"/>
                <w:lang w:val="en-US" w:eastAsia="zh-CN"/>
              </w:rPr>
              <w:t>GB18597-2023</w:t>
            </w:r>
            <w:r>
              <w:rPr>
                <w:rFonts w:hint="eastAsia" w:ascii="Times New Roman" w:hAnsi="Times New Roman" w:eastAsia="宋体" w:cs="Times New Roman"/>
                <w:color w:val="auto"/>
                <w:sz w:val="24"/>
                <w:highlight w:val="none"/>
                <w:lang w:eastAsia="zh-CN"/>
              </w:rPr>
              <w:t>）；船舶污染物按照《船舶水污染排放控制标准》（</w:t>
            </w:r>
            <w:r>
              <w:rPr>
                <w:rFonts w:hint="eastAsia" w:ascii="Times New Roman" w:hAnsi="Times New Roman" w:eastAsia="宋体" w:cs="Times New Roman"/>
                <w:color w:val="auto"/>
                <w:sz w:val="24"/>
                <w:highlight w:val="none"/>
                <w:lang w:val="en-US" w:eastAsia="zh-CN"/>
              </w:rPr>
              <w:t>GB3552-2018</w:t>
            </w:r>
            <w:r>
              <w:rPr>
                <w:rFonts w:hint="eastAsia" w:ascii="Times New Roman" w:hAnsi="Times New Roman" w:eastAsia="宋体" w:cs="Times New Roman"/>
                <w:color w:val="auto"/>
                <w:sz w:val="24"/>
                <w:highlight w:val="none"/>
                <w:lang w:eastAsia="zh-CN"/>
              </w:rPr>
              <w:t>）的要求，</w:t>
            </w:r>
            <w:r>
              <w:rPr>
                <w:rFonts w:hint="eastAsia" w:ascii="Times New Roman" w:hAnsi="Times New Roman" w:eastAsia="宋体" w:cs="Times New Roman"/>
                <w:color w:val="auto"/>
                <w:sz w:val="24"/>
                <w:highlight w:val="none"/>
                <w:lang w:val="en-US" w:eastAsia="zh-CN"/>
              </w:rPr>
              <w:t>船舶生活垃圾定点集中堆放，实行袋装化，交由有资质的单位处理，船舶含油垃圾委托由海事局认可的单位收集、运送处置。</w:t>
            </w:r>
          </w:p>
        </w:tc>
      </w:tr>
      <w:tr w14:paraId="4D361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00" w:type="dxa"/>
            <w:noWrap w:val="0"/>
            <w:vAlign w:val="center"/>
          </w:tcPr>
          <w:p w14:paraId="0602E0AF">
            <w:pPr>
              <w:adjustRightInd w:val="0"/>
              <w:snapToGrid w:val="0"/>
              <w:jc w:val="center"/>
              <w:rPr>
                <w:rFonts w:hint="eastAsia"/>
                <w:color w:val="auto"/>
                <w:kern w:val="0"/>
                <w:szCs w:val="21"/>
                <w:highlight w:val="none"/>
              </w:rPr>
            </w:pPr>
            <w:r>
              <w:rPr>
                <w:rFonts w:hint="eastAsia" w:ascii="宋体" w:hAnsi="宋体" w:cs="宋体"/>
                <w:color w:val="auto"/>
                <w:kern w:val="0"/>
                <w:sz w:val="24"/>
                <w:szCs w:val="21"/>
                <w:highlight w:val="none"/>
              </w:rPr>
              <w:t>其他</w:t>
            </w:r>
          </w:p>
        </w:tc>
        <w:tc>
          <w:tcPr>
            <w:tcW w:w="8190" w:type="dxa"/>
            <w:noWrap w:val="0"/>
            <w:vAlign w:val="center"/>
          </w:tcPr>
          <w:p w14:paraId="5D145A4F">
            <w:pPr>
              <w:spacing w:line="360" w:lineRule="auto"/>
              <w:jc w:val="center"/>
              <w:rPr>
                <w:color w:val="auto"/>
                <w:kern w:val="0"/>
                <w:highlight w:val="none"/>
              </w:rPr>
            </w:pPr>
            <w:r>
              <w:rPr>
                <w:rFonts w:hint="eastAsia" w:ascii="Times New Roman" w:hAnsi="宋体" w:eastAsia="宋体" w:cs="Times New Roman"/>
                <w:color w:val="auto"/>
                <w:kern w:val="24"/>
                <w:sz w:val="24"/>
                <w:highlight w:val="none"/>
                <w:lang w:eastAsia="zh-CN"/>
              </w:rPr>
              <w:t>本项目不涉及营运期，不设总量控制指标</w:t>
            </w:r>
            <w:r>
              <w:rPr>
                <w:rFonts w:hint="eastAsia" w:ascii="Times New Roman" w:hAnsi="宋体" w:eastAsia="宋体" w:cs="Times New Roman"/>
                <w:color w:val="auto"/>
                <w:kern w:val="24"/>
                <w:sz w:val="24"/>
                <w:highlight w:val="none"/>
              </w:rPr>
              <w:t>。</w:t>
            </w:r>
          </w:p>
        </w:tc>
      </w:tr>
    </w:tbl>
    <w:p w14:paraId="78C69551">
      <w:pPr>
        <w:pStyle w:val="9"/>
        <w:tabs>
          <w:tab w:val="left" w:pos="2198"/>
        </w:tabs>
        <w:rPr>
          <w:rFonts w:hint="eastAsia"/>
          <w:color w:val="auto"/>
          <w:highlight w:val="none"/>
          <w:lang w:eastAsia="zh-CN"/>
        </w:rPr>
      </w:pPr>
    </w:p>
    <w:p w14:paraId="0AD46AD6">
      <w:pPr>
        <w:pStyle w:val="40"/>
        <w:tabs>
          <w:tab w:val="left" w:pos="967"/>
        </w:tabs>
        <w:spacing w:before="0" w:beforeAutospacing="0" w:after="0" w:afterAutospacing="0" w:line="360" w:lineRule="auto"/>
        <w:jc w:val="center"/>
        <w:outlineLvl w:val="0"/>
        <w:rPr>
          <w:rFonts w:ascii="Times New Roman" w:hAnsi="Times New Roman" w:eastAsia="黑体"/>
          <w:snapToGrid w:val="0"/>
          <w:color w:val="auto"/>
          <w:sz w:val="36"/>
          <w:szCs w:val="36"/>
          <w:highlight w:val="none"/>
        </w:rPr>
      </w:pPr>
      <w:r>
        <w:rPr>
          <w:rFonts w:ascii="Times New Roman" w:hAnsi="Times New Roman" w:eastAsia="黑体"/>
          <w:snapToGrid w:val="0"/>
          <w:color w:val="auto"/>
          <w:sz w:val="36"/>
          <w:szCs w:val="36"/>
          <w:highlight w:val="none"/>
        </w:rPr>
        <w:br w:type="page"/>
      </w:r>
      <w:bookmarkStart w:id="42" w:name="_Toc31957"/>
      <w:bookmarkStart w:id="43" w:name="_Toc23570"/>
      <w:bookmarkStart w:id="44" w:name="_Toc3511"/>
      <w:bookmarkStart w:id="45" w:name="_Toc8377"/>
      <w:r>
        <w:rPr>
          <w:rStyle w:val="54"/>
          <w:color w:val="auto"/>
          <w:highlight w:val="none"/>
        </w:rPr>
        <w:t>四、</w:t>
      </w:r>
      <w:r>
        <w:rPr>
          <w:rStyle w:val="54"/>
          <w:rFonts w:hint="eastAsia"/>
          <w:color w:val="auto"/>
          <w:highlight w:val="none"/>
        </w:rPr>
        <w:t>生态环境影响分析</w:t>
      </w:r>
      <w:bookmarkEnd w:id="42"/>
    </w:p>
    <w:tbl>
      <w:tblPr>
        <w:tblStyle w:val="4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4"/>
        <w:gridCol w:w="8687"/>
      </w:tblGrid>
      <w:tr w14:paraId="48DCD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32" w:type="pct"/>
            <w:noWrap w:val="0"/>
            <w:tcMar>
              <w:left w:w="28" w:type="dxa"/>
              <w:right w:w="28" w:type="dxa"/>
            </w:tcMar>
            <w:vAlign w:val="center"/>
          </w:tcPr>
          <w:p w14:paraId="603C33BA">
            <w:pPr>
              <w:adjustRightInd w:val="0"/>
              <w:snapToGrid w:val="0"/>
              <w:jc w:val="center"/>
              <w:rPr>
                <w:rFonts w:hint="default" w:eastAsia="宋体"/>
                <w:bCs/>
                <w:color w:val="auto"/>
                <w:szCs w:val="21"/>
                <w:highlight w:val="none"/>
                <w:lang w:val="en-US" w:eastAsia="zh-CN"/>
              </w:rPr>
            </w:pPr>
            <w:r>
              <w:rPr>
                <w:rFonts w:hint="eastAsia" w:ascii="宋体" w:hAnsi="宋体" w:cs="宋体"/>
                <w:color w:val="auto"/>
                <w:kern w:val="0"/>
                <w:sz w:val="24"/>
                <w:szCs w:val="21"/>
                <w:highlight w:val="none"/>
              </w:rPr>
              <w:t>施工期生态环境影响分析</w:t>
            </w:r>
            <w:r>
              <w:rPr>
                <w:rFonts w:hint="eastAsia" w:ascii="宋体" w:hAnsi="宋体" w:cs="宋体"/>
                <w:color w:val="auto"/>
                <w:kern w:val="0"/>
                <w:sz w:val="24"/>
                <w:szCs w:val="21"/>
                <w:highlight w:val="none"/>
                <w:lang w:val="en-US" w:eastAsia="zh-CN"/>
              </w:rPr>
              <w:t xml:space="preserve">             </w:t>
            </w:r>
          </w:p>
        </w:tc>
        <w:tc>
          <w:tcPr>
            <w:tcW w:w="4567" w:type="pct"/>
            <w:noWrap w:val="0"/>
            <w:vAlign w:val="center"/>
          </w:tcPr>
          <w:p w14:paraId="4568DD66">
            <w:pPr>
              <w:tabs>
                <w:tab w:val="left" w:pos="2272"/>
              </w:tabs>
              <w:spacing w:line="360" w:lineRule="auto"/>
              <w:rPr>
                <w:rFonts w:hint="eastAsia"/>
                <w:color w:val="auto"/>
                <w:kern w:val="0"/>
                <w:sz w:val="24"/>
                <w:highlight w:val="none"/>
              </w:rPr>
            </w:pPr>
            <w:r>
              <w:rPr>
                <w:rFonts w:hint="eastAsia"/>
                <w:b/>
                <w:bCs/>
                <w:color w:val="auto"/>
                <w:sz w:val="28"/>
                <w:szCs w:val="28"/>
                <w:highlight w:val="none"/>
                <w:lang w:val="en-US" w:eastAsia="zh-CN"/>
              </w:rPr>
              <w:t>4.1.1</w:t>
            </w:r>
            <w:r>
              <w:rPr>
                <w:rFonts w:hint="eastAsia"/>
                <w:b/>
                <w:bCs/>
                <w:color w:val="auto"/>
                <w:sz w:val="28"/>
                <w:szCs w:val="28"/>
                <w:highlight w:val="none"/>
              </w:rPr>
              <w:t>大气环境影响分析</w:t>
            </w:r>
            <w:r>
              <w:rPr>
                <w:rFonts w:hint="eastAsia"/>
                <w:b/>
                <w:bCs/>
                <w:color w:val="auto"/>
                <w:sz w:val="24"/>
                <w:highlight w:val="none"/>
                <w:shd w:val="clear" w:color="auto" w:fill="FFFFFF"/>
              </w:rPr>
              <w:tab/>
            </w:r>
          </w:p>
          <w:p w14:paraId="28D9BBA7">
            <w:pPr>
              <w:spacing w:line="360" w:lineRule="auto"/>
              <w:ind w:firstLine="480" w:firstLineChars="200"/>
              <w:rPr>
                <w:rFonts w:hint="eastAsia"/>
                <w:color w:val="auto"/>
                <w:kern w:val="0"/>
                <w:sz w:val="24"/>
                <w:highlight w:val="none"/>
                <w:lang w:eastAsia="zh-CN"/>
              </w:rPr>
            </w:pPr>
            <w:r>
              <w:rPr>
                <w:rFonts w:hint="eastAsia"/>
                <w:color w:val="auto"/>
                <w:kern w:val="0"/>
                <w:sz w:val="24"/>
                <w:highlight w:val="none"/>
                <w:lang w:eastAsia="zh-CN"/>
              </w:rPr>
              <w:t>本项目施工期产生的废气影响清淤疏浚作业时产生的大气污染主要来源于施工机械、船舶排放的尾气和清淤</w:t>
            </w:r>
            <w:r>
              <w:rPr>
                <w:rFonts w:hint="eastAsia"/>
                <w:color w:val="auto"/>
                <w:kern w:val="0"/>
                <w:sz w:val="24"/>
                <w:highlight w:val="none"/>
                <w:lang w:val="en-US" w:eastAsia="zh-CN"/>
              </w:rPr>
              <w:t>疏浚</w:t>
            </w:r>
            <w:r>
              <w:rPr>
                <w:rFonts w:hint="eastAsia"/>
                <w:color w:val="auto"/>
                <w:kern w:val="0"/>
                <w:sz w:val="24"/>
                <w:highlight w:val="none"/>
                <w:lang w:eastAsia="zh-CN"/>
              </w:rPr>
              <w:t>产生的恶臭，尾气污染物主要为:一氧化碳、二氧化碳、氧化气体、氮氧化合物及颗粒尘埃，该类污染源是流动性的，污染物排放量不大</w:t>
            </w:r>
            <w:r>
              <w:rPr>
                <w:rFonts w:hint="eastAsia" w:ascii="Times New Roman" w:hAnsi="Times New Roman" w:eastAsia="宋体" w:cs="Times New Roman"/>
                <w:color w:val="auto"/>
                <w:kern w:val="0"/>
                <w:sz w:val="24"/>
                <w:highlight w:val="none"/>
                <w:lang w:eastAsia="zh-CN"/>
              </w:rPr>
              <w:t>，表现为间歇性特征，因此影响是短期和局部的，该项污染源随着项目完工而不复存在。</w:t>
            </w:r>
          </w:p>
          <w:p w14:paraId="4E49C67C">
            <w:pPr>
              <w:spacing w:line="360" w:lineRule="auto"/>
              <w:ind w:firstLine="480" w:firstLineChars="200"/>
              <w:rPr>
                <w:rFonts w:hint="eastAsia"/>
                <w:color w:val="auto"/>
                <w:sz w:val="24"/>
                <w:highlight w:val="none"/>
              </w:rPr>
            </w:pPr>
            <w:r>
              <w:rPr>
                <w:rFonts w:hint="eastAsia"/>
                <w:color w:val="auto"/>
                <w:kern w:val="0"/>
                <w:sz w:val="24"/>
                <w:highlight w:val="none"/>
                <w:lang w:eastAsia="zh-CN"/>
              </w:rPr>
              <w:t>项目施工拟投入的主要施工船机设备有：1</w:t>
            </w:r>
            <w:r>
              <w:rPr>
                <w:rFonts w:hint="eastAsia"/>
                <w:color w:val="auto"/>
                <w:kern w:val="0"/>
                <w:sz w:val="24"/>
                <w:highlight w:val="none"/>
                <w:lang w:val="en-US" w:eastAsia="zh-CN"/>
              </w:rPr>
              <w:t>0</w:t>
            </w:r>
            <w:r>
              <w:rPr>
                <w:rFonts w:hint="eastAsia"/>
                <w:color w:val="auto"/>
                <w:kern w:val="0"/>
                <w:sz w:val="24"/>
                <w:highlight w:val="none"/>
                <w:lang w:eastAsia="zh-CN"/>
              </w:rPr>
              <w:t>m</w:t>
            </w:r>
            <w:r>
              <w:rPr>
                <w:rFonts w:hint="eastAsia"/>
                <w:color w:val="auto"/>
                <w:kern w:val="0"/>
                <w:sz w:val="24"/>
                <w:highlight w:val="none"/>
                <w:vertAlign w:val="superscript"/>
                <w:lang w:val="en-US" w:eastAsia="zh-CN"/>
              </w:rPr>
              <w:t>3</w:t>
            </w:r>
            <w:r>
              <w:rPr>
                <w:rFonts w:hint="eastAsia"/>
                <w:color w:val="auto"/>
                <w:kern w:val="0"/>
                <w:sz w:val="24"/>
                <w:highlight w:val="none"/>
                <w:lang w:eastAsia="zh-CN"/>
              </w:rPr>
              <w:t>抓斗船、</w:t>
            </w:r>
            <w:r>
              <w:rPr>
                <w:rFonts w:hint="eastAsia"/>
                <w:color w:val="auto"/>
                <w:kern w:val="0"/>
                <w:sz w:val="24"/>
                <w:highlight w:val="none"/>
                <w:lang w:val="en-US" w:eastAsia="zh-CN"/>
              </w:rPr>
              <w:t>2500</w:t>
            </w:r>
            <w:r>
              <w:rPr>
                <w:rFonts w:hint="eastAsia"/>
                <w:color w:val="auto"/>
                <w:kern w:val="0"/>
                <w:sz w:val="24"/>
                <w:highlight w:val="none"/>
                <w:lang w:eastAsia="zh-CN"/>
              </w:rPr>
              <w:t>m</w:t>
            </w:r>
            <w:r>
              <w:rPr>
                <w:rFonts w:hint="eastAsia"/>
                <w:color w:val="auto"/>
                <w:kern w:val="0"/>
                <w:sz w:val="24"/>
                <w:highlight w:val="none"/>
                <w:vertAlign w:val="superscript"/>
                <w:lang w:val="en-US" w:eastAsia="zh-CN"/>
              </w:rPr>
              <w:t>3</w:t>
            </w:r>
            <w:r>
              <w:rPr>
                <w:rFonts w:hint="eastAsia"/>
                <w:color w:val="auto"/>
                <w:kern w:val="0"/>
                <w:sz w:val="24"/>
                <w:highlight w:val="none"/>
                <w:lang w:eastAsia="zh-CN"/>
              </w:rPr>
              <w:t>泥驳船、</w:t>
            </w:r>
            <w:r>
              <w:rPr>
                <w:rFonts w:hint="eastAsia"/>
                <w:color w:val="auto"/>
                <w:kern w:val="0"/>
                <w:sz w:val="24"/>
                <w:highlight w:val="none"/>
                <w:lang w:val="en-US" w:eastAsia="zh-CN"/>
              </w:rPr>
              <w:t>3500</w:t>
            </w:r>
            <w:r>
              <w:rPr>
                <w:rFonts w:hint="eastAsia"/>
                <w:color w:val="auto"/>
                <w:kern w:val="0"/>
                <w:sz w:val="24"/>
                <w:highlight w:val="none"/>
                <w:lang w:eastAsia="zh-CN"/>
              </w:rPr>
              <w:t>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耙吸船</w:t>
            </w:r>
            <w:r>
              <w:rPr>
                <w:rFonts w:hint="eastAsia"/>
                <w:color w:val="auto"/>
                <w:kern w:val="0"/>
                <w:sz w:val="24"/>
                <w:highlight w:val="none"/>
                <w:lang w:eastAsia="zh-CN"/>
              </w:rPr>
              <w:t>，施工船舶定期进行维修和保养，保障船上发动机及有关设备经船舶检验机构检验合格，施工船舶必须使用含硫量不超过0.5%m/m燃油，控制废气SO</w:t>
            </w:r>
            <w:r>
              <w:rPr>
                <w:rFonts w:hint="eastAsia"/>
                <w:color w:val="auto"/>
                <w:kern w:val="0"/>
                <w:sz w:val="24"/>
                <w:highlight w:val="none"/>
                <w:vertAlign w:val="subscript"/>
                <w:lang w:val="en-US" w:eastAsia="zh-CN"/>
              </w:rPr>
              <w:t>2</w:t>
            </w:r>
            <w:r>
              <w:rPr>
                <w:rFonts w:hint="eastAsia"/>
                <w:color w:val="auto"/>
                <w:kern w:val="0"/>
                <w:sz w:val="24"/>
                <w:highlight w:val="none"/>
                <w:lang w:eastAsia="zh-CN"/>
              </w:rPr>
              <w:t>达标排放，此外，项目施工区域位于码头停泊水域和回旋水域，区域空旷，施工产生的废气经大气扩散后对周边大气环境影响不大。</w:t>
            </w:r>
          </w:p>
          <w:p w14:paraId="698BB584">
            <w:pPr>
              <w:spacing w:line="360" w:lineRule="auto"/>
              <w:rPr>
                <w:rFonts w:hint="eastAsia" w:eastAsia="宋体"/>
                <w:b/>
                <w:bCs/>
                <w:color w:val="auto"/>
                <w:sz w:val="28"/>
                <w:szCs w:val="28"/>
                <w:highlight w:val="none"/>
                <w:lang w:eastAsia="zh-CN"/>
              </w:rPr>
            </w:pPr>
            <w:r>
              <w:rPr>
                <w:rFonts w:hint="eastAsia"/>
                <w:b/>
                <w:bCs/>
                <w:color w:val="auto"/>
                <w:sz w:val="28"/>
                <w:szCs w:val="28"/>
                <w:highlight w:val="none"/>
                <w:lang w:val="en-US" w:eastAsia="zh-CN"/>
              </w:rPr>
              <w:t>4.1.2</w:t>
            </w:r>
            <w:r>
              <w:rPr>
                <w:rFonts w:hint="eastAsia"/>
                <w:b/>
                <w:bCs/>
                <w:color w:val="auto"/>
                <w:sz w:val="28"/>
                <w:szCs w:val="28"/>
                <w:highlight w:val="none"/>
                <w:lang w:eastAsia="zh-CN"/>
              </w:rPr>
              <w:t>水环境影响分析</w:t>
            </w:r>
          </w:p>
          <w:p w14:paraId="6E5C1235">
            <w:pPr>
              <w:spacing w:line="360" w:lineRule="auto"/>
              <w:ind w:firstLine="480" w:firstLineChars="200"/>
              <w:jc w:val="left"/>
              <w:rPr>
                <w:rFonts w:hint="eastAsia"/>
                <w:color w:val="auto"/>
                <w:kern w:val="0"/>
                <w:sz w:val="24"/>
                <w:highlight w:val="none"/>
              </w:rPr>
            </w:pPr>
            <w:r>
              <w:rPr>
                <w:rFonts w:hint="eastAsia"/>
                <w:b w:val="0"/>
                <w:bCs w:val="0"/>
                <w:color w:val="auto"/>
                <w:sz w:val="24"/>
                <w:highlight w:val="none"/>
                <w:shd w:val="clear" w:color="auto" w:fill="FFFFFF"/>
                <w:lang w:eastAsia="zh-CN"/>
              </w:rPr>
              <w:t>项目施工产生的废水主要为施工人员生活污水、施工船舶含油废水、回旋水域疏浚过程中产生的悬浮泥沙。</w:t>
            </w:r>
          </w:p>
          <w:p w14:paraId="1C6A9ED0">
            <w:pPr>
              <w:spacing w:line="360" w:lineRule="auto"/>
              <w:ind w:firstLine="482" w:firstLineChars="200"/>
              <w:rPr>
                <w:rFonts w:hint="eastAsia" w:eastAsia="宋体"/>
                <w:color w:val="auto"/>
                <w:kern w:val="0"/>
                <w:sz w:val="24"/>
                <w:highlight w:val="none"/>
                <w:lang w:eastAsia="zh-CN"/>
              </w:rPr>
            </w:pPr>
            <w:r>
              <w:rPr>
                <w:rFonts w:hint="eastAsia"/>
                <w:b/>
                <w:bCs/>
                <w:color w:val="auto"/>
                <w:sz w:val="24"/>
                <w:highlight w:val="none"/>
                <w:shd w:val="clear" w:color="auto" w:fill="FFFFFF"/>
                <w:lang w:val="en-US" w:eastAsia="zh-CN"/>
              </w:rPr>
              <w:t>1</w:t>
            </w:r>
            <w:r>
              <w:rPr>
                <w:b/>
                <w:bCs/>
                <w:color w:val="auto"/>
                <w:sz w:val="24"/>
                <w:highlight w:val="none"/>
                <w:shd w:val="clear" w:color="auto" w:fill="FFFFFF"/>
              </w:rPr>
              <w:t>、</w:t>
            </w:r>
            <w:r>
              <w:rPr>
                <w:rFonts w:hint="eastAsia"/>
                <w:b/>
                <w:bCs/>
                <w:color w:val="auto"/>
                <w:sz w:val="24"/>
                <w:highlight w:val="none"/>
                <w:shd w:val="clear" w:color="auto" w:fill="FFFFFF"/>
                <w:lang w:eastAsia="zh-CN"/>
              </w:rPr>
              <w:t>施工人员生活污水</w:t>
            </w:r>
          </w:p>
          <w:p w14:paraId="3D852C43">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color w:val="auto"/>
                <w:kern w:val="0"/>
                <w:sz w:val="24"/>
                <w:highlight w:val="none"/>
                <w:u w:val="none"/>
                <w:lang w:eastAsia="zh-CN"/>
              </w:rPr>
              <w:t>本项目高峰期总施工人员约</w:t>
            </w:r>
            <w:r>
              <w:rPr>
                <w:rFonts w:hint="eastAsia"/>
                <w:color w:val="auto"/>
                <w:kern w:val="0"/>
                <w:sz w:val="24"/>
                <w:highlight w:val="none"/>
                <w:u w:val="none"/>
                <w:lang w:val="en-US" w:eastAsia="zh-CN"/>
              </w:rPr>
              <w:t>30人</w:t>
            </w:r>
            <w:r>
              <w:rPr>
                <w:rFonts w:hint="eastAsia"/>
                <w:color w:val="auto"/>
                <w:kern w:val="0"/>
                <w:sz w:val="24"/>
                <w:highlight w:val="none"/>
                <w:u w:val="none"/>
              </w:rPr>
              <w:t>，</w:t>
            </w:r>
            <w:r>
              <w:rPr>
                <w:rFonts w:hint="eastAsia"/>
                <w:color w:val="auto"/>
                <w:kern w:val="0"/>
                <w:sz w:val="24"/>
                <w:highlight w:val="none"/>
                <w:u w:val="none"/>
                <w:lang w:eastAsia="zh-CN"/>
              </w:rPr>
              <w:t>本工程船舶施工人员食宿均在船上，用水标准参考广西地方标准《城镇生活用水定额》（DB45T 679-</w:t>
            </w:r>
            <w:r>
              <w:rPr>
                <w:rFonts w:hint="eastAsia"/>
                <w:color w:val="auto"/>
                <w:kern w:val="0"/>
                <w:sz w:val="24"/>
                <w:highlight w:val="none"/>
                <w:u w:val="none"/>
                <w:lang w:val="en-US" w:eastAsia="zh-CN"/>
              </w:rPr>
              <w:t>2023</w:t>
            </w:r>
            <w:r>
              <w:rPr>
                <w:rFonts w:hint="eastAsia"/>
                <w:color w:val="auto"/>
                <w:kern w:val="0"/>
                <w:sz w:val="24"/>
                <w:highlight w:val="none"/>
                <w:u w:val="none"/>
                <w:lang w:eastAsia="zh-CN"/>
              </w:rPr>
              <w:t>），结合施工经验，生活用水量取150L/人·d，估算出船舶生活用水量为</w:t>
            </w:r>
            <w:r>
              <w:rPr>
                <w:rFonts w:hint="eastAsia"/>
                <w:color w:val="auto"/>
                <w:kern w:val="0"/>
                <w:sz w:val="24"/>
                <w:highlight w:val="none"/>
                <w:u w:val="none"/>
                <w:lang w:val="en-US" w:eastAsia="zh-CN"/>
              </w:rPr>
              <w:t>4.5m</w:t>
            </w:r>
            <w:r>
              <w:rPr>
                <w:rFonts w:hint="eastAsia"/>
                <w:color w:val="auto"/>
                <w:kern w:val="0"/>
                <w:sz w:val="24"/>
                <w:highlight w:val="none"/>
                <w:u w:val="none"/>
                <w:vertAlign w:val="superscript"/>
                <w:lang w:val="en-US" w:eastAsia="zh-CN"/>
              </w:rPr>
              <w:t>3</w:t>
            </w:r>
            <w:r>
              <w:rPr>
                <w:rFonts w:hint="eastAsia"/>
                <w:color w:val="auto"/>
                <w:kern w:val="0"/>
                <w:sz w:val="24"/>
                <w:highlight w:val="none"/>
                <w:u w:val="none"/>
                <w:vertAlign w:val="baseline"/>
                <w:lang w:val="en-US" w:eastAsia="zh-CN"/>
              </w:rPr>
              <w:t>/d，施工期总生活用水量为405</w:t>
            </w:r>
            <w:r>
              <w:rPr>
                <w:rFonts w:hint="eastAsia"/>
                <w:color w:val="auto"/>
                <w:kern w:val="0"/>
                <w:sz w:val="24"/>
                <w:highlight w:val="none"/>
                <w:u w:val="none"/>
                <w:lang w:val="en-US" w:eastAsia="zh-CN"/>
              </w:rPr>
              <w:t>m</w:t>
            </w:r>
            <w:r>
              <w:rPr>
                <w:rFonts w:hint="eastAsia"/>
                <w:color w:val="auto"/>
                <w:kern w:val="0"/>
                <w:sz w:val="24"/>
                <w:highlight w:val="none"/>
                <w:u w:val="none"/>
                <w:vertAlign w:val="superscript"/>
                <w:lang w:val="en-US" w:eastAsia="zh-CN"/>
              </w:rPr>
              <w:t>3</w:t>
            </w:r>
            <w:r>
              <w:rPr>
                <w:rFonts w:hint="eastAsia"/>
                <w:color w:val="auto"/>
                <w:kern w:val="0"/>
                <w:sz w:val="24"/>
                <w:highlight w:val="none"/>
                <w:u w:val="none"/>
                <w:vertAlign w:val="baseline"/>
                <w:lang w:val="en-US" w:eastAsia="zh-CN"/>
              </w:rPr>
              <w:t>（施工期3个月，每月按30天计）</w:t>
            </w:r>
            <w:r>
              <w:rPr>
                <w:rFonts w:hint="eastAsia"/>
                <w:color w:val="auto"/>
                <w:kern w:val="0"/>
                <w:sz w:val="24"/>
                <w:highlight w:val="none"/>
                <w:u w:val="none"/>
                <w:lang w:eastAsia="zh-CN"/>
              </w:rPr>
              <w:t>，</w:t>
            </w:r>
            <w:r>
              <w:rPr>
                <w:rFonts w:hint="eastAsia"/>
                <w:color w:val="auto"/>
                <w:kern w:val="0"/>
                <w:sz w:val="24"/>
                <w:highlight w:val="none"/>
                <w:u w:val="none"/>
                <w:lang w:val="en-US" w:eastAsia="zh-CN"/>
              </w:rPr>
              <w:t>总用水量</w:t>
            </w:r>
            <w:r>
              <w:rPr>
                <w:rFonts w:hint="eastAsia"/>
                <w:color w:val="auto"/>
                <w:kern w:val="0"/>
                <w:sz w:val="24"/>
                <w:highlight w:val="none"/>
                <w:u w:val="none"/>
                <w:lang w:eastAsia="zh-CN"/>
              </w:rPr>
              <w:t>污水产生系数按80%计，生活污水日产生量为</w:t>
            </w:r>
            <w:r>
              <w:rPr>
                <w:rFonts w:hint="eastAsia"/>
                <w:color w:val="auto"/>
                <w:kern w:val="0"/>
                <w:sz w:val="24"/>
                <w:highlight w:val="none"/>
                <w:u w:val="none"/>
                <w:lang w:val="en-US" w:eastAsia="zh-CN"/>
              </w:rPr>
              <w:t>3.6m</w:t>
            </w:r>
            <w:r>
              <w:rPr>
                <w:rFonts w:hint="eastAsia"/>
                <w:color w:val="auto"/>
                <w:kern w:val="0"/>
                <w:sz w:val="24"/>
                <w:highlight w:val="none"/>
                <w:u w:val="none"/>
                <w:vertAlign w:val="superscript"/>
                <w:lang w:val="en-US" w:eastAsia="zh-CN"/>
              </w:rPr>
              <w:t>3</w:t>
            </w:r>
            <w:r>
              <w:rPr>
                <w:rFonts w:hint="eastAsia"/>
                <w:color w:val="auto"/>
                <w:kern w:val="0"/>
                <w:sz w:val="24"/>
                <w:highlight w:val="none"/>
                <w:u w:val="none"/>
                <w:vertAlign w:val="baseline"/>
                <w:lang w:val="en-US" w:eastAsia="zh-CN"/>
              </w:rPr>
              <w:t>/d，施工期总生活污水量324</w:t>
            </w:r>
            <w:r>
              <w:rPr>
                <w:rFonts w:hint="eastAsia"/>
                <w:color w:val="auto"/>
                <w:kern w:val="0"/>
                <w:sz w:val="24"/>
                <w:highlight w:val="none"/>
                <w:u w:val="none"/>
                <w:lang w:val="en-US" w:eastAsia="zh-CN"/>
              </w:rPr>
              <w:t>m</w:t>
            </w:r>
            <w:r>
              <w:rPr>
                <w:rFonts w:hint="eastAsia"/>
                <w:color w:val="auto"/>
                <w:kern w:val="0"/>
                <w:sz w:val="24"/>
                <w:highlight w:val="none"/>
                <w:u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w:t>
            </w:r>
          </w:p>
          <w:p w14:paraId="0F4D665E">
            <w:pPr>
              <w:spacing w:line="360" w:lineRule="auto"/>
              <w:ind w:firstLine="480" w:firstLineChars="200"/>
              <w:jc w:val="left"/>
              <w:rPr>
                <w:rFonts w:hint="eastAsia"/>
                <w:color w:val="auto"/>
                <w:kern w:val="0"/>
                <w:sz w:val="24"/>
                <w:highlight w:val="none"/>
                <w:lang w:eastAsia="zh-CN"/>
              </w:rPr>
            </w:pPr>
            <w:r>
              <w:rPr>
                <w:rFonts w:hint="eastAsia"/>
                <w:color w:val="auto"/>
                <w:kern w:val="0"/>
                <w:sz w:val="24"/>
                <w:highlight w:val="none"/>
                <w:lang w:eastAsia="zh-CN"/>
              </w:rPr>
              <w:t>生活污水中的污染物主要为COD、BOD</w:t>
            </w:r>
            <w:r>
              <w:rPr>
                <w:rFonts w:hint="eastAsia"/>
                <w:color w:val="auto"/>
                <w:kern w:val="0"/>
                <w:sz w:val="24"/>
                <w:highlight w:val="none"/>
                <w:vertAlign w:val="subscript"/>
                <w:lang w:eastAsia="zh-CN"/>
              </w:rPr>
              <w:t>5</w:t>
            </w:r>
            <w:r>
              <w:rPr>
                <w:rFonts w:hint="eastAsia"/>
                <w:color w:val="auto"/>
                <w:kern w:val="0"/>
                <w:sz w:val="24"/>
                <w:highlight w:val="none"/>
                <w:lang w:eastAsia="zh-CN"/>
              </w:rPr>
              <w:t>、SS以及NH</w:t>
            </w:r>
            <w:r>
              <w:rPr>
                <w:rFonts w:hint="eastAsia"/>
                <w:color w:val="auto"/>
                <w:kern w:val="0"/>
                <w:sz w:val="24"/>
                <w:highlight w:val="none"/>
                <w:vertAlign w:val="subscript"/>
                <w:lang w:eastAsia="zh-CN"/>
              </w:rPr>
              <w:t>3</w:t>
            </w:r>
            <w:r>
              <w:rPr>
                <w:rFonts w:hint="eastAsia"/>
                <w:color w:val="auto"/>
                <w:kern w:val="0"/>
                <w:sz w:val="24"/>
                <w:highlight w:val="none"/>
                <w:lang w:eastAsia="zh-CN"/>
              </w:rPr>
              <w:t>-N等，参考2021年6月9日中华人民共和国生态环境部发布的《排放源统计调查产排污核算方法和系数手册》中的《生活源产排污核算方法和系数手册》中的系数，并结合第二次污染普查《生活源系数手册》（试用版）及类比同类项目，生活污水中COD、BOD</w:t>
            </w:r>
            <w:r>
              <w:rPr>
                <w:rFonts w:hint="eastAsia"/>
                <w:color w:val="auto"/>
                <w:kern w:val="0"/>
                <w:sz w:val="24"/>
                <w:highlight w:val="none"/>
                <w:vertAlign w:val="subscript"/>
                <w:lang w:eastAsia="zh-CN"/>
              </w:rPr>
              <w:t>5</w:t>
            </w:r>
            <w:r>
              <w:rPr>
                <w:rFonts w:hint="eastAsia"/>
                <w:color w:val="auto"/>
                <w:kern w:val="0"/>
                <w:sz w:val="24"/>
                <w:highlight w:val="none"/>
                <w:lang w:eastAsia="zh-CN"/>
              </w:rPr>
              <w:t>、SS、NH</w:t>
            </w:r>
            <w:r>
              <w:rPr>
                <w:rFonts w:hint="eastAsia"/>
                <w:color w:val="auto"/>
                <w:kern w:val="0"/>
                <w:sz w:val="24"/>
                <w:highlight w:val="none"/>
                <w:vertAlign w:val="subscript"/>
                <w:lang w:eastAsia="zh-CN"/>
              </w:rPr>
              <w:t>3</w:t>
            </w:r>
            <w:r>
              <w:rPr>
                <w:rFonts w:hint="eastAsia"/>
                <w:color w:val="auto"/>
                <w:kern w:val="0"/>
                <w:sz w:val="24"/>
                <w:highlight w:val="none"/>
                <w:lang w:eastAsia="zh-CN"/>
              </w:rPr>
              <w:t>-N的浓度分别为285mg/L、123mg/L、150mg/L、28.3mg/L。</w:t>
            </w:r>
          </w:p>
          <w:p w14:paraId="6E0D296F">
            <w:pPr>
              <w:keepNext w:val="0"/>
              <w:keepLines w:val="0"/>
              <w:widowControl/>
              <w:suppressLineNumbers w:val="0"/>
              <w:jc w:val="center"/>
              <w:rPr>
                <w:color w:val="auto"/>
                <w:highlight w:val="none"/>
              </w:rPr>
            </w:pPr>
            <w:r>
              <w:rPr>
                <w:rFonts w:hint="eastAsia" w:ascii="宋体" w:hAnsi="宋体" w:eastAsia="宋体" w:cs="宋体"/>
                <w:b/>
                <w:bCs/>
                <w:color w:val="auto"/>
                <w:kern w:val="0"/>
                <w:sz w:val="20"/>
                <w:szCs w:val="20"/>
                <w:highlight w:val="none"/>
                <w:lang w:val="en-US" w:eastAsia="zh-CN" w:bidi="ar"/>
              </w:rPr>
              <w:t>表4.1-1施工船舶生活污水污染物产生情况</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2053"/>
              <w:gridCol w:w="1383"/>
              <w:gridCol w:w="1209"/>
              <w:gridCol w:w="1410"/>
              <w:gridCol w:w="1410"/>
            </w:tblGrid>
            <w:tr w14:paraId="6445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noWrap w:val="0"/>
                  <w:vAlign w:val="top"/>
                </w:tcPr>
                <w:p w14:paraId="668EA1BC">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废水量</w:t>
                  </w:r>
                </w:p>
              </w:tc>
              <w:tc>
                <w:tcPr>
                  <w:tcW w:w="1213" w:type="pct"/>
                  <w:noWrap w:val="0"/>
                  <w:vAlign w:val="top"/>
                </w:tcPr>
                <w:p w14:paraId="638CBE9F">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项目</w:t>
                  </w:r>
                </w:p>
              </w:tc>
              <w:tc>
                <w:tcPr>
                  <w:tcW w:w="817" w:type="pct"/>
                  <w:noWrap w:val="0"/>
                  <w:vAlign w:val="top"/>
                </w:tcPr>
                <w:p w14:paraId="70AC8027">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COD</w:t>
                  </w:r>
                </w:p>
              </w:tc>
              <w:tc>
                <w:tcPr>
                  <w:tcW w:w="714" w:type="pct"/>
                  <w:noWrap w:val="0"/>
                  <w:vAlign w:val="top"/>
                </w:tcPr>
                <w:p w14:paraId="7509AB1B">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BOD</w:t>
                  </w:r>
                  <w:r>
                    <w:rPr>
                      <w:rFonts w:hint="eastAsia" w:ascii="Times New Roman" w:hAnsi="Times New Roman" w:eastAsia="宋体" w:cs="Times New Roman"/>
                      <w:color w:val="auto"/>
                      <w:kern w:val="0"/>
                      <w:sz w:val="21"/>
                      <w:szCs w:val="21"/>
                      <w:highlight w:val="none"/>
                      <w:vertAlign w:val="subscript"/>
                      <w:lang w:val="en-US" w:eastAsia="zh-CN" w:bidi="ar"/>
                    </w:rPr>
                    <w:t>5</w:t>
                  </w:r>
                </w:p>
              </w:tc>
              <w:tc>
                <w:tcPr>
                  <w:tcW w:w="833" w:type="pct"/>
                  <w:noWrap w:val="0"/>
                  <w:vAlign w:val="top"/>
                </w:tcPr>
                <w:p w14:paraId="4B73D859">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SS</w:t>
                  </w:r>
                </w:p>
              </w:tc>
              <w:tc>
                <w:tcPr>
                  <w:tcW w:w="833" w:type="pct"/>
                  <w:noWrap w:val="0"/>
                  <w:vAlign w:val="top"/>
                </w:tcPr>
                <w:p w14:paraId="6D58A0AB">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NH</w:t>
                  </w:r>
                  <w:r>
                    <w:rPr>
                      <w:rFonts w:hint="eastAsia" w:ascii="Times New Roman" w:hAnsi="Times New Roman" w:eastAsia="宋体" w:cs="Times New Roman"/>
                      <w:color w:val="auto"/>
                      <w:kern w:val="0"/>
                      <w:sz w:val="21"/>
                      <w:szCs w:val="21"/>
                      <w:highlight w:val="none"/>
                      <w:vertAlign w:val="sub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-N</w:t>
                  </w:r>
                </w:p>
              </w:tc>
            </w:tr>
            <w:tr w14:paraId="0E1A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Merge w:val="restart"/>
                  <w:noWrap w:val="0"/>
                  <w:vAlign w:val="center"/>
                </w:tcPr>
                <w:p w14:paraId="3D874ECB">
                  <w:pPr>
                    <w:keepNext w:val="0"/>
                    <w:keepLines w:val="0"/>
                    <w:widowControl/>
                    <w:suppressLineNumbers w:val="0"/>
                    <w:jc w:val="center"/>
                    <w:rPr>
                      <w:rFonts w:hint="eastAsia"/>
                      <w:color w:val="auto"/>
                      <w:kern w:val="0"/>
                      <w:sz w:val="24"/>
                      <w:highlight w:val="none"/>
                      <w:vertAlign w:val="baseline"/>
                      <w:lang w:eastAsia="zh-CN"/>
                    </w:rPr>
                  </w:pPr>
                  <w:r>
                    <w:rPr>
                      <w:rFonts w:hint="eastAsia" w:ascii="Times New Roman" w:hAnsi="Times New Roman" w:eastAsia="宋体" w:cs="Times New Roman"/>
                      <w:color w:val="auto"/>
                      <w:kern w:val="0"/>
                      <w:sz w:val="21"/>
                      <w:szCs w:val="21"/>
                      <w:highlight w:val="none"/>
                      <w:lang w:val="en-US" w:eastAsia="zh-CN" w:bidi="ar"/>
                    </w:rPr>
                    <w:t>324m</w:t>
                  </w:r>
                  <w:r>
                    <w:rPr>
                      <w:rFonts w:hint="eastAsia" w:ascii="Times New Roman" w:hAnsi="Times New Roman" w:eastAsia="宋体" w:cs="Times New Roman"/>
                      <w:color w:val="auto"/>
                      <w:kern w:val="0"/>
                      <w:sz w:val="21"/>
                      <w:szCs w:val="21"/>
                      <w:highlight w:val="none"/>
                      <w:vertAlign w:val="superscript"/>
                      <w:lang w:val="en-US" w:eastAsia="zh-CN" w:bidi="ar"/>
                    </w:rPr>
                    <w:t>3</w:t>
                  </w:r>
                </w:p>
              </w:tc>
              <w:tc>
                <w:tcPr>
                  <w:tcW w:w="1213" w:type="pct"/>
                  <w:noWrap w:val="0"/>
                  <w:vAlign w:val="center"/>
                </w:tcPr>
                <w:p w14:paraId="20D10635">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产生浓度（mg/L）</w:t>
                  </w:r>
                </w:p>
              </w:tc>
              <w:tc>
                <w:tcPr>
                  <w:tcW w:w="817" w:type="pct"/>
                  <w:noWrap w:val="0"/>
                  <w:vAlign w:val="top"/>
                </w:tcPr>
                <w:p w14:paraId="70E6A3BB">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285</w:t>
                  </w:r>
                </w:p>
              </w:tc>
              <w:tc>
                <w:tcPr>
                  <w:tcW w:w="714" w:type="pct"/>
                  <w:noWrap w:val="0"/>
                  <w:vAlign w:val="top"/>
                </w:tcPr>
                <w:p w14:paraId="572D69B1">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123</w:t>
                  </w:r>
                </w:p>
              </w:tc>
              <w:tc>
                <w:tcPr>
                  <w:tcW w:w="833" w:type="pct"/>
                  <w:noWrap w:val="0"/>
                  <w:vAlign w:val="top"/>
                </w:tcPr>
                <w:p w14:paraId="6AF7E11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150</w:t>
                  </w:r>
                </w:p>
              </w:tc>
              <w:tc>
                <w:tcPr>
                  <w:tcW w:w="833" w:type="pct"/>
                  <w:noWrap w:val="0"/>
                  <w:vAlign w:val="top"/>
                </w:tcPr>
                <w:p w14:paraId="4CF769A9">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28.3</w:t>
                  </w:r>
                </w:p>
              </w:tc>
            </w:tr>
            <w:tr w14:paraId="73A5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Merge w:val="continue"/>
                  <w:noWrap w:val="0"/>
                  <w:vAlign w:val="center"/>
                </w:tcPr>
                <w:p w14:paraId="7C82D9AB">
                  <w:pPr>
                    <w:spacing w:line="360" w:lineRule="auto"/>
                    <w:jc w:val="center"/>
                    <w:rPr>
                      <w:rFonts w:hint="eastAsia"/>
                      <w:color w:val="auto"/>
                      <w:kern w:val="0"/>
                      <w:sz w:val="24"/>
                      <w:highlight w:val="none"/>
                      <w:vertAlign w:val="baseline"/>
                      <w:lang w:eastAsia="zh-CN"/>
                    </w:rPr>
                  </w:pPr>
                </w:p>
              </w:tc>
              <w:tc>
                <w:tcPr>
                  <w:tcW w:w="1213" w:type="pct"/>
                  <w:noWrap w:val="0"/>
                  <w:vAlign w:val="center"/>
                </w:tcPr>
                <w:p w14:paraId="45960330">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产生量（t）</w:t>
                  </w:r>
                </w:p>
              </w:tc>
              <w:tc>
                <w:tcPr>
                  <w:tcW w:w="1304" w:type="dxa"/>
                  <w:noWrap w:val="0"/>
                  <w:vAlign w:val="top"/>
                </w:tcPr>
                <w:p w14:paraId="3F48E1C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0.09</w:t>
                  </w:r>
                </w:p>
              </w:tc>
              <w:tc>
                <w:tcPr>
                  <w:tcW w:w="1140" w:type="dxa"/>
                  <w:noWrap w:val="0"/>
                  <w:vAlign w:val="top"/>
                </w:tcPr>
                <w:p w14:paraId="043575B8">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0.04</w:t>
                  </w:r>
                </w:p>
              </w:tc>
              <w:tc>
                <w:tcPr>
                  <w:tcW w:w="1329" w:type="dxa"/>
                  <w:noWrap w:val="0"/>
                  <w:vAlign w:val="top"/>
                </w:tcPr>
                <w:p w14:paraId="35D2B07E">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0.05</w:t>
                  </w:r>
                </w:p>
              </w:tc>
              <w:tc>
                <w:tcPr>
                  <w:tcW w:w="1329" w:type="dxa"/>
                  <w:noWrap w:val="0"/>
                  <w:vAlign w:val="top"/>
                </w:tcPr>
                <w:p w14:paraId="1750E587">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0.01</w:t>
                  </w:r>
                </w:p>
              </w:tc>
            </w:tr>
          </w:tbl>
          <w:p w14:paraId="10DD87F5">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项目施工人员生活污水，船舶生活污水采用船舶配备的储污水箱进行收集和贮存，再由有接收能力的单位进行接收处理。</w:t>
            </w:r>
          </w:p>
          <w:p w14:paraId="17D20A78">
            <w:pPr>
              <w:numPr>
                <w:ilvl w:val="0"/>
                <w:numId w:val="16"/>
              </w:numPr>
              <w:spacing w:line="360" w:lineRule="auto"/>
              <w:ind w:firstLine="482" w:firstLineChars="200"/>
              <w:rPr>
                <w:rFonts w:hint="eastAsia"/>
                <w:b/>
                <w:bCs/>
                <w:color w:val="auto"/>
                <w:sz w:val="24"/>
                <w:highlight w:val="none"/>
                <w:shd w:val="clear" w:color="auto" w:fill="FFFFFF"/>
                <w:lang w:eastAsia="zh-CN"/>
              </w:rPr>
            </w:pPr>
            <w:r>
              <w:rPr>
                <w:rFonts w:hint="eastAsia"/>
                <w:b/>
                <w:bCs/>
                <w:color w:val="auto"/>
                <w:sz w:val="24"/>
                <w:highlight w:val="none"/>
                <w:shd w:val="clear" w:color="auto" w:fill="FFFFFF"/>
                <w:lang w:eastAsia="zh-CN"/>
              </w:rPr>
              <w:t>船舶含油污水</w:t>
            </w:r>
          </w:p>
          <w:p w14:paraId="46493602">
            <w:pPr>
              <w:spacing w:line="360" w:lineRule="auto"/>
              <w:ind w:firstLine="480" w:firstLineChars="200"/>
              <w:jc w:val="left"/>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含油污水主要来自施工船舶产生的机舱油污水，本工程拟采用1艘10m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抓斗挖泥船、1艘2500m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泥驳船、1艘3500m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耙吸船等船舶进行施工，根据《水运工程环境保护设计规范》（JTS-149-2018），表4.2.4船舶舱底含油污水水量，各类船舶含油污水产生情况为：10m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抓斗挖泥船参照500t级船舶，舱底含油污水产生量取0.14（t/d·艘）；2500m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泥驳船参照1000~3000t级船舶，舱底含油污水产生量取0.67（t/d·艘）；3500m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耙吸船参照3000~7000t级船舶，舱底含油污水产生量取（t/d·艘）。船舶舱底含油污水含油量无实测资料时，可取值2000mg/L~20000mg/L，本项目参照取值10000mg/L。</w:t>
            </w:r>
          </w:p>
          <w:p w14:paraId="3331E2C4">
            <w:pPr>
              <w:keepNext w:val="0"/>
              <w:keepLines w:val="0"/>
              <w:widowControl/>
              <w:suppressLineNumbers w:val="0"/>
              <w:jc w:val="center"/>
              <w:rPr>
                <w:color w:val="auto"/>
                <w:highlight w:val="none"/>
              </w:rPr>
            </w:pPr>
            <w:r>
              <w:rPr>
                <w:rFonts w:hint="eastAsia" w:ascii="宋体" w:hAnsi="宋体" w:eastAsia="宋体" w:cs="宋体"/>
                <w:b/>
                <w:bCs/>
                <w:color w:val="auto"/>
                <w:kern w:val="0"/>
                <w:sz w:val="20"/>
                <w:szCs w:val="20"/>
                <w:highlight w:val="none"/>
                <w:lang w:val="en-US" w:eastAsia="zh-CN" w:bidi="ar"/>
              </w:rPr>
              <w:t xml:space="preserve">表 </w:t>
            </w:r>
            <w:r>
              <w:rPr>
                <w:rFonts w:hint="eastAsia" w:ascii="Times New Roman" w:hAnsi="Times New Roman" w:eastAsia="宋体" w:cs="Times New Roman"/>
                <w:b/>
                <w:bCs/>
                <w:color w:val="auto"/>
                <w:kern w:val="0"/>
                <w:sz w:val="20"/>
                <w:szCs w:val="20"/>
                <w:highlight w:val="none"/>
                <w:lang w:val="en-US" w:eastAsia="zh-CN" w:bidi="ar"/>
              </w:rPr>
              <w:t>4.1-2</w:t>
            </w:r>
            <w:r>
              <w:rPr>
                <w:rFonts w:hint="default" w:ascii="Times New Roman" w:hAnsi="Times New Roman" w:eastAsia="宋体" w:cs="Times New Roman"/>
                <w:b/>
                <w:bCs/>
                <w:color w:val="auto"/>
                <w:kern w:val="0"/>
                <w:sz w:val="20"/>
                <w:szCs w:val="20"/>
                <w:highlight w:val="none"/>
                <w:lang w:val="en-US" w:eastAsia="zh-CN" w:bidi="ar"/>
              </w:rPr>
              <w:t xml:space="preserve"> </w:t>
            </w:r>
            <w:r>
              <w:rPr>
                <w:rFonts w:hint="eastAsia" w:ascii="宋体" w:hAnsi="宋体" w:eastAsia="宋体" w:cs="宋体"/>
                <w:b/>
                <w:bCs/>
                <w:color w:val="auto"/>
                <w:kern w:val="0"/>
                <w:sz w:val="20"/>
                <w:szCs w:val="20"/>
                <w:highlight w:val="none"/>
                <w:lang w:val="en-US" w:eastAsia="zh-CN" w:bidi="ar"/>
              </w:rPr>
              <w:t>施工船舶舱底油污水产生情况</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81"/>
              <w:gridCol w:w="1278"/>
              <w:gridCol w:w="889"/>
              <w:gridCol w:w="883"/>
              <w:gridCol w:w="1152"/>
              <w:gridCol w:w="1066"/>
              <w:gridCol w:w="1112"/>
            </w:tblGrid>
            <w:tr w14:paraId="1D78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11" w:type="pct"/>
                  <w:vMerge w:val="restart"/>
                  <w:noWrap w:val="0"/>
                  <w:vAlign w:val="center"/>
                </w:tcPr>
                <w:p w14:paraId="34E1E66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船舶类型</w:t>
                  </w:r>
                </w:p>
              </w:tc>
              <w:tc>
                <w:tcPr>
                  <w:tcW w:w="524" w:type="pct"/>
                  <w:vMerge w:val="restart"/>
                  <w:noWrap w:val="0"/>
                  <w:vAlign w:val="center"/>
                </w:tcPr>
                <w:p w14:paraId="541B0AFC">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施工船舶（艘）</w:t>
                  </w:r>
                </w:p>
              </w:tc>
              <w:tc>
                <w:tcPr>
                  <w:tcW w:w="733" w:type="pct"/>
                  <w:vMerge w:val="restart"/>
                  <w:noWrap w:val="0"/>
                  <w:vAlign w:val="center"/>
                </w:tcPr>
                <w:p w14:paraId="5F159A54">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舱底油污水产生量（t/d·艘）</w:t>
                  </w:r>
                </w:p>
              </w:tc>
              <w:tc>
                <w:tcPr>
                  <w:tcW w:w="1054" w:type="pct"/>
                  <w:gridSpan w:val="2"/>
                  <w:noWrap w:val="0"/>
                  <w:vAlign w:val="center"/>
                </w:tcPr>
                <w:p w14:paraId="3C7EE74F">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污水量</w:t>
                  </w:r>
                </w:p>
              </w:tc>
              <w:tc>
                <w:tcPr>
                  <w:tcW w:w="1977" w:type="pct"/>
                  <w:gridSpan w:val="3"/>
                  <w:noWrap w:val="0"/>
                  <w:vAlign w:val="center"/>
                </w:tcPr>
                <w:p w14:paraId="32A93D31">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石油类产生量</w:t>
                  </w:r>
                </w:p>
              </w:tc>
            </w:tr>
            <w:tr w14:paraId="4AB3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711" w:type="pct"/>
                  <w:vMerge w:val="continue"/>
                  <w:noWrap w:val="0"/>
                  <w:vAlign w:val="center"/>
                </w:tcPr>
                <w:p w14:paraId="28AA7881">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p>
              </w:tc>
              <w:tc>
                <w:tcPr>
                  <w:tcW w:w="524" w:type="pct"/>
                  <w:vMerge w:val="continue"/>
                  <w:noWrap w:val="0"/>
                  <w:vAlign w:val="center"/>
                </w:tcPr>
                <w:p w14:paraId="696EB260">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p>
              </w:tc>
              <w:tc>
                <w:tcPr>
                  <w:tcW w:w="733" w:type="pct"/>
                  <w:vMerge w:val="continue"/>
                  <w:noWrap w:val="0"/>
                  <w:vAlign w:val="center"/>
                </w:tcPr>
                <w:p w14:paraId="58B473AC">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p>
              </w:tc>
              <w:tc>
                <w:tcPr>
                  <w:tcW w:w="529" w:type="pct"/>
                  <w:noWrap w:val="0"/>
                  <w:vAlign w:val="center"/>
                </w:tcPr>
                <w:p w14:paraId="0CC98C82">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日产生量m</w:t>
                  </w:r>
                  <w:r>
                    <w:rPr>
                      <w:rFonts w:hint="eastAsia"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/d</w:t>
                  </w:r>
                </w:p>
              </w:tc>
              <w:tc>
                <w:tcPr>
                  <w:tcW w:w="524" w:type="pct"/>
                  <w:noWrap w:val="0"/>
                  <w:vAlign w:val="center"/>
                </w:tcPr>
                <w:p w14:paraId="15449F92">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总产生量m</w:t>
                  </w:r>
                  <w:r>
                    <w:rPr>
                      <w:rFonts w:hint="eastAsia"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/a</w:t>
                  </w:r>
                </w:p>
              </w:tc>
              <w:tc>
                <w:tcPr>
                  <w:tcW w:w="684" w:type="pct"/>
                  <w:noWrap w:val="0"/>
                  <w:vAlign w:val="center"/>
                </w:tcPr>
                <w:p w14:paraId="5A35AD09">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浓度（mg/L）</w:t>
                  </w:r>
                </w:p>
              </w:tc>
              <w:tc>
                <w:tcPr>
                  <w:tcW w:w="633" w:type="pct"/>
                  <w:noWrap w:val="0"/>
                  <w:vAlign w:val="center"/>
                </w:tcPr>
                <w:p w14:paraId="60C91A00">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产生量（kg/d）</w:t>
                  </w:r>
                </w:p>
              </w:tc>
              <w:tc>
                <w:tcPr>
                  <w:tcW w:w="660" w:type="pct"/>
                  <w:noWrap w:val="0"/>
                  <w:vAlign w:val="center"/>
                </w:tcPr>
                <w:p w14:paraId="7C08E2C1">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总产生量t/a</w:t>
                  </w:r>
                </w:p>
              </w:tc>
            </w:tr>
            <w:tr w14:paraId="0D77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noWrap w:val="0"/>
                  <w:vAlign w:val="center"/>
                </w:tcPr>
                <w:p w14:paraId="6AC6FB7F">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10m</w:t>
                  </w:r>
                  <w:r>
                    <w:rPr>
                      <w:rFonts w:hint="eastAsia"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抓斗挖泥船</w:t>
                  </w:r>
                </w:p>
              </w:tc>
              <w:tc>
                <w:tcPr>
                  <w:tcW w:w="524" w:type="pct"/>
                  <w:noWrap w:val="0"/>
                  <w:vAlign w:val="center"/>
                </w:tcPr>
                <w:p w14:paraId="10E29C9C">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p>
              </w:tc>
              <w:tc>
                <w:tcPr>
                  <w:tcW w:w="733" w:type="pct"/>
                  <w:noWrap w:val="0"/>
                  <w:vAlign w:val="center"/>
                </w:tcPr>
                <w:p w14:paraId="3984F9DE">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0.14</w:t>
                  </w:r>
                </w:p>
              </w:tc>
              <w:tc>
                <w:tcPr>
                  <w:tcW w:w="529" w:type="pct"/>
                  <w:noWrap w:val="0"/>
                  <w:vAlign w:val="center"/>
                </w:tcPr>
                <w:p w14:paraId="5D7C151C">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0.14</w:t>
                  </w:r>
                </w:p>
              </w:tc>
              <w:tc>
                <w:tcPr>
                  <w:tcW w:w="524" w:type="pct"/>
                  <w:noWrap w:val="0"/>
                  <w:vAlign w:val="center"/>
                </w:tcPr>
                <w:p w14:paraId="7C8DE44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12.6</w:t>
                  </w:r>
                </w:p>
              </w:tc>
              <w:tc>
                <w:tcPr>
                  <w:tcW w:w="684" w:type="pct"/>
                  <w:vMerge w:val="restart"/>
                  <w:noWrap w:val="0"/>
                  <w:vAlign w:val="center"/>
                </w:tcPr>
                <w:p w14:paraId="15042981">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10000</w:t>
                  </w:r>
                </w:p>
              </w:tc>
              <w:tc>
                <w:tcPr>
                  <w:tcW w:w="633" w:type="pct"/>
                  <w:noWrap w:val="0"/>
                  <w:vAlign w:val="center"/>
                </w:tcPr>
                <w:p w14:paraId="4229B75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660" w:type="pct"/>
                  <w:noWrap w:val="0"/>
                  <w:vAlign w:val="center"/>
                </w:tcPr>
                <w:p w14:paraId="39DD76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0.13</w:t>
                  </w:r>
                </w:p>
              </w:tc>
            </w:tr>
            <w:tr w14:paraId="0B5E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noWrap w:val="0"/>
                  <w:vAlign w:val="center"/>
                </w:tcPr>
                <w:p w14:paraId="5A0B8876">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2500m</w:t>
                  </w:r>
                  <w:r>
                    <w:rPr>
                      <w:rFonts w:hint="eastAsia"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泥驳船</w:t>
                  </w:r>
                </w:p>
              </w:tc>
              <w:tc>
                <w:tcPr>
                  <w:tcW w:w="524" w:type="pct"/>
                  <w:noWrap w:val="0"/>
                  <w:vAlign w:val="center"/>
                </w:tcPr>
                <w:p w14:paraId="51EBAE90">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p>
              </w:tc>
              <w:tc>
                <w:tcPr>
                  <w:tcW w:w="733" w:type="pct"/>
                  <w:noWrap w:val="0"/>
                  <w:vAlign w:val="center"/>
                </w:tcPr>
                <w:p w14:paraId="1C3D88D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0.67</w:t>
                  </w:r>
                </w:p>
              </w:tc>
              <w:tc>
                <w:tcPr>
                  <w:tcW w:w="529" w:type="pct"/>
                  <w:noWrap w:val="0"/>
                  <w:vAlign w:val="center"/>
                </w:tcPr>
                <w:p w14:paraId="6E28C292">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0.67</w:t>
                  </w:r>
                </w:p>
              </w:tc>
              <w:tc>
                <w:tcPr>
                  <w:tcW w:w="524" w:type="pct"/>
                  <w:noWrap w:val="0"/>
                  <w:vAlign w:val="center"/>
                </w:tcPr>
                <w:p w14:paraId="3B7CFCB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60.3</w:t>
                  </w:r>
                </w:p>
              </w:tc>
              <w:tc>
                <w:tcPr>
                  <w:tcW w:w="684" w:type="pct"/>
                  <w:vMerge w:val="continue"/>
                  <w:noWrap w:val="0"/>
                  <w:vAlign w:val="center"/>
                </w:tcPr>
                <w:p w14:paraId="007DDE53">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633" w:type="pct"/>
                  <w:noWrap w:val="0"/>
                  <w:vAlign w:val="center"/>
                </w:tcPr>
                <w:p w14:paraId="248FBDA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6.7</w:t>
                  </w:r>
                </w:p>
              </w:tc>
              <w:tc>
                <w:tcPr>
                  <w:tcW w:w="660" w:type="pct"/>
                  <w:noWrap w:val="0"/>
                  <w:vAlign w:val="center"/>
                </w:tcPr>
                <w:p w14:paraId="546DA1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0.61</w:t>
                  </w:r>
                </w:p>
              </w:tc>
            </w:tr>
            <w:tr w14:paraId="495A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noWrap w:val="0"/>
                  <w:vAlign w:val="center"/>
                </w:tcPr>
                <w:p w14:paraId="06A812D8">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3500m</w:t>
                  </w:r>
                  <w:r>
                    <w:rPr>
                      <w:rFonts w:hint="eastAsia"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耙吸船</w:t>
                  </w:r>
                </w:p>
              </w:tc>
              <w:tc>
                <w:tcPr>
                  <w:tcW w:w="524" w:type="pct"/>
                  <w:noWrap w:val="0"/>
                  <w:vAlign w:val="center"/>
                </w:tcPr>
                <w:p w14:paraId="4212E934">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p>
              </w:tc>
              <w:tc>
                <w:tcPr>
                  <w:tcW w:w="733" w:type="pct"/>
                  <w:noWrap w:val="0"/>
                  <w:vAlign w:val="center"/>
                </w:tcPr>
                <w:p w14:paraId="425B6E44">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0.95</w:t>
                  </w:r>
                </w:p>
              </w:tc>
              <w:tc>
                <w:tcPr>
                  <w:tcW w:w="529" w:type="pct"/>
                  <w:noWrap w:val="0"/>
                  <w:vAlign w:val="center"/>
                </w:tcPr>
                <w:p w14:paraId="5C00C623">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0.95</w:t>
                  </w:r>
                </w:p>
              </w:tc>
              <w:tc>
                <w:tcPr>
                  <w:tcW w:w="524" w:type="pct"/>
                  <w:noWrap w:val="0"/>
                  <w:vAlign w:val="center"/>
                </w:tcPr>
                <w:p w14:paraId="1238907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85.38</w:t>
                  </w:r>
                </w:p>
              </w:tc>
              <w:tc>
                <w:tcPr>
                  <w:tcW w:w="684" w:type="pct"/>
                  <w:vMerge w:val="continue"/>
                  <w:noWrap w:val="0"/>
                  <w:vAlign w:val="center"/>
                </w:tcPr>
                <w:p w14:paraId="71AF3837">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633" w:type="pct"/>
                  <w:noWrap w:val="0"/>
                  <w:vAlign w:val="center"/>
                </w:tcPr>
                <w:p w14:paraId="32618F3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660" w:type="pct"/>
                  <w:noWrap w:val="0"/>
                  <w:vAlign w:val="center"/>
                </w:tcPr>
                <w:p w14:paraId="32C06D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0.86</w:t>
                  </w:r>
                </w:p>
              </w:tc>
            </w:tr>
            <w:tr w14:paraId="0390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pct"/>
                  <w:gridSpan w:val="3"/>
                  <w:noWrap w:val="0"/>
                  <w:vAlign w:val="center"/>
                </w:tcPr>
                <w:p w14:paraId="28140A47">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合计</w:t>
                  </w:r>
                </w:p>
              </w:tc>
              <w:tc>
                <w:tcPr>
                  <w:tcW w:w="529" w:type="pct"/>
                  <w:noWrap w:val="0"/>
                  <w:vAlign w:val="center"/>
                </w:tcPr>
                <w:p w14:paraId="1E3ABF93">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1.76</w:t>
                  </w:r>
                </w:p>
              </w:tc>
              <w:tc>
                <w:tcPr>
                  <w:tcW w:w="524" w:type="pct"/>
                  <w:noWrap w:val="0"/>
                  <w:vAlign w:val="center"/>
                </w:tcPr>
                <w:p w14:paraId="5D0CB1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158.28</w:t>
                  </w:r>
                </w:p>
              </w:tc>
              <w:tc>
                <w:tcPr>
                  <w:tcW w:w="684" w:type="pct"/>
                  <w:noWrap w:val="0"/>
                  <w:vAlign w:val="center"/>
                </w:tcPr>
                <w:p w14:paraId="62758CD5">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33" w:type="pct"/>
                  <w:noWrap w:val="0"/>
                  <w:vAlign w:val="center"/>
                </w:tcPr>
                <w:p w14:paraId="70F533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17.6</w:t>
                  </w:r>
                </w:p>
              </w:tc>
              <w:tc>
                <w:tcPr>
                  <w:tcW w:w="660" w:type="pct"/>
                  <w:noWrap w:val="0"/>
                  <w:vAlign w:val="center"/>
                </w:tcPr>
                <w:p w14:paraId="287DBD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1.60</w:t>
                  </w:r>
                </w:p>
              </w:tc>
            </w:tr>
          </w:tbl>
          <w:p w14:paraId="42568067">
            <w:pPr>
              <w:pStyle w:val="19"/>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根据《船舶水污染物排放控制标准》</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GB 3552-2018</w:t>
            </w:r>
            <w:r>
              <w:rPr>
                <w:rFonts w:hint="eastAsia" w:ascii="Times New Roman" w:hAnsi="Times New Roman" w:eastAsia="宋体" w:cs="Times New Roman"/>
                <w:color w:val="auto"/>
                <w:kern w:val="0"/>
                <w:sz w:val="24"/>
                <w:szCs w:val="24"/>
                <w:highlight w:val="none"/>
                <w:lang w:val="en-US" w:eastAsia="zh-CN" w:bidi="ar-SA"/>
              </w:rPr>
              <w:t>）</w:t>
            </w:r>
            <w:r>
              <w:rPr>
                <w:rFonts w:hint="eastAsia" w:ascii="宋体" w:hAnsi="Courier New" w:eastAsia="宋体" w:cs="Times New Roman"/>
                <w:color w:val="auto"/>
                <w:sz w:val="24"/>
                <w:szCs w:val="24"/>
                <w:highlight w:val="none"/>
                <w:lang w:val="en-US" w:eastAsia="zh-CN"/>
              </w:rPr>
              <w:t>的规定，本工程船舶含油污水全部收集并排接收设施，上岸后由有接收能力的单位接收处置，接收及转运过程接受生态环境管理部门监督，禁止直接排入海水中。</w:t>
            </w:r>
          </w:p>
          <w:p w14:paraId="6871C130">
            <w:pPr>
              <w:numPr>
                <w:ilvl w:val="0"/>
                <w:numId w:val="16"/>
              </w:numPr>
              <w:spacing w:line="360" w:lineRule="auto"/>
              <w:ind w:firstLine="482" w:firstLineChars="200"/>
              <w:rPr>
                <w:rFonts w:hint="eastAsia"/>
                <w:b/>
                <w:bCs/>
                <w:color w:val="auto"/>
                <w:sz w:val="24"/>
                <w:highlight w:val="none"/>
                <w:shd w:val="clear" w:color="auto" w:fill="FFFFFF"/>
                <w:lang w:eastAsia="zh-CN"/>
              </w:rPr>
            </w:pPr>
            <w:r>
              <w:rPr>
                <w:rFonts w:hint="eastAsia"/>
                <w:b/>
                <w:bCs/>
                <w:color w:val="auto"/>
                <w:sz w:val="24"/>
                <w:highlight w:val="none"/>
                <w:shd w:val="clear" w:color="auto" w:fill="FFFFFF"/>
                <w:lang w:eastAsia="zh-CN"/>
              </w:rPr>
              <w:t>悬浮泥沙对水质环境影响预测</w:t>
            </w:r>
          </w:p>
          <w:p w14:paraId="4B8EDC0F">
            <w:pPr>
              <w:pStyle w:val="43"/>
              <w:numPr>
                <w:ilvl w:val="0"/>
                <w:numId w:val="17"/>
              </w:numPr>
              <w:tabs>
                <w:tab w:val="left" w:pos="216"/>
              </w:tabs>
              <w:ind w:left="0" w:leftChars="0" w:firstLine="482" w:firstLineChars="20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悬浮物扩散预测计算公式</w:t>
            </w:r>
          </w:p>
          <w:p w14:paraId="4FB137DB">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采用二维悬沙输运方程预测施工期产生的悬浮物对水质的影响，平面二维悬沙运动方程如下：</w:t>
            </w:r>
          </w:p>
          <w:p w14:paraId="1C613D92">
            <w:pPr>
              <w:pStyle w:val="9"/>
              <w:ind w:left="0" w:leftChars="0" w:firstLine="0" w:firstLineChars="0"/>
              <w:jc w:val="center"/>
              <w:rPr>
                <w:color w:val="auto"/>
                <w:highlight w:val="none"/>
              </w:rPr>
            </w:pPr>
            <w:r>
              <w:rPr>
                <w:color w:val="auto"/>
                <w:highlight w:val="none"/>
              </w:rPr>
              <w:drawing>
                <wp:inline distT="0" distB="0" distL="114300" distR="114300">
                  <wp:extent cx="3805555" cy="600710"/>
                  <wp:effectExtent l="0" t="0" r="4445" b="8890"/>
                  <wp:docPr id="3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3"/>
                          <pic:cNvPicPr>
                            <a:picLocks noChangeAspect="1"/>
                          </pic:cNvPicPr>
                        </pic:nvPicPr>
                        <pic:blipFill>
                          <a:blip r:embed="rId31"/>
                          <a:stretch>
                            <a:fillRect/>
                          </a:stretch>
                        </pic:blipFill>
                        <pic:spPr>
                          <a:xfrm>
                            <a:off x="0" y="0"/>
                            <a:ext cx="3805555" cy="600710"/>
                          </a:xfrm>
                          <a:prstGeom prst="rect">
                            <a:avLst/>
                          </a:prstGeom>
                          <a:noFill/>
                          <a:ln>
                            <a:noFill/>
                          </a:ln>
                        </pic:spPr>
                      </pic:pic>
                    </a:graphicData>
                  </a:graphic>
                </wp:inline>
              </w:drawing>
            </w:r>
          </w:p>
          <w:p w14:paraId="040049CE">
            <w:pPr>
              <w:spacing w:line="360" w:lineRule="auto"/>
              <w:ind w:firstLine="420" w:firstLineChars="200"/>
              <w:rPr>
                <w:rFonts w:hint="eastAsia"/>
                <w:color w:val="auto"/>
                <w:highlight w:val="none"/>
                <w:lang w:val="en-US" w:eastAsia="zh-CN"/>
              </w:rPr>
            </w:pPr>
            <w:r>
              <w:rPr>
                <w:rFonts w:hint="eastAsia"/>
                <w:color w:val="auto"/>
                <w:highlight w:val="none"/>
                <w:lang w:val="en-US" w:eastAsia="zh-CN"/>
              </w:rPr>
              <w:t>式中C 为垂向平均含沙量，ε 为垂向平均的扩散系数， FC为：</w:t>
            </w:r>
          </w:p>
          <w:p w14:paraId="181549D5">
            <w:pPr>
              <w:pStyle w:val="9"/>
              <w:jc w:val="center"/>
              <w:rPr>
                <w:color w:val="auto"/>
                <w:highlight w:val="none"/>
              </w:rPr>
            </w:pPr>
            <w:r>
              <w:rPr>
                <w:color w:val="auto"/>
                <w:highlight w:val="none"/>
              </w:rPr>
              <w:drawing>
                <wp:inline distT="0" distB="0" distL="114300" distR="114300">
                  <wp:extent cx="2933700" cy="676275"/>
                  <wp:effectExtent l="0" t="0" r="0" b="9525"/>
                  <wp:docPr id="3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4"/>
                          <pic:cNvPicPr>
                            <a:picLocks noChangeAspect="1"/>
                          </pic:cNvPicPr>
                        </pic:nvPicPr>
                        <pic:blipFill>
                          <a:blip r:embed="rId32"/>
                          <a:stretch>
                            <a:fillRect/>
                          </a:stretch>
                        </pic:blipFill>
                        <pic:spPr>
                          <a:xfrm>
                            <a:off x="0" y="0"/>
                            <a:ext cx="2933700" cy="676275"/>
                          </a:xfrm>
                          <a:prstGeom prst="rect">
                            <a:avLst/>
                          </a:prstGeom>
                          <a:noFill/>
                          <a:ln>
                            <a:noFill/>
                          </a:ln>
                        </pic:spPr>
                      </pic:pic>
                    </a:graphicData>
                  </a:graphic>
                </wp:inline>
              </w:drawing>
            </w:r>
          </w:p>
          <w:p w14:paraId="24EA5618">
            <w:pPr>
              <w:spacing w:line="360" w:lineRule="auto"/>
              <w:ind w:firstLine="42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highlight w:val="none"/>
                <w:lang w:val="en-US" w:eastAsia="zh-CN"/>
              </w:rPr>
              <w:t>Sc</w:t>
            </w:r>
            <w:r>
              <w:rPr>
                <w:rFonts w:hint="eastAsia" w:ascii="Times New Roman" w:hAnsi="Times New Roman" w:eastAsia="宋体" w:cs="Times New Roman"/>
                <w:color w:val="auto"/>
                <w:highlight w:val="none"/>
                <w:lang w:val="en-US" w:eastAsia="zh-CN"/>
              </w:rPr>
              <w:t>为输入源强，</w:t>
            </w:r>
            <w:r>
              <w:rPr>
                <w:rFonts w:hint="default" w:ascii="Times New Roman" w:hAnsi="Times New Roman" w:eastAsia="宋体" w:cs="Times New Roman"/>
                <w:color w:val="auto"/>
                <w:highlight w:val="none"/>
                <w:lang w:val="en-US" w:eastAsia="zh-CN"/>
              </w:rPr>
              <w:t xml:space="preserve">a </w:t>
            </w:r>
            <w:r>
              <w:rPr>
                <w:rFonts w:hint="eastAsia" w:ascii="Times New Roman" w:hAnsi="Times New Roman" w:eastAsia="宋体" w:cs="Times New Roman"/>
                <w:color w:val="auto"/>
                <w:highlight w:val="none"/>
                <w:lang w:val="en-US" w:eastAsia="zh-CN"/>
              </w:rPr>
              <w:t>为沉积系数，</w:t>
            </w:r>
            <w:r>
              <w:rPr>
                <w:rFonts w:hint="default" w:ascii="Times New Roman" w:hAnsi="Times New Roman" w:eastAsia="宋体" w:cs="Times New Roman"/>
                <w:color w:val="auto"/>
                <w:highlight w:val="none"/>
                <w:lang w:val="en-US" w:eastAsia="zh-CN"/>
              </w:rPr>
              <w:t xml:space="preserve">M </w:t>
            </w:r>
            <w:r>
              <w:rPr>
                <w:rFonts w:hint="eastAsia" w:ascii="Times New Roman" w:hAnsi="Times New Roman" w:eastAsia="宋体" w:cs="Times New Roman"/>
                <w:color w:val="auto"/>
                <w:highlight w:val="none"/>
                <w:lang w:val="en-US" w:eastAsia="zh-CN"/>
              </w:rPr>
              <w:t xml:space="preserve">为冲刷系数，τ </w:t>
            </w:r>
            <w:r>
              <w:rPr>
                <w:rFonts w:hint="default" w:ascii="Times New Roman" w:hAnsi="Times New Roman" w:eastAsia="宋体" w:cs="Times New Roman"/>
                <w:color w:val="auto"/>
                <w:highlight w:val="none"/>
                <w:lang w:val="en-US" w:eastAsia="zh-CN"/>
              </w:rPr>
              <w:t xml:space="preserve">b </w:t>
            </w:r>
            <w:r>
              <w:rPr>
                <w:rFonts w:hint="eastAsia" w:ascii="Times New Roman" w:hAnsi="Times New Roman" w:eastAsia="宋体" w:cs="Times New Roman"/>
                <w:color w:val="auto"/>
                <w:highlight w:val="none"/>
                <w:lang w:val="en-US" w:eastAsia="zh-CN"/>
              </w:rPr>
              <w:t>为底部切应力，</w:t>
            </w:r>
            <w:r>
              <w:rPr>
                <w:rFonts w:hint="default" w:ascii="Times New Roman" w:hAnsi="Times New Roman" w:eastAsia="宋体" w:cs="Times New Roman"/>
                <w:color w:val="auto"/>
                <w:highlight w:val="none"/>
                <w:lang w:val="en-US" w:eastAsia="zh-CN"/>
              </w:rPr>
              <w:t xml:space="preserve">e τ </w:t>
            </w:r>
            <w:r>
              <w:rPr>
                <w:rFonts w:hint="eastAsia" w:ascii="Times New Roman" w:hAnsi="Times New Roman" w:eastAsia="宋体" w:cs="Times New Roman"/>
                <w:color w:val="auto"/>
                <w:highlight w:val="none"/>
                <w:lang w:val="en-US" w:eastAsia="zh-CN"/>
              </w:rPr>
              <w:t>为临界冲刷切应力，</w:t>
            </w:r>
            <w:r>
              <w:rPr>
                <w:rFonts w:hint="default" w:ascii="Times New Roman" w:hAnsi="Times New Roman" w:eastAsia="宋体" w:cs="Times New Roman"/>
                <w:color w:val="auto"/>
                <w:highlight w:val="none"/>
                <w:lang w:val="en-US" w:eastAsia="zh-CN"/>
              </w:rPr>
              <w:t xml:space="preserve">τ d </w:t>
            </w:r>
            <w:r>
              <w:rPr>
                <w:rFonts w:hint="eastAsia" w:ascii="Times New Roman" w:hAnsi="Times New Roman" w:eastAsia="宋体" w:cs="Times New Roman"/>
                <w:color w:val="auto"/>
                <w:highlight w:val="none"/>
                <w:lang w:val="en-US" w:eastAsia="zh-CN"/>
              </w:rPr>
              <w:t>为临界淤积切应力。</w:t>
            </w:r>
          </w:p>
          <w:p w14:paraId="12407ABC">
            <w:pPr>
              <w:pStyle w:val="43"/>
              <w:numPr>
                <w:ilvl w:val="0"/>
                <w:numId w:val="17"/>
              </w:numPr>
              <w:tabs>
                <w:tab w:val="left" w:pos="216"/>
              </w:tabs>
              <w:ind w:left="0" w:leftChars="0" w:firstLine="482" w:firstLineChars="20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模型范围</w:t>
            </w:r>
          </w:p>
          <w:p w14:paraId="30AB14E2">
            <w:pPr>
              <w:spacing w:line="360" w:lineRule="auto"/>
              <w:ind w:firstLine="480" w:firstLineChars="200"/>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 xml:space="preserve">钦州湾潮流数学模型的计算区域、工程区位置以及验证点布置如图 4-2 所示。钦州湾海域岛屿众多，岸线曲折。采用非结构三角形网格可以较好地贴合 自然岸线，提高计算精度和计算效率，并便于各种工程情况的准确布置。在工程区附近进行网格加密。计算空间步长 30-1200m，网 格单元 </w:t>
            </w:r>
            <w:r>
              <w:rPr>
                <w:rFonts w:hint="default" w:ascii="Times New Roman" w:hAnsi="Times New Roman" w:eastAsia="宋体" w:cs="Times New Roman"/>
                <w:color w:val="auto"/>
                <w:sz w:val="24"/>
                <w:highlight w:val="none"/>
                <w:u w:val="single"/>
                <w:lang w:val="en-US" w:eastAsia="zh-CN"/>
              </w:rPr>
              <w:t xml:space="preserve">9868 </w:t>
            </w:r>
            <w:r>
              <w:rPr>
                <w:rFonts w:hint="eastAsia" w:ascii="Times New Roman" w:hAnsi="Times New Roman" w:eastAsia="宋体" w:cs="Times New Roman"/>
                <w:color w:val="auto"/>
                <w:sz w:val="24"/>
                <w:highlight w:val="none"/>
                <w:u w:val="single"/>
                <w:lang w:val="en-US" w:eastAsia="zh-CN"/>
              </w:rPr>
              <w:t xml:space="preserve">个，网格节点 </w:t>
            </w:r>
            <w:r>
              <w:rPr>
                <w:rFonts w:hint="default" w:ascii="Times New Roman" w:hAnsi="Times New Roman" w:eastAsia="宋体" w:cs="Times New Roman"/>
                <w:color w:val="auto"/>
                <w:sz w:val="24"/>
                <w:highlight w:val="none"/>
                <w:u w:val="single"/>
                <w:lang w:val="en-US" w:eastAsia="zh-CN"/>
              </w:rPr>
              <w:t xml:space="preserve">21009 </w:t>
            </w:r>
            <w:r>
              <w:rPr>
                <w:rFonts w:hint="eastAsia" w:ascii="Times New Roman" w:hAnsi="Times New Roman" w:eastAsia="宋体" w:cs="Times New Roman"/>
                <w:color w:val="auto"/>
                <w:sz w:val="24"/>
                <w:highlight w:val="none"/>
                <w:u w:val="single"/>
                <w:lang w:val="en-US" w:eastAsia="zh-CN"/>
              </w:rPr>
              <w:t xml:space="preserve">个。计算中，模型计算时间步长取 </w:t>
            </w:r>
            <w:r>
              <w:rPr>
                <w:rFonts w:hint="default" w:ascii="Times New Roman" w:hAnsi="Times New Roman" w:eastAsia="宋体" w:cs="Times New Roman"/>
                <w:color w:val="auto"/>
                <w:sz w:val="24"/>
                <w:highlight w:val="none"/>
                <w:u w:val="single"/>
                <w:lang w:val="en-US" w:eastAsia="zh-CN"/>
              </w:rPr>
              <w:t>10s</w:t>
            </w:r>
            <w:r>
              <w:rPr>
                <w:rFonts w:hint="eastAsia" w:ascii="Times New Roman" w:hAnsi="Times New Roman" w:eastAsia="宋体" w:cs="Times New Roman"/>
                <w:color w:val="auto"/>
                <w:sz w:val="24"/>
                <w:highlight w:val="none"/>
                <w:u w:val="single"/>
                <w:lang w:val="en-US" w:eastAsia="zh-CN"/>
              </w:rPr>
              <w:t xml:space="preserve">，糙率空间 分布取 </w:t>
            </w:r>
            <w:r>
              <w:rPr>
                <w:rFonts w:hint="default" w:ascii="Times New Roman" w:hAnsi="Times New Roman" w:eastAsia="宋体" w:cs="Times New Roman"/>
                <w:color w:val="auto"/>
                <w:sz w:val="24"/>
                <w:highlight w:val="none"/>
                <w:u w:val="single"/>
                <w:lang w:val="en-US" w:eastAsia="zh-CN"/>
              </w:rPr>
              <w:t>0.02-0.045</w:t>
            </w:r>
            <w:r>
              <w:rPr>
                <w:rFonts w:hint="eastAsia" w:ascii="Times New Roman" w:hAnsi="Times New Roman" w:eastAsia="宋体" w:cs="Times New Roman"/>
                <w:color w:val="auto"/>
                <w:sz w:val="24"/>
                <w:highlight w:val="none"/>
                <w:u w:val="single"/>
                <w:lang w:val="en-US" w:eastAsia="zh-CN"/>
              </w:rPr>
              <w:t xml:space="preserve">，在浅滩等水深较浅处取较大值，并向水深较深处逐渐过渡至较小 值，水流紊动扩散系数取 </w:t>
            </w:r>
            <w:r>
              <w:rPr>
                <w:rFonts w:hint="default" w:ascii="Times New Roman" w:hAnsi="Times New Roman" w:eastAsia="宋体" w:cs="Times New Roman"/>
                <w:color w:val="auto"/>
                <w:sz w:val="24"/>
                <w:highlight w:val="none"/>
                <w:u w:val="single"/>
                <w:lang w:val="en-US" w:eastAsia="zh-CN"/>
              </w:rPr>
              <w:t>3000-5000</w:t>
            </w:r>
            <w:r>
              <w:rPr>
                <w:rFonts w:hint="eastAsia" w:ascii="Times New Roman" w:hAnsi="Times New Roman" w:eastAsia="宋体" w:cs="Times New Roman"/>
                <w:color w:val="auto"/>
                <w:sz w:val="24"/>
                <w:highlight w:val="none"/>
                <w:u w:val="single"/>
                <w:lang w:val="en-US" w:eastAsia="zh-CN"/>
              </w:rPr>
              <w:t xml:space="preserve">，采用干湿判断法处理动边界。地形数据采用 2007 年版北海港至防城港海图以及广西 </w:t>
            </w:r>
            <w:r>
              <w:rPr>
                <w:rFonts w:hint="default" w:ascii="Times New Roman" w:hAnsi="Times New Roman" w:eastAsia="宋体" w:cs="Times New Roman"/>
                <w:color w:val="auto"/>
                <w:sz w:val="24"/>
                <w:highlight w:val="none"/>
                <w:u w:val="single"/>
                <w:lang w:val="en-US" w:eastAsia="zh-CN"/>
              </w:rPr>
              <w:t xml:space="preserve">908 </w:t>
            </w:r>
            <w:r>
              <w:rPr>
                <w:rFonts w:hint="eastAsia" w:ascii="Times New Roman" w:hAnsi="Times New Roman" w:eastAsia="宋体" w:cs="Times New Roman"/>
                <w:color w:val="auto"/>
                <w:sz w:val="24"/>
                <w:highlight w:val="none"/>
                <w:u w:val="single"/>
                <w:lang w:val="en-US" w:eastAsia="zh-CN"/>
              </w:rPr>
              <w:t xml:space="preserve">专项局部调查数据， 外海潮位开边界由北部湾大范围数学模型提供，水深及潮位均统一至钦州湾当地的平 均海平面，坐标系统采用北京 </w:t>
            </w:r>
            <w:r>
              <w:rPr>
                <w:rFonts w:hint="default" w:ascii="Times New Roman" w:hAnsi="Times New Roman" w:eastAsia="宋体" w:cs="Times New Roman"/>
                <w:color w:val="auto"/>
                <w:sz w:val="24"/>
                <w:highlight w:val="none"/>
                <w:u w:val="single"/>
                <w:lang w:val="en-US" w:eastAsia="zh-CN"/>
              </w:rPr>
              <w:t xml:space="preserve">54 </w:t>
            </w:r>
            <w:r>
              <w:rPr>
                <w:rFonts w:hint="eastAsia" w:ascii="Times New Roman" w:hAnsi="Times New Roman" w:eastAsia="宋体" w:cs="Times New Roman"/>
                <w:color w:val="auto"/>
                <w:sz w:val="24"/>
                <w:highlight w:val="none"/>
                <w:u w:val="single"/>
                <w:lang w:val="en-US" w:eastAsia="zh-CN"/>
              </w:rPr>
              <w:t xml:space="preserve">坐标系。潮位验证资料时间为 </w:t>
            </w:r>
            <w:r>
              <w:rPr>
                <w:rFonts w:hint="default" w:ascii="Times New Roman" w:hAnsi="Times New Roman" w:eastAsia="宋体" w:cs="Times New Roman"/>
                <w:color w:val="auto"/>
                <w:sz w:val="24"/>
                <w:highlight w:val="none"/>
                <w:u w:val="single"/>
                <w:lang w:val="en-US" w:eastAsia="zh-CN"/>
              </w:rPr>
              <w:t xml:space="preserve">2009 </w:t>
            </w:r>
            <w:r>
              <w:rPr>
                <w:rFonts w:hint="eastAsia" w:ascii="Times New Roman" w:hAnsi="Times New Roman" w:eastAsia="宋体" w:cs="Times New Roman"/>
                <w:color w:val="auto"/>
                <w:sz w:val="24"/>
                <w:highlight w:val="none"/>
                <w:u w:val="single"/>
                <w:lang w:val="en-US" w:eastAsia="zh-CN"/>
              </w:rPr>
              <w:t xml:space="preserve">年 </w:t>
            </w:r>
            <w:r>
              <w:rPr>
                <w:rFonts w:hint="default" w:ascii="Times New Roman" w:hAnsi="Times New Roman" w:eastAsia="宋体" w:cs="Times New Roman"/>
                <w:color w:val="auto"/>
                <w:sz w:val="24"/>
                <w:highlight w:val="none"/>
                <w:u w:val="single"/>
                <w:lang w:val="en-US" w:eastAsia="zh-CN"/>
              </w:rPr>
              <w:t xml:space="preserve">11 </w:t>
            </w:r>
            <w:r>
              <w:rPr>
                <w:rFonts w:hint="eastAsia" w:ascii="Times New Roman" w:hAnsi="Times New Roman" w:eastAsia="宋体" w:cs="Times New Roman"/>
                <w:color w:val="auto"/>
                <w:sz w:val="24"/>
                <w:highlight w:val="none"/>
                <w:u w:val="single"/>
                <w:lang w:val="en-US" w:eastAsia="zh-CN"/>
              </w:rPr>
              <w:t xml:space="preserve">月，潮流 实测资料为 </w:t>
            </w:r>
            <w:r>
              <w:rPr>
                <w:rFonts w:hint="default" w:ascii="Times New Roman" w:hAnsi="Times New Roman" w:eastAsia="宋体" w:cs="Times New Roman"/>
                <w:color w:val="auto"/>
                <w:sz w:val="24"/>
                <w:highlight w:val="none"/>
                <w:u w:val="single"/>
                <w:lang w:val="en-US" w:eastAsia="zh-CN"/>
              </w:rPr>
              <w:t xml:space="preserve">2009 </w:t>
            </w:r>
            <w:r>
              <w:rPr>
                <w:rFonts w:hint="eastAsia" w:ascii="Times New Roman" w:hAnsi="Times New Roman" w:eastAsia="宋体" w:cs="Times New Roman"/>
                <w:color w:val="auto"/>
                <w:sz w:val="24"/>
                <w:highlight w:val="none"/>
                <w:u w:val="single"/>
                <w:lang w:val="en-US" w:eastAsia="zh-CN"/>
              </w:rPr>
              <w:t xml:space="preserve">年 </w:t>
            </w:r>
            <w:r>
              <w:rPr>
                <w:rFonts w:hint="default" w:ascii="Times New Roman" w:hAnsi="Times New Roman" w:eastAsia="宋体" w:cs="Times New Roman"/>
                <w:color w:val="auto"/>
                <w:sz w:val="24"/>
                <w:highlight w:val="none"/>
                <w:u w:val="single"/>
                <w:lang w:val="en-US" w:eastAsia="zh-CN"/>
              </w:rPr>
              <w:t xml:space="preserve">11 </w:t>
            </w:r>
            <w:r>
              <w:rPr>
                <w:rFonts w:hint="eastAsia" w:ascii="Times New Roman" w:hAnsi="Times New Roman" w:eastAsia="宋体" w:cs="Times New Roman"/>
                <w:color w:val="auto"/>
                <w:sz w:val="24"/>
                <w:highlight w:val="none"/>
                <w:u w:val="single"/>
                <w:lang w:val="en-US" w:eastAsia="zh-CN"/>
              </w:rPr>
              <w:t xml:space="preserve">月 </w:t>
            </w:r>
            <w:r>
              <w:rPr>
                <w:rFonts w:hint="default" w:ascii="Times New Roman" w:hAnsi="Times New Roman" w:eastAsia="宋体" w:cs="Times New Roman"/>
                <w:color w:val="auto"/>
                <w:sz w:val="24"/>
                <w:highlight w:val="none"/>
                <w:u w:val="single"/>
                <w:lang w:val="en-US" w:eastAsia="zh-CN"/>
              </w:rPr>
              <w:t xml:space="preserve">10 </w:t>
            </w:r>
            <w:r>
              <w:rPr>
                <w:rFonts w:hint="eastAsia" w:ascii="Times New Roman" w:hAnsi="Times New Roman" w:eastAsia="宋体" w:cs="Times New Roman"/>
                <w:color w:val="auto"/>
                <w:sz w:val="24"/>
                <w:highlight w:val="none"/>
                <w:u w:val="single"/>
                <w:lang w:val="en-US" w:eastAsia="zh-CN"/>
              </w:rPr>
              <w:t>日</w:t>
            </w:r>
            <w:r>
              <w:rPr>
                <w:rFonts w:hint="default" w:ascii="Times New Roman" w:hAnsi="Times New Roman" w:eastAsia="宋体" w:cs="Times New Roman"/>
                <w:color w:val="auto"/>
                <w:sz w:val="24"/>
                <w:highlight w:val="none"/>
                <w:u w:val="single"/>
                <w:lang w:val="en-US" w:eastAsia="zh-CN"/>
              </w:rPr>
              <w:t xml:space="preserve">~11 </w:t>
            </w:r>
            <w:r>
              <w:rPr>
                <w:rFonts w:hint="eastAsia" w:ascii="Times New Roman" w:hAnsi="Times New Roman" w:eastAsia="宋体" w:cs="Times New Roman"/>
                <w:color w:val="auto"/>
                <w:sz w:val="24"/>
                <w:highlight w:val="none"/>
                <w:u w:val="single"/>
                <w:lang w:val="en-US" w:eastAsia="zh-CN"/>
              </w:rPr>
              <w:t xml:space="preserve">日 </w:t>
            </w:r>
            <w:r>
              <w:rPr>
                <w:rFonts w:hint="default" w:ascii="Times New Roman" w:hAnsi="Times New Roman" w:eastAsia="宋体" w:cs="Times New Roman"/>
                <w:color w:val="auto"/>
                <w:sz w:val="24"/>
                <w:highlight w:val="none"/>
                <w:u w:val="single"/>
                <w:lang w:val="en-US" w:eastAsia="zh-CN"/>
              </w:rPr>
              <w:t xml:space="preserve">4 </w:t>
            </w:r>
            <w:r>
              <w:rPr>
                <w:rFonts w:hint="eastAsia" w:ascii="Times New Roman" w:hAnsi="Times New Roman" w:eastAsia="宋体" w:cs="Times New Roman"/>
                <w:color w:val="auto"/>
                <w:sz w:val="24"/>
                <w:highlight w:val="none"/>
                <w:u w:val="single"/>
                <w:lang w:val="en-US" w:eastAsia="zh-CN"/>
              </w:rPr>
              <w:t>个测站同步施测所得。</w:t>
            </w:r>
          </w:p>
          <w:p w14:paraId="2F2EF43A">
            <w:pPr>
              <w:spacing w:line="360" w:lineRule="auto"/>
              <w:rPr>
                <w:rFonts w:hint="eastAsia" w:ascii="宋体" w:hAnsi="宋体" w:eastAsia="宋体" w:cs="宋体"/>
                <w:b w:val="0"/>
                <w:bCs w:val="0"/>
                <w:color w:val="auto"/>
                <w:sz w:val="24"/>
                <w:szCs w:val="24"/>
                <w:lang w:val="en-US" w:eastAsia="zh-CN"/>
              </w:rPr>
            </w:pPr>
            <w:r>
              <w:rPr>
                <w:color w:val="auto"/>
              </w:rPr>
              <w:drawing>
                <wp:inline distT="0" distB="0" distL="114300" distR="114300">
                  <wp:extent cx="5152390" cy="6960235"/>
                  <wp:effectExtent l="0" t="0" r="10160" b="12065"/>
                  <wp:docPr id="35"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8"/>
                          <pic:cNvPicPr>
                            <a:picLocks noChangeAspect="1"/>
                          </pic:cNvPicPr>
                        </pic:nvPicPr>
                        <pic:blipFill>
                          <a:blip r:embed="rId33"/>
                          <a:stretch>
                            <a:fillRect/>
                          </a:stretch>
                        </pic:blipFill>
                        <pic:spPr>
                          <a:xfrm>
                            <a:off x="0" y="0"/>
                            <a:ext cx="5152390" cy="6960235"/>
                          </a:xfrm>
                          <a:prstGeom prst="rect">
                            <a:avLst/>
                          </a:prstGeom>
                          <a:noFill/>
                          <a:ln>
                            <a:noFill/>
                          </a:ln>
                        </pic:spPr>
                      </pic:pic>
                    </a:graphicData>
                  </a:graphic>
                </wp:inline>
              </w:drawing>
            </w:r>
          </w:p>
          <w:p w14:paraId="083E0711">
            <w:pPr>
              <w:pStyle w:val="43"/>
              <w:numPr>
                <w:ilvl w:val="0"/>
                <w:numId w:val="0"/>
              </w:numPr>
              <w:tabs>
                <w:tab w:val="left" w:pos="216"/>
              </w:tabs>
              <w:ind w:leftChars="200" w:right="0" w:rightChars="0"/>
              <w:jc w:val="center"/>
              <w:rPr>
                <w:rFonts w:hint="default"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图4-1计算区域网格分布图</w:t>
            </w:r>
          </w:p>
          <w:p w14:paraId="007933EF">
            <w:pPr>
              <w:pStyle w:val="43"/>
              <w:numPr>
                <w:ilvl w:val="0"/>
                <w:numId w:val="17"/>
              </w:numPr>
              <w:tabs>
                <w:tab w:val="left" w:pos="216"/>
              </w:tabs>
              <w:ind w:left="0" w:leftChars="0" w:firstLine="482" w:firstLineChars="200"/>
              <w:rPr>
                <w:rFonts w:hint="eastAsia"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潮流场计算</w:t>
            </w:r>
          </w:p>
          <w:p w14:paraId="7A65D729">
            <w:pPr>
              <w:spacing w:line="360" w:lineRule="auto"/>
              <w:ind w:firstLine="480" w:firstLineChars="200"/>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①水位验证</w:t>
            </w:r>
          </w:p>
          <w:p w14:paraId="099D1530">
            <w:pPr>
              <w:spacing w:line="360" w:lineRule="auto"/>
              <w:ind w:firstLine="480" w:firstLineChars="200"/>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 xml:space="preserve">图 4-2、图 </w:t>
            </w:r>
            <w:r>
              <w:rPr>
                <w:rFonts w:hint="default" w:ascii="Times New Roman" w:hAnsi="Times New Roman" w:eastAsia="宋体" w:cs="Times New Roman"/>
                <w:color w:val="auto"/>
                <w:sz w:val="24"/>
                <w:highlight w:val="none"/>
                <w:u w:val="single"/>
                <w:lang w:val="en-US" w:eastAsia="zh-CN"/>
              </w:rPr>
              <w:t>4-</w:t>
            </w:r>
            <w:r>
              <w:rPr>
                <w:rFonts w:hint="eastAsia" w:ascii="Times New Roman" w:hAnsi="Times New Roman" w:eastAsia="宋体" w:cs="Times New Roman"/>
                <w:color w:val="auto"/>
                <w:sz w:val="24"/>
                <w:highlight w:val="none"/>
                <w:u w:val="single"/>
                <w:lang w:val="en-US" w:eastAsia="zh-CN"/>
              </w:rPr>
              <w:t>3</w:t>
            </w:r>
            <w:r>
              <w:rPr>
                <w:rFonts w:hint="default" w:ascii="Times New Roman" w:hAnsi="Times New Roman" w:eastAsia="宋体" w:cs="Times New Roman"/>
                <w:color w:val="auto"/>
                <w:sz w:val="24"/>
                <w:highlight w:val="none"/>
                <w:u w:val="single"/>
                <w:lang w:val="en-US" w:eastAsia="zh-CN"/>
              </w:rPr>
              <w:t xml:space="preserve"> </w:t>
            </w:r>
            <w:r>
              <w:rPr>
                <w:rFonts w:hint="eastAsia" w:ascii="Times New Roman" w:hAnsi="Times New Roman" w:eastAsia="宋体" w:cs="Times New Roman"/>
                <w:color w:val="auto"/>
                <w:sz w:val="24"/>
                <w:highlight w:val="none"/>
                <w:u w:val="single"/>
                <w:lang w:val="en-US" w:eastAsia="zh-CN"/>
              </w:rPr>
              <w:t xml:space="preserve">给出了 </w:t>
            </w:r>
            <w:r>
              <w:rPr>
                <w:rFonts w:hint="default" w:ascii="Times New Roman" w:hAnsi="Times New Roman" w:eastAsia="宋体" w:cs="Times New Roman"/>
                <w:color w:val="auto"/>
                <w:sz w:val="24"/>
                <w:highlight w:val="none"/>
                <w:u w:val="single"/>
                <w:lang w:val="en-US" w:eastAsia="zh-CN"/>
              </w:rPr>
              <w:t xml:space="preserve">2 </w:t>
            </w:r>
            <w:r>
              <w:rPr>
                <w:rFonts w:hint="eastAsia" w:ascii="Times New Roman" w:hAnsi="Times New Roman" w:eastAsia="宋体" w:cs="Times New Roman"/>
                <w:color w:val="auto"/>
                <w:sz w:val="24"/>
                <w:highlight w:val="none"/>
                <w:u w:val="single"/>
                <w:lang w:val="en-US" w:eastAsia="zh-CN"/>
              </w:rPr>
              <w:t xml:space="preserve">个潮位站（龙门、企沙）实测水位过程与计算值的比较。 模型起算时间为 </w:t>
            </w:r>
            <w:r>
              <w:rPr>
                <w:rFonts w:hint="default" w:ascii="Times New Roman" w:hAnsi="Times New Roman" w:eastAsia="宋体" w:cs="Times New Roman"/>
                <w:color w:val="auto"/>
                <w:sz w:val="24"/>
                <w:highlight w:val="none"/>
                <w:u w:val="single"/>
                <w:lang w:val="en-US" w:eastAsia="zh-CN"/>
              </w:rPr>
              <w:t xml:space="preserve">2009 </w:t>
            </w:r>
            <w:r>
              <w:rPr>
                <w:rFonts w:hint="eastAsia" w:ascii="Times New Roman" w:hAnsi="Times New Roman" w:eastAsia="宋体" w:cs="Times New Roman"/>
                <w:color w:val="auto"/>
                <w:sz w:val="24"/>
                <w:highlight w:val="none"/>
                <w:u w:val="single"/>
                <w:lang w:val="en-US" w:eastAsia="zh-CN"/>
              </w:rPr>
              <w:t xml:space="preserve">年 </w:t>
            </w:r>
            <w:r>
              <w:rPr>
                <w:rFonts w:hint="default" w:ascii="Times New Roman" w:hAnsi="Times New Roman" w:eastAsia="宋体" w:cs="Times New Roman"/>
                <w:color w:val="auto"/>
                <w:sz w:val="24"/>
                <w:highlight w:val="none"/>
                <w:u w:val="single"/>
                <w:lang w:val="en-US" w:eastAsia="zh-CN"/>
              </w:rPr>
              <w:t xml:space="preserve">11 </w:t>
            </w:r>
            <w:r>
              <w:rPr>
                <w:rFonts w:hint="eastAsia" w:ascii="Times New Roman" w:hAnsi="Times New Roman" w:eastAsia="宋体" w:cs="Times New Roman"/>
                <w:color w:val="auto"/>
                <w:sz w:val="24"/>
                <w:highlight w:val="none"/>
                <w:u w:val="single"/>
                <w:lang w:val="en-US" w:eastAsia="zh-CN"/>
              </w:rPr>
              <w:t xml:space="preserve">月 </w:t>
            </w:r>
            <w:r>
              <w:rPr>
                <w:rFonts w:hint="default" w:ascii="Times New Roman" w:hAnsi="Times New Roman" w:eastAsia="宋体" w:cs="Times New Roman"/>
                <w:color w:val="auto"/>
                <w:sz w:val="24"/>
                <w:highlight w:val="none"/>
                <w:u w:val="single"/>
                <w:lang w:val="en-US" w:eastAsia="zh-CN"/>
              </w:rPr>
              <w:t xml:space="preserve">5 </w:t>
            </w:r>
            <w:r>
              <w:rPr>
                <w:rFonts w:hint="eastAsia" w:ascii="Times New Roman" w:hAnsi="Times New Roman" w:eastAsia="宋体" w:cs="Times New Roman"/>
                <w:color w:val="auto"/>
                <w:sz w:val="24"/>
                <w:highlight w:val="none"/>
                <w:u w:val="single"/>
                <w:lang w:val="en-US" w:eastAsia="zh-CN"/>
              </w:rPr>
              <w:t xml:space="preserve">日 </w:t>
            </w:r>
            <w:r>
              <w:rPr>
                <w:rFonts w:hint="default" w:ascii="Times New Roman" w:hAnsi="Times New Roman" w:eastAsia="宋体" w:cs="Times New Roman"/>
                <w:color w:val="auto"/>
                <w:sz w:val="24"/>
                <w:highlight w:val="none"/>
                <w:u w:val="single"/>
                <w:lang w:val="en-US" w:eastAsia="zh-CN"/>
              </w:rPr>
              <w:t>8</w:t>
            </w:r>
            <w:r>
              <w:rPr>
                <w:rFonts w:hint="eastAsia"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lang w:val="en-US" w:eastAsia="zh-CN"/>
              </w:rPr>
              <w:t>00</w:t>
            </w:r>
            <w:r>
              <w:rPr>
                <w:rFonts w:hint="eastAsia" w:ascii="Times New Roman" w:hAnsi="Times New Roman" w:eastAsia="宋体" w:cs="Times New Roman"/>
                <w:color w:val="auto"/>
                <w:sz w:val="24"/>
                <w:highlight w:val="none"/>
                <w:u w:val="single"/>
                <w:lang w:val="en-US" w:eastAsia="zh-CN"/>
              </w:rPr>
              <w:t xml:space="preserve">，图中“·”为实测的潮位值，“—”为计算 值。从图中可以看出，计算的潮位过程与实测资料吻合较好，高低潮时间的相位差不大于 0.5 小时，最高潮位偏差基本小于 </w:t>
            </w:r>
            <w:r>
              <w:rPr>
                <w:rFonts w:hint="default" w:ascii="Times New Roman" w:hAnsi="Times New Roman" w:eastAsia="宋体" w:cs="Times New Roman"/>
                <w:color w:val="auto"/>
                <w:sz w:val="24"/>
                <w:highlight w:val="none"/>
                <w:u w:val="single"/>
                <w:lang w:val="en-US" w:eastAsia="zh-CN"/>
              </w:rPr>
              <w:t>0.1m</w:t>
            </w:r>
            <w:r>
              <w:rPr>
                <w:rFonts w:hint="eastAsia" w:ascii="Times New Roman" w:hAnsi="Times New Roman" w:eastAsia="宋体" w:cs="Times New Roman"/>
                <w:color w:val="auto"/>
                <w:sz w:val="24"/>
                <w:highlight w:val="none"/>
                <w:u w:val="single"/>
                <w:lang w:val="en-US" w:eastAsia="zh-CN"/>
              </w:rPr>
              <w:t xml:space="preserve">，最低潮位除个别时段其偏差也小于 </w:t>
            </w:r>
            <w:r>
              <w:rPr>
                <w:rFonts w:hint="default" w:ascii="Times New Roman" w:hAnsi="Times New Roman" w:eastAsia="宋体" w:cs="Times New Roman"/>
                <w:color w:val="auto"/>
                <w:sz w:val="24"/>
                <w:highlight w:val="none"/>
                <w:u w:val="single"/>
                <w:lang w:val="en-US" w:eastAsia="zh-CN"/>
              </w:rPr>
              <w:t>0.1m</w:t>
            </w:r>
            <w:r>
              <w:rPr>
                <w:rFonts w:hint="eastAsia" w:ascii="Times New Roman" w:hAnsi="Times New Roman" w:eastAsia="宋体" w:cs="Times New Roman"/>
                <w:color w:val="auto"/>
                <w:sz w:val="24"/>
                <w:highlight w:val="none"/>
                <w:u w:val="single"/>
                <w:lang w:val="en-US" w:eastAsia="zh-CN"/>
              </w:rPr>
              <w:t>， 满足《海岸与河口潮流泥沙模拟技术规程》</w:t>
            </w:r>
            <w:r>
              <w:rPr>
                <w:rFonts w:hint="default" w:ascii="Times New Roman" w:hAnsi="Times New Roman" w:eastAsia="宋体" w:cs="Times New Roman"/>
                <w:color w:val="auto"/>
                <w:sz w:val="24"/>
                <w:highlight w:val="none"/>
                <w:u w:val="single"/>
                <w:lang w:val="en-US" w:eastAsia="zh-CN"/>
              </w:rPr>
              <w:t>(JTJ/T2332-98)</w:t>
            </w:r>
            <w:r>
              <w:rPr>
                <w:rFonts w:hint="eastAsia" w:ascii="Times New Roman" w:hAnsi="Times New Roman" w:eastAsia="宋体" w:cs="Times New Roman"/>
                <w:color w:val="auto"/>
                <w:sz w:val="24"/>
                <w:highlight w:val="none"/>
                <w:u w:val="single"/>
                <w:lang w:val="en-US" w:eastAsia="zh-CN"/>
              </w:rPr>
              <w:t>要求。验证结果表明采用 的二维潮流数学模型能模拟钦州湾海域水位变化过程，也为准确模拟当地的潮流变化 过程奠定基础。</w:t>
            </w:r>
          </w:p>
          <w:p w14:paraId="074E2C09">
            <w:pPr>
              <w:spacing w:line="360" w:lineRule="auto"/>
              <w:rPr>
                <w:color w:val="auto"/>
              </w:rPr>
            </w:pPr>
            <w:r>
              <w:rPr>
                <w:color w:val="auto"/>
              </w:rPr>
              <w:drawing>
                <wp:inline distT="0" distB="0" distL="114300" distR="114300">
                  <wp:extent cx="5424805" cy="2580640"/>
                  <wp:effectExtent l="0" t="0" r="4445" b="10160"/>
                  <wp:docPr id="3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9"/>
                          <pic:cNvPicPr>
                            <a:picLocks noChangeAspect="1"/>
                          </pic:cNvPicPr>
                        </pic:nvPicPr>
                        <pic:blipFill>
                          <a:blip r:embed="rId34"/>
                          <a:stretch>
                            <a:fillRect/>
                          </a:stretch>
                        </pic:blipFill>
                        <pic:spPr>
                          <a:xfrm>
                            <a:off x="0" y="0"/>
                            <a:ext cx="5424805" cy="2580640"/>
                          </a:xfrm>
                          <a:prstGeom prst="rect">
                            <a:avLst/>
                          </a:prstGeom>
                          <a:noFill/>
                          <a:ln>
                            <a:noFill/>
                          </a:ln>
                        </pic:spPr>
                      </pic:pic>
                    </a:graphicData>
                  </a:graphic>
                </wp:inline>
              </w:drawing>
            </w:r>
          </w:p>
          <w:p w14:paraId="213560E0">
            <w:pPr>
              <w:pStyle w:val="43"/>
              <w:numPr>
                <w:ilvl w:val="0"/>
                <w:numId w:val="0"/>
              </w:numPr>
              <w:tabs>
                <w:tab w:val="left" w:pos="216"/>
              </w:tabs>
              <w:ind w:leftChars="200" w:right="0" w:rightChars="0"/>
              <w:jc w:val="center"/>
              <w:rPr>
                <w:rFonts w:hint="eastAsia"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图4-2 龙门潮位验证</w:t>
            </w:r>
          </w:p>
          <w:p w14:paraId="6232C8A6">
            <w:pPr>
              <w:pStyle w:val="43"/>
              <w:numPr>
                <w:ilvl w:val="0"/>
                <w:numId w:val="0"/>
              </w:numPr>
              <w:tabs>
                <w:tab w:val="left" w:pos="216"/>
              </w:tabs>
              <w:ind w:right="0" w:rightChars="0"/>
              <w:jc w:val="both"/>
              <w:rPr>
                <w:rFonts w:hint="default" w:ascii="Times New Roman" w:hAnsi="Times New Roman" w:eastAsia="宋体" w:cs="Times New Roman"/>
                <w:b/>
                <w:bCs/>
                <w:color w:val="auto"/>
                <w:kern w:val="2"/>
                <w:sz w:val="24"/>
                <w:szCs w:val="24"/>
                <w:highlight w:val="none"/>
                <w:u w:val="single"/>
                <w:lang w:val="en-US" w:eastAsia="zh-CN" w:bidi="ar-SA"/>
              </w:rPr>
            </w:pPr>
            <w:r>
              <w:rPr>
                <w:color w:val="auto"/>
              </w:rPr>
              <w:drawing>
                <wp:inline distT="0" distB="0" distL="114300" distR="114300">
                  <wp:extent cx="5422265" cy="2655570"/>
                  <wp:effectExtent l="0" t="0" r="6985" b="11430"/>
                  <wp:docPr id="37"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0"/>
                          <pic:cNvPicPr>
                            <a:picLocks noChangeAspect="1"/>
                          </pic:cNvPicPr>
                        </pic:nvPicPr>
                        <pic:blipFill>
                          <a:blip r:embed="rId35"/>
                          <a:stretch>
                            <a:fillRect/>
                          </a:stretch>
                        </pic:blipFill>
                        <pic:spPr>
                          <a:xfrm>
                            <a:off x="0" y="0"/>
                            <a:ext cx="5422265" cy="2655570"/>
                          </a:xfrm>
                          <a:prstGeom prst="rect">
                            <a:avLst/>
                          </a:prstGeom>
                          <a:noFill/>
                          <a:ln>
                            <a:noFill/>
                          </a:ln>
                        </pic:spPr>
                      </pic:pic>
                    </a:graphicData>
                  </a:graphic>
                </wp:inline>
              </w:drawing>
            </w:r>
          </w:p>
          <w:p w14:paraId="5D26F639">
            <w:pPr>
              <w:pStyle w:val="43"/>
              <w:numPr>
                <w:ilvl w:val="0"/>
                <w:numId w:val="0"/>
              </w:numPr>
              <w:tabs>
                <w:tab w:val="left" w:pos="216"/>
              </w:tabs>
              <w:ind w:leftChars="200" w:right="0" w:rightChars="0"/>
              <w:jc w:val="center"/>
              <w:rPr>
                <w:rFonts w:hint="default"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图4-3企沙潮位验证</w:t>
            </w:r>
          </w:p>
          <w:p w14:paraId="205690BC">
            <w:pPr>
              <w:spacing w:line="360" w:lineRule="auto"/>
              <w:ind w:firstLine="480" w:firstLineChars="200"/>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②流速验证</w:t>
            </w:r>
          </w:p>
          <w:p w14:paraId="28451970">
            <w:pPr>
              <w:spacing w:line="360" w:lineRule="auto"/>
              <w:ind w:firstLine="480" w:firstLineChars="200"/>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由于实测海流资料仅测表、底两层，模型验证时将实测海流资料转化为垂向平均 流速后再进行验证。图4-4~图</w:t>
            </w:r>
            <w:r>
              <w:rPr>
                <w:rFonts w:hint="default" w:ascii="Times New Roman" w:hAnsi="Times New Roman" w:eastAsia="宋体" w:cs="Times New Roman"/>
                <w:color w:val="auto"/>
                <w:sz w:val="24"/>
                <w:highlight w:val="none"/>
                <w:u w:val="single"/>
                <w:lang w:val="en-US" w:eastAsia="zh-CN"/>
              </w:rPr>
              <w:t>4-</w:t>
            </w:r>
            <w:r>
              <w:rPr>
                <w:rFonts w:hint="eastAsia" w:ascii="Times New Roman" w:hAnsi="Times New Roman" w:eastAsia="宋体" w:cs="Times New Roman"/>
                <w:color w:val="auto"/>
                <w:sz w:val="24"/>
                <w:highlight w:val="none"/>
                <w:u w:val="single"/>
                <w:lang w:val="en-US" w:eastAsia="zh-CN"/>
              </w:rPr>
              <w:t>9中给出了</w:t>
            </w:r>
            <w:r>
              <w:rPr>
                <w:rFonts w:hint="default" w:ascii="Times New Roman" w:hAnsi="Times New Roman" w:eastAsia="宋体" w:cs="Times New Roman"/>
                <w:color w:val="auto"/>
                <w:sz w:val="24"/>
                <w:highlight w:val="none"/>
                <w:u w:val="single"/>
                <w:lang w:val="en-US" w:eastAsia="zh-CN"/>
              </w:rPr>
              <w:t>3</w:t>
            </w:r>
            <w:r>
              <w:rPr>
                <w:rFonts w:hint="eastAsia" w:ascii="Times New Roman" w:hAnsi="Times New Roman" w:eastAsia="宋体" w:cs="Times New Roman"/>
                <w:color w:val="auto"/>
                <w:sz w:val="24"/>
                <w:highlight w:val="none"/>
                <w:u w:val="single"/>
                <w:lang w:val="en-US" w:eastAsia="zh-CN"/>
              </w:rPr>
              <w:t>个潮流测站（</w:t>
            </w:r>
            <w:r>
              <w:rPr>
                <w:rFonts w:hint="default" w:ascii="Times New Roman" w:hAnsi="Times New Roman" w:eastAsia="宋体" w:cs="Times New Roman"/>
                <w:color w:val="auto"/>
                <w:sz w:val="24"/>
                <w:highlight w:val="none"/>
                <w:u w:val="single"/>
                <w:lang w:val="en-US" w:eastAsia="zh-CN"/>
              </w:rPr>
              <w:t>H1</w:t>
            </w:r>
            <w:r>
              <w:rPr>
                <w:rFonts w:hint="eastAsia"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lang w:val="en-US" w:eastAsia="zh-CN"/>
              </w:rPr>
              <w:t>H2</w:t>
            </w:r>
            <w:r>
              <w:rPr>
                <w:rFonts w:hint="eastAsia"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lang w:val="en-US" w:eastAsia="zh-CN"/>
              </w:rPr>
              <w:t>H3</w:t>
            </w:r>
            <w:r>
              <w:rPr>
                <w:rFonts w:hint="eastAsia" w:ascii="Times New Roman" w:hAnsi="Times New Roman" w:eastAsia="宋体" w:cs="Times New Roman"/>
                <w:color w:val="auto"/>
                <w:sz w:val="24"/>
                <w:highlight w:val="none"/>
                <w:u w:val="single"/>
                <w:lang w:val="en-US" w:eastAsia="zh-CN"/>
              </w:rPr>
              <w:t>）的流速计算 结果与实测结果比较，“·”为实测值，“—”为计算值。由图可见，各验证点计算流 速和实测资料基本吻合，流向验证较好，最大误差小于</w:t>
            </w:r>
            <w:r>
              <w:rPr>
                <w:rFonts w:hint="default" w:ascii="Times New Roman" w:hAnsi="Times New Roman" w:eastAsia="宋体" w:cs="Times New Roman"/>
                <w:color w:val="auto"/>
                <w:sz w:val="24"/>
                <w:highlight w:val="none"/>
                <w:u w:val="single"/>
                <w:lang w:val="en-US" w:eastAsia="zh-CN"/>
              </w:rPr>
              <w:t>5%</w:t>
            </w:r>
            <w:r>
              <w:rPr>
                <w:rFonts w:hint="eastAsia" w:ascii="Times New Roman" w:hAnsi="Times New Roman" w:eastAsia="宋体" w:cs="Times New Roman"/>
                <w:color w:val="auto"/>
                <w:sz w:val="24"/>
                <w:highlight w:val="none"/>
                <w:u w:val="single"/>
                <w:lang w:val="en-US" w:eastAsia="zh-CN"/>
              </w:rPr>
              <w:t>；由于模型仅取表、底层 潮流实测资料作验证，此外个别区域的地形数据未更新至最新，这可能导致了个别站 点计算结果与实测资料稍有偏差。</w:t>
            </w:r>
            <w:r>
              <w:rPr>
                <w:rFonts w:hint="default" w:ascii="Times New Roman" w:hAnsi="Times New Roman" w:eastAsia="宋体" w:cs="Times New Roman"/>
                <w:color w:val="auto"/>
                <w:sz w:val="24"/>
                <w:highlight w:val="none"/>
                <w:u w:val="single"/>
                <w:lang w:val="en-US" w:eastAsia="zh-CN"/>
              </w:rPr>
              <w:t>H1</w:t>
            </w:r>
            <w:r>
              <w:rPr>
                <w:rFonts w:hint="eastAsia" w:ascii="Times New Roman" w:hAnsi="Times New Roman" w:eastAsia="宋体" w:cs="Times New Roman"/>
                <w:color w:val="auto"/>
                <w:sz w:val="24"/>
                <w:highlight w:val="none"/>
                <w:u w:val="single"/>
                <w:lang w:val="en-US" w:eastAsia="zh-CN"/>
              </w:rPr>
              <w:t>的误差较大，其原因可能是局部地形及实测期间的客观因素造成，H1位于金鼓江与龙门出水航道的交汇处，流态较为复杂，实测 资料分析发现，其流速变化规律不明显，这可能是由行船、地形、仪器等因素影响所 致，从而导致计算流速与实测流速存在一定误差。但总体来看，验证结果基本符合《海 岸与河口潮流泥沙模拟技术规程》</w:t>
            </w:r>
            <w:r>
              <w:rPr>
                <w:rFonts w:hint="default" w:ascii="Times New Roman" w:hAnsi="Times New Roman" w:eastAsia="宋体" w:cs="Times New Roman"/>
                <w:color w:val="auto"/>
                <w:sz w:val="24"/>
                <w:highlight w:val="none"/>
                <w:u w:val="single"/>
                <w:lang w:val="en-US" w:eastAsia="zh-CN"/>
              </w:rPr>
              <w:t>(JTJ/T2332-98)</w:t>
            </w:r>
            <w:r>
              <w:rPr>
                <w:rFonts w:hint="eastAsia" w:ascii="Times New Roman" w:hAnsi="Times New Roman" w:eastAsia="宋体" w:cs="Times New Roman"/>
                <w:color w:val="auto"/>
                <w:sz w:val="24"/>
                <w:highlight w:val="none"/>
                <w:u w:val="single"/>
                <w:lang w:val="en-US" w:eastAsia="zh-CN"/>
              </w:rPr>
              <w:t>要求，流速过程线的形态基本一致， 这表明建立的二维潮流数学模型能较好地模拟钦州湾海区水流传播过程和水流运动 规律。</w:t>
            </w:r>
          </w:p>
          <w:p w14:paraId="2F53722D">
            <w:pPr>
              <w:spacing w:line="360" w:lineRule="auto"/>
              <w:rPr>
                <w:color w:val="auto"/>
              </w:rPr>
            </w:pPr>
            <w:r>
              <w:rPr>
                <w:color w:val="auto"/>
              </w:rPr>
              <w:drawing>
                <wp:inline distT="0" distB="0" distL="114300" distR="114300">
                  <wp:extent cx="5419090" cy="1973580"/>
                  <wp:effectExtent l="0" t="0" r="10160" b="7620"/>
                  <wp:docPr id="38"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1"/>
                          <pic:cNvPicPr>
                            <a:picLocks noChangeAspect="1"/>
                          </pic:cNvPicPr>
                        </pic:nvPicPr>
                        <pic:blipFill>
                          <a:blip r:embed="rId36"/>
                          <a:stretch>
                            <a:fillRect/>
                          </a:stretch>
                        </pic:blipFill>
                        <pic:spPr>
                          <a:xfrm>
                            <a:off x="0" y="0"/>
                            <a:ext cx="5419090" cy="1973580"/>
                          </a:xfrm>
                          <a:prstGeom prst="rect">
                            <a:avLst/>
                          </a:prstGeom>
                          <a:noFill/>
                          <a:ln>
                            <a:noFill/>
                          </a:ln>
                        </pic:spPr>
                      </pic:pic>
                    </a:graphicData>
                  </a:graphic>
                </wp:inline>
              </w:drawing>
            </w:r>
          </w:p>
          <w:p w14:paraId="34A9F51E">
            <w:pPr>
              <w:spacing w:line="360" w:lineRule="auto"/>
              <w:jc w:val="center"/>
              <w:rPr>
                <w:rFonts w:hint="default"/>
                <w:color w:val="auto"/>
                <w:lang w:val="en-US" w:eastAsia="zh-CN"/>
              </w:rPr>
            </w:pPr>
            <w:r>
              <w:rPr>
                <w:rFonts w:hint="eastAsia" w:ascii="Times New Roman" w:hAnsi="Times New Roman" w:eastAsia="宋体" w:cs="Times New Roman"/>
                <w:b/>
                <w:bCs/>
                <w:color w:val="auto"/>
                <w:kern w:val="2"/>
                <w:sz w:val="24"/>
                <w:szCs w:val="24"/>
                <w:highlight w:val="none"/>
                <w:u w:val="single"/>
                <w:lang w:val="en-US" w:eastAsia="zh-CN" w:bidi="ar-SA"/>
              </w:rPr>
              <w:t>图4-4 H1流速验证</w:t>
            </w:r>
          </w:p>
          <w:p w14:paraId="6A5784CC">
            <w:pPr>
              <w:pStyle w:val="43"/>
              <w:numPr>
                <w:ilvl w:val="0"/>
                <w:numId w:val="0"/>
              </w:numPr>
              <w:tabs>
                <w:tab w:val="left" w:pos="216"/>
              </w:tabs>
              <w:ind w:right="0" w:rightChars="0"/>
              <w:jc w:val="both"/>
              <w:rPr>
                <w:color w:val="auto"/>
              </w:rPr>
            </w:pPr>
            <w:r>
              <w:rPr>
                <w:color w:val="auto"/>
              </w:rPr>
              <w:drawing>
                <wp:inline distT="0" distB="0" distL="114300" distR="114300">
                  <wp:extent cx="5417185" cy="1978660"/>
                  <wp:effectExtent l="0" t="0" r="12065" b="2540"/>
                  <wp:docPr id="3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2"/>
                          <pic:cNvPicPr>
                            <a:picLocks noChangeAspect="1"/>
                          </pic:cNvPicPr>
                        </pic:nvPicPr>
                        <pic:blipFill>
                          <a:blip r:embed="rId37"/>
                          <a:stretch>
                            <a:fillRect/>
                          </a:stretch>
                        </pic:blipFill>
                        <pic:spPr>
                          <a:xfrm>
                            <a:off x="0" y="0"/>
                            <a:ext cx="5417185" cy="1978660"/>
                          </a:xfrm>
                          <a:prstGeom prst="rect">
                            <a:avLst/>
                          </a:prstGeom>
                          <a:noFill/>
                          <a:ln>
                            <a:noFill/>
                          </a:ln>
                        </pic:spPr>
                      </pic:pic>
                    </a:graphicData>
                  </a:graphic>
                </wp:inline>
              </w:drawing>
            </w:r>
          </w:p>
          <w:p w14:paraId="046CCE20">
            <w:pPr>
              <w:spacing w:line="360" w:lineRule="auto"/>
              <w:jc w:val="center"/>
              <w:rPr>
                <w:rFonts w:hint="eastAsia"/>
                <w:color w:val="auto"/>
                <w:lang w:val="en-US" w:eastAsia="zh-CN"/>
              </w:rPr>
            </w:pPr>
            <w:r>
              <w:rPr>
                <w:rFonts w:hint="eastAsia" w:ascii="Times New Roman" w:hAnsi="Times New Roman" w:eastAsia="宋体" w:cs="Times New Roman"/>
                <w:b/>
                <w:bCs/>
                <w:color w:val="auto"/>
                <w:kern w:val="2"/>
                <w:sz w:val="24"/>
                <w:szCs w:val="24"/>
                <w:highlight w:val="none"/>
                <w:u w:val="single"/>
                <w:lang w:val="en-US" w:eastAsia="zh-CN" w:bidi="ar-SA"/>
              </w:rPr>
              <w:t>图4-5 H2流速验证</w:t>
            </w:r>
          </w:p>
          <w:p w14:paraId="253D8FE8">
            <w:pPr>
              <w:spacing w:line="360" w:lineRule="auto"/>
              <w:rPr>
                <w:rFonts w:hint="eastAsia" w:ascii="Times New Roman" w:hAnsi="Times New Roman" w:eastAsia="宋体" w:cs="Times New Roman"/>
                <w:color w:val="auto"/>
                <w:sz w:val="24"/>
                <w:highlight w:val="none"/>
                <w:u w:val="single"/>
                <w:lang w:val="en-US" w:eastAsia="zh-CN"/>
              </w:rPr>
            </w:pPr>
            <w:r>
              <w:rPr>
                <w:color w:val="auto"/>
              </w:rPr>
              <w:drawing>
                <wp:inline distT="0" distB="0" distL="114300" distR="114300">
                  <wp:extent cx="5426075" cy="2026285"/>
                  <wp:effectExtent l="0" t="0" r="3175" b="12065"/>
                  <wp:docPr id="40"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3"/>
                          <pic:cNvPicPr>
                            <a:picLocks noChangeAspect="1"/>
                          </pic:cNvPicPr>
                        </pic:nvPicPr>
                        <pic:blipFill>
                          <a:blip r:embed="rId38"/>
                          <a:stretch>
                            <a:fillRect/>
                          </a:stretch>
                        </pic:blipFill>
                        <pic:spPr>
                          <a:xfrm>
                            <a:off x="0" y="0"/>
                            <a:ext cx="5426075" cy="2026285"/>
                          </a:xfrm>
                          <a:prstGeom prst="rect">
                            <a:avLst/>
                          </a:prstGeom>
                          <a:noFill/>
                          <a:ln>
                            <a:noFill/>
                          </a:ln>
                        </pic:spPr>
                      </pic:pic>
                    </a:graphicData>
                  </a:graphic>
                </wp:inline>
              </w:drawing>
            </w:r>
          </w:p>
          <w:p w14:paraId="59093EE8">
            <w:pPr>
              <w:spacing w:line="360" w:lineRule="auto"/>
              <w:jc w:val="center"/>
              <w:rPr>
                <w:rFonts w:hint="eastAsia"/>
                <w:color w:val="auto"/>
                <w:lang w:val="en-US" w:eastAsia="zh-CN"/>
              </w:rPr>
            </w:pPr>
            <w:r>
              <w:rPr>
                <w:rFonts w:hint="eastAsia" w:ascii="Times New Roman" w:hAnsi="Times New Roman" w:eastAsia="宋体" w:cs="Times New Roman"/>
                <w:b/>
                <w:bCs/>
                <w:color w:val="auto"/>
                <w:kern w:val="2"/>
                <w:sz w:val="24"/>
                <w:szCs w:val="24"/>
                <w:highlight w:val="none"/>
                <w:u w:val="single"/>
                <w:lang w:val="en-US" w:eastAsia="zh-CN" w:bidi="ar-SA"/>
              </w:rPr>
              <w:t>图4-6  H3流速验证</w:t>
            </w:r>
          </w:p>
          <w:p w14:paraId="1C0C3538">
            <w:pPr>
              <w:spacing w:line="360" w:lineRule="auto"/>
              <w:rPr>
                <w:color w:val="auto"/>
              </w:rPr>
            </w:pPr>
            <w:r>
              <w:rPr>
                <w:color w:val="auto"/>
              </w:rPr>
              <w:drawing>
                <wp:inline distT="0" distB="0" distL="114300" distR="114300">
                  <wp:extent cx="5424805" cy="2532380"/>
                  <wp:effectExtent l="0" t="0" r="4445" b="1270"/>
                  <wp:docPr id="41"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4"/>
                          <pic:cNvPicPr>
                            <a:picLocks noChangeAspect="1"/>
                          </pic:cNvPicPr>
                        </pic:nvPicPr>
                        <pic:blipFill>
                          <a:blip r:embed="rId39"/>
                          <a:stretch>
                            <a:fillRect/>
                          </a:stretch>
                        </pic:blipFill>
                        <pic:spPr>
                          <a:xfrm>
                            <a:off x="0" y="0"/>
                            <a:ext cx="5424805" cy="2532380"/>
                          </a:xfrm>
                          <a:prstGeom prst="rect">
                            <a:avLst/>
                          </a:prstGeom>
                          <a:noFill/>
                          <a:ln>
                            <a:noFill/>
                          </a:ln>
                        </pic:spPr>
                      </pic:pic>
                    </a:graphicData>
                  </a:graphic>
                </wp:inline>
              </w:drawing>
            </w:r>
          </w:p>
          <w:p w14:paraId="3ECEA8A7">
            <w:pPr>
              <w:spacing w:line="360" w:lineRule="auto"/>
              <w:jc w:val="center"/>
              <w:rPr>
                <w:color w:val="auto"/>
              </w:rPr>
            </w:pPr>
            <w:r>
              <w:rPr>
                <w:rFonts w:hint="eastAsia" w:ascii="Times New Roman" w:hAnsi="Times New Roman" w:eastAsia="宋体" w:cs="Times New Roman"/>
                <w:b/>
                <w:bCs/>
                <w:color w:val="auto"/>
                <w:kern w:val="2"/>
                <w:sz w:val="24"/>
                <w:szCs w:val="24"/>
                <w:highlight w:val="none"/>
                <w:u w:val="single"/>
                <w:lang w:val="en-US" w:eastAsia="zh-CN" w:bidi="ar-SA"/>
              </w:rPr>
              <w:t>图4-7  H1流向验证</w:t>
            </w:r>
          </w:p>
          <w:p w14:paraId="631ECB8D">
            <w:pPr>
              <w:spacing w:line="360" w:lineRule="auto"/>
              <w:rPr>
                <w:color w:val="auto"/>
              </w:rPr>
            </w:pPr>
            <w:r>
              <w:rPr>
                <w:color w:val="auto"/>
              </w:rPr>
              <w:drawing>
                <wp:inline distT="0" distB="0" distL="114300" distR="114300">
                  <wp:extent cx="5425440" cy="2536190"/>
                  <wp:effectExtent l="0" t="0" r="3810" b="16510"/>
                  <wp:docPr id="4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5"/>
                          <pic:cNvPicPr>
                            <a:picLocks noChangeAspect="1"/>
                          </pic:cNvPicPr>
                        </pic:nvPicPr>
                        <pic:blipFill>
                          <a:blip r:embed="rId40"/>
                          <a:stretch>
                            <a:fillRect/>
                          </a:stretch>
                        </pic:blipFill>
                        <pic:spPr>
                          <a:xfrm>
                            <a:off x="0" y="0"/>
                            <a:ext cx="5425440" cy="2536190"/>
                          </a:xfrm>
                          <a:prstGeom prst="rect">
                            <a:avLst/>
                          </a:prstGeom>
                          <a:noFill/>
                          <a:ln>
                            <a:noFill/>
                          </a:ln>
                        </pic:spPr>
                      </pic:pic>
                    </a:graphicData>
                  </a:graphic>
                </wp:inline>
              </w:drawing>
            </w:r>
          </w:p>
          <w:p w14:paraId="376F9784">
            <w:pPr>
              <w:spacing w:line="360" w:lineRule="auto"/>
              <w:jc w:val="center"/>
              <w:rPr>
                <w:rFonts w:hint="eastAsia"/>
                <w:color w:val="auto"/>
                <w:lang w:val="en-US" w:eastAsia="zh-CN"/>
              </w:rPr>
            </w:pPr>
            <w:r>
              <w:rPr>
                <w:rFonts w:hint="eastAsia" w:ascii="Times New Roman" w:hAnsi="Times New Roman" w:eastAsia="宋体" w:cs="Times New Roman"/>
                <w:b/>
                <w:bCs/>
                <w:color w:val="auto"/>
                <w:kern w:val="2"/>
                <w:sz w:val="24"/>
                <w:szCs w:val="24"/>
                <w:highlight w:val="none"/>
                <w:u w:val="single"/>
                <w:lang w:val="en-US" w:eastAsia="zh-CN" w:bidi="ar-SA"/>
              </w:rPr>
              <w:t>图4-8  H2流向验证</w:t>
            </w:r>
          </w:p>
          <w:p w14:paraId="2CA33E5A">
            <w:pPr>
              <w:spacing w:line="360" w:lineRule="auto"/>
              <w:rPr>
                <w:rFonts w:hint="eastAsia" w:ascii="Times New Roman" w:hAnsi="Times New Roman" w:eastAsia="宋体" w:cs="Times New Roman"/>
                <w:color w:val="auto"/>
                <w:sz w:val="24"/>
                <w:highlight w:val="none"/>
                <w:u w:val="single"/>
                <w:lang w:val="en-US" w:eastAsia="zh-CN"/>
              </w:rPr>
            </w:pPr>
            <w:r>
              <w:rPr>
                <w:color w:val="auto"/>
              </w:rPr>
              <w:drawing>
                <wp:inline distT="0" distB="0" distL="114300" distR="114300">
                  <wp:extent cx="5429250" cy="2522220"/>
                  <wp:effectExtent l="0" t="0" r="0" b="11430"/>
                  <wp:docPr id="43"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6"/>
                          <pic:cNvPicPr>
                            <a:picLocks noChangeAspect="1"/>
                          </pic:cNvPicPr>
                        </pic:nvPicPr>
                        <pic:blipFill>
                          <a:blip r:embed="rId41"/>
                          <a:stretch>
                            <a:fillRect/>
                          </a:stretch>
                        </pic:blipFill>
                        <pic:spPr>
                          <a:xfrm>
                            <a:off x="0" y="0"/>
                            <a:ext cx="5429250" cy="2522220"/>
                          </a:xfrm>
                          <a:prstGeom prst="rect">
                            <a:avLst/>
                          </a:prstGeom>
                          <a:noFill/>
                          <a:ln>
                            <a:noFill/>
                          </a:ln>
                        </pic:spPr>
                      </pic:pic>
                    </a:graphicData>
                  </a:graphic>
                </wp:inline>
              </w:drawing>
            </w:r>
          </w:p>
          <w:p w14:paraId="55CBE1EA">
            <w:pPr>
              <w:spacing w:line="360" w:lineRule="auto"/>
              <w:jc w:val="center"/>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b/>
                <w:bCs/>
                <w:color w:val="auto"/>
                <w:kern w:val="2"/>
                <w:sz w:val="24"/>
                <w:szCs w:val="24"/>
                <w:highlight w:val="none"/>
                <w:u w:val="single"/>
                <w:lang w:val="en-US" w:eastAsia="zh-CN" w:bidi="ar-SA"/>
              </w:rPr>
              <w:t>图4-9  H3流向验证</w:t>
            </w:r>
          </w:p>
          <w:p w14:paraId="254F7895">
            <w:pPr>
              <w:spacing w:line="360" w:lineRule="auto"/>
              <w:ind w:firstLine="480" w:firstLineChars="200"/>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图4-10、图4-11给出了工程前与潮流实测时段对应的钦州湾涨落急时刻的流场图，图</w:t>
            </w:r>
            <w:r>
              <w:rPr>
                <w:rFonts w:hint="default" w:ascii="Times New Roman" w:hAnsi="Times New Roman" w:eastAsia="宋体" w:cs="Times New Roman"/>
                <w:color w:val="auto"/>
                <w:sz w:val="24"/>
                <w:highlight w:val="none"/>
                <w:u w:val="single"/>
                <w:lang w:val="en-US" w:eastAsia="zh-CN"/>
              </w:rPr>
              <w:t>4-</w:t>
            </w:r>
            <w:r>
              <w:rPr>
                <w:rFonts w:hint="eastAsia" w:ascii="Times New Roman" w:hAnsi="Times New Roman" w:eastAsia="宋体" w:cs="Times New Roman"/>
                <w:color w:val="auto"/>
                <w:sz w:val="24"/>
                <w:highlight w:val="none"/>
                <w:u w:val="single"/>
                <w:lang w:val="en-US" w:eastAsia="zh-CN"/>
              </w:rPr>
              <w:t>12、图</w:t>
            </w:r>
            <w:r>
              <w:rPr>
                <w:rFonts w:hint="default" w:ascii="Times New Roman" w:hAnsi="Times New Roman" w:eastAsia="宋体" w:cs="Times New Roman"/>
                <w:color w:val="auto"/>
                <w:sz w:val="24"/>
                <w:highlight w:val="none"/>
                <w:u w:val="single"/>
                <w:lang w:val="en-US" w:eastAsia="zh-CN"/>
              </w:rPr>
              <w:t>4-1</w:t>
            </w:r>
            <w:r>
              <w:rPr>
                <w:rFonts w:hint="eastAsia" w:ascii="Times New Roman" w:hAnsi="Times New Roman" w:eastAsia="宋体" w:cs="Times New Roman"/>
                <w:color w:val="auto"/>
                <w:sz w:val="24"/>
                <w:highlight w:val="none"/>
                <w:u w:val="single"/>
                <w:lang w:val="en-US" w:eastAsia="zh-CN"/>
              </w:rPr>
              <w:t>3为工程区附近局部涨、落急流场图。由图4-10、图4-11可见，钦州湾潮流运动形式以往复流为主，涨急时刻钦州湾大部分海域流向以偏北方向为主，涨潮流从湾口汇入龙门峡口，至茅尾海后呈放射状散开，流向总体较均匀，局部受地形影响而发生偏转。开阔水域流速较大，流向较均匀，浅滩、岛屿周围以及岸边流速 相对较小，流向多变；航道和深槽处流速最大，流向与航道、深槽走向基本一致。</w:t>
            </w:r>
            <w:r>
              <w:rPr>
                <w:rFonts w:hint="default" w:ascii="Times New Roman" w:hAnsi="Times New Roman" w:eastAsia="宋体" w:cs="Times New Roman"/>
                <w:color w:val="auto"/>
                <w:sz w:val="24"/>
                <w:highlight w:val="none"/>
                <w:u w:val="single"/>
                <w:lang w:val="en-US" w:eastAsia="zh-CN"/>
              </w:rPr>
              <w:t xml:space="preserve"> </w:t>
            </w:r>
            <w:r>
              <w:rPr>
                <w:rFonts w:hint="eastAsia" w:ascii="Times New Roman" w:hAnsi="Times New Roman" w:eastAsia="宋体" w:cs="Times New Roman"/>
                <w:color w:val="auto"/>
                <w:sz w:val="24"/>
                <w:highlight w:val="none"/>
                <w:u w:val="single"/>
                <w:lang w:val="en-US" w:eastAsia="zh-CN"/>
              </w:rPr>
              <w:t>落急时刻，钦州湾大部分海域流向基本向南，落潮流从茅尾海汇入龙门峡口，至 钦州外湾后呈放射状散开，落急流速大于涨急流速。</w:t>
            </w:r>
            <w:r>
              <w:rPr>
                <w:rFonts w:hint="default" w:ascii="Times New Roman" w:hAnsi="Times New Roman" w:eastAsia="宋体" w:cs="Times New Roman"/>
                <w:color w:val="auto"/>
                <w:sz w:val="24"/>
                <w:highlight w:val="none"/>
                <w:u w:val="single"/>
                <w:lang w:val="en-US" w:eastAsia="zh-CN"/>
              </w:rPr>
              <w:t xml:space="preserve"> </w:t>
            </w:r>
            <w:r>
              <w:rPr>
                <w:rFonts w:hint="eastAsia" w:ascii="Times New Roman" w:hAnsi="Times New Roman" w:eastAsia="宋体" w:cs="Times New Roman"/>
                <w:color w:val="auto"/>
                <w:sz w:val="24"/>
                <w:highlight w:val="none"/>
                <w:u w:val="single"/>
                <w:lang w:val="en-US" w:eastAsia="zh-CN"/>
              </w:rPr>
              <w:t>由图</w:t>
            </w:r>
            <w:r>
              <w:rPr>
                <w:rFonts w:hint="default" w:ascii="Times New Roman" w:hAnsi="Times New Roman" w:eastAsia="宋体" w:cs="Times New Roman"/>
                <w:color w:val="auto"/>
                <w:sz w:val="24"/>
                <w:highlight w:val="none"/>
                <w:u w:val="single"/>
                <w:lang w:val="en-US" w:eastAsia="zh-CN"/>
              </w:rPr>
              <w:t>4-</w:t>
            </w:r>
            <w:r>
              <w:rPr>
                <w:rFonts w:hint="eastAsia" w:ascii="Times New Roman" w:hAnsi="Times New Roman" w:eastAsia="宋体" w:cs="Times New Roman"/>
                <w:color w:val="auto"/>
                <w:sz w:val="24"/>
                <w:highlight w:val="none"/>
                <w:u w:val="single"/>
                <w:lang w:val="en-US" w:eastAsia="zh-CN"/>
              </w:rPr>
              <w:t>12、图</w:t>
            </w:r>
            <w:r>
              <w:rPr>
                <w:rFonts w:hint="default" w:ascii="Times New Roman" w:hAnsi="Times New Roman" w:eastAsia="宋体" w:cs="Times New Roman"/>
                <w:color w:val="auto"/>
                <w:sz w:val="24"/>
                <w:highlight w:val="none"/>
                <w:u w:val="single"/>
                <w:lang w:val="en-US" w:eastAsia="zh-CN"/>
              </w:rPr>
              <w:t>4-1</w:t>
            </w:r>
            <w:r>
              <w:rPr>
                <w:rFonts w:hint="eastAsia" w:ascii="Times New Roman" w:hAnsi="Times New Roman" w:eastAsia="宋体" w:cs="Times New Roman"/>
                <w:color w:val="auto"/>
                <w:sz w:val="24"/>
                <w:highlight w:val="none"/>
                <w:u w:val="single"/>
                <w:lang w:val="en-US" w:eastAsia="zh-CN"/>
              </w:rPr>
              <w:t>3可见，保税港区航道附近涨落潮潮流流向基本顺着航道走向， 涨潮时，水流沿大榄坪至三墩公路分两支，一支顺着公路流向廘耳环江附近海域，另 一支流向保税港区右岸浅湾，同时主流绕过保税港区顺着航道至金鼓江口，再分两支， 一支流入金鼓江，溯江而上；另一支则继续沿着航道过龙门进入茅尾海；落潮时过程 则反之，水流沿水道、航道以及公路两侧流向钦州外湾，潮流呈现典型往复流特征。 比较这两幅图还可看出，落潮流速明显大于涨潮流速，无论是涨落潮，航道附近的流 速均较其它区域大。</w:t>
            </w:r>
          </w:p>
          <w:p w14:paraId="6C2A2FF8">
            <w:pPr>
              <w:spacing w:line="360" w:lineRule="auto"/>
              <w:jc w:val="center"/>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drawing>
                <wp:inline distT="0" distB="0" distL="114300" distR="114300">
                  <wp:extent cx="5066030" cy="6190615"/>
                  <wp:effectExtent l="0" t="0" r="1270" b="635"/>
                  <wp:docPr id="44" name="图片 147" descr="第121页-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7" descr="第121页-103"/>
                          <pic:cNvPicPr>
                            <a:picLocks noChangeAspect="1"/>
                          </pic:cNvPicPr>
                        </pic:nvPicPr>
                        <pic:blipFill>
                          <a:blip r:embed="rId42"/>
                          <a:stretch>
                            <a:fillRect/>
                          </a:stretch>
                        </pic:blipFill>
                        <pic:spPr>
                          <a:xfrm>
                            <a:off x="0" y="0"/>
                            <a:ext cx="5066030" cy="6190615"/>
                          </a:xfrm>
                          <a:prstGeom prst="rect">
                            <a:avLst/>
                          </a:prstGeom>
                          <a:noFill/>
                          <a:ln>
                            <a:noFill/>
                          </a:ln>
                        </pic:spPr>
                      </pic:pic>
                    </a:graphicData>
                  </a:graphic>
                </wp:inline>
              </w:drawing>
            </w:r>
          </w:p>
          <w:p w14:paraId="2DC74BF0">
            <w:pPr>
              <w:spacing w:line="360" w:lineRule="auto"/>
              <w:jc w:val="center"/>
              <w:rPr>
                <w:rFonts w:hint="eastAsia"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图4-10  钦州湾涨急流场图</w:t>
            </w:r>
          </w:p>
          <w:p w14:paraId="02769889">
            <w:pPr>
              <w:spacing w:line="360" w:lineRule="auto"/>
              <w:jc w:val="center"/>
              <w:rPr>
                <w:color w:val="auto"/>
              </w:rPr>
            </w:pPr>
            <w:r>
              <w:rPr>
                <w:color w:val="auto"/>
              </w:rPr>
              <w:drawing>
                <wp:inline distT="0" distB="0" distL="114300" distR="114300">
                  <wp:extent cx="5372100" cy="6581775"/>
                  <wp:effectExtent l="0" t="0" r="0" b="9525"/>
                  <wp:docPr id="4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8"/>
                          <pic:cNvPicPr>
                            <a:picLocks noChangeAspect="1"/>
                          </pic:cNvPicPr>
                        </pic:nvPicPr>
                        <pic:blipFill>
                          <a:blip r:embed="rId43"/>
                          <a:stretch>
                            <a:fillRect/>
                          </a:stretch>
                        </pic:blipFill>
                        <pic:spPr>
                          <a:xfrm>
                            <a:off x="0" y="0"/>
                            <a:ext cx="5372100" cy="6581775"/>
                          </a:xfrm>
                          <a:prstGeom prst="rect">
                            <a:avLst/>
                          </a:prstGeom>
                          <a:noFill/>
                          <a:ln>
                            <a:noFill/>
                          </a:ln>
                        </pic:spPr>
                      </pic:pic>
                    </a:graphicData>
                  </a:graphic>
                </wp:inline>
              </w:drawing>
            </w:r>
          </w:p>
          <w:p w14:paraId="2072E365">
            <w:pPr>
              <w:spacing w:line="360" w:lineRule="auto"/>
              <w:jc w:val="center"/>
              <w:rPr>
                <w:rFonts w:hint="eastAsia"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图4-11 钦州湾落急流场图</w:t>
            </w:r>
          </w:p>
          <w:p w14:paraId="632D03D6">
            <w:pPr>
              <w:spacing w:line="360" w:lineRule="auto"/>
              <w:jc w:val="center"/>
              <w:rPr>
                <w:rFonts w:hint="eastAsia"/>
                <w:color w:val="auto"/>
                <w:lang w:val="en-US" w:eastAsia="zh-CN"/>
              </w:rPr>
            </w:pPr>
          </w:p>
          <w:p w14:paraId="5FAC6826">
            <w:pPr>
              <w:pStyle w:val="43"/>
              <w:numPr>
                <w:ilvl w:val="0"/>
                <w:numId w:val="0"/>
              </w:numPr>
              <w:tabs>
                <w:tab w:val="left" w:pos="216"/>
              </w:tabs>
              <w:ind w:right="0" w:rightChars="0"/>
              <w:jc w:val="center"/>
              <w:rPr>
                <w:color w:val="auto"/>
              </w:rPr>
            </w:pPr>
            <w:r>
              <w:rPr>
                <w:color w:val="auto"/>
              </w:rPr>
              <w:drawing>
                <wp:inline distT="0" distB="0" distL="114300" distR="114300">
                  <wp:extent cx="4505325" cy="5219700"/>
                  <wp:effectExtent l="0" t="0" r="9525" b="0"/>
                  <wp:docPr id="4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9"/>
                          <pic:cNvPicPr>
                            <a:picLocks noChangeAspect="1"/>
                          </pic:cNvPicPr>
                        </pic:nvPicPr>
                        <pic:blipFill>
                          <a:blip r:embed="rId44"/>
                          <a:stretch>
                            <a:fillRect/>
                          </a:stretch>
                        </pic:blipFill>
                        <pic:spPr>
                          <a:xfrm>
                            <a:off x="0" y="0"/>
                            <a:ext cx="4505325" cy="5219700"/>
                          </a:xfrm>
                          <a:prstGeom prst="rect">
                            <a:avLst/>
                          </a:prstGeom>
                          <a:noFill/>
                          <a:ln>
                            <a:noFill/>
                          </a:ln>
                        </pic:spPr>
                      </pic:pic>
                    </a:graphicData>
                  </a:graphic>
                </wp:inline>
              </w:drawing>
            </w:r>
          </w:p>
          <w:p w14:paraId="68F50BFA">
            <w:pPr>
              <w:spacing w:line="360" w:lineRule="auto"/>
              <w:jc w:val="center"/>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b/>
                <w:bCs/>
                <w:color w:val="auto"/>
                <w:kern w:val="2"/>
                <w:sz w:val="24"/>
                <w:szCs w:val="24"/>
                <w:highlight w:val="none"/>
                <w:u w:val="single"/>
                <w:lang w:val="en-US" w:eastAsia="zh-CN" w:bidi="ar-SA"/>
              </w:rPr>
              <w:t>图4-12 钦州湾涨急流场图</w:t>
            </w:r>
          </w:p>
          <w:p w14:paraId="2312ACE1">
            <w:pPr>
              <w:pStyle w:val="43"/>
              <w:numPr>
                <w:ilvl w:val="0"/>
                <w:numId w:val="0"/>
              </w:numPr>
              <w:tabs>
                <w:tab w:val="left" w:pos="216"/>
              </w:tabs>
              <w:ind w:right="0" w:rightChars="0"/>
              <w:jc w:val="center"/>
              <w:rPr>
                <w:color w:val="auto"/>
              </w:rPr>
            </w:pPr>
          </w:p>
          <w:p w14:paraId="0260B4A0">
            <w:pPr>
              <w:pStyle w:val="43"/>
              <w:numPr>
                <w:ilvl w:val="0"/>
                <w:numId w:val="0"/>
              </w:numPr>
              <w:tabs>
                <w:tab w:val="left" w:pos="216"/>
              </w:tabs>
              <w:ind w:right="0" w:rightChars="0"/>
              <w:jc w:val="center"/>
              <w:rPr>
                <w:color w:val="auto"/>
              </w:rPr>
            </w:pPr>
            <w:r>
              <w:rPr>
                <w:color w:val="auto"/>
              </w:rPr>
              <w:drawing>
                <wp:inline distT="0" distB="0" distL="114300" distR="114300">
                  <wp:extent cx="4419600" cy="5143500"/>
                  <wp:effectExtent l="0" t="0" r="0" b="0"/>
                  <wp:docPr id="4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0"/>
                          <pic:cNvPicPr>
                            <a:picLocks noChangeAspect="1"/>
                          </pic:cNvPicPr>
                        </pic:nvPicPr>
                        <pic:blipFill>
                          <a:blip r:embed="rId45"/>
                          <a:stretch>
                            <a:fillRect/>
                          </a:stretch>
                        </pic:blipFill>
                        <pic:spPr>
                          <a:xfrm>
                            <a:off x="0" y="0"/>
                            <a:ext cx="4419600" cy="5143500"/>
                          </a:xfrm>
                          <a:prstGeom prst="rect">
                            <a:avLst/>
                          </a:prstGeom>
                          <a:noFill/>
                          <a:ln>
                            <a:noFill/>
                          </a:ln>
                        </pic:spPr>
                      </pic:pic>
                    </a:graphicData>
                  </a:graphic>
                </wp:inline>
              </w:drawing>
            </w:r>
          </w:p>
          <w:p w14:paraId="15952060">
            <w:pPr>
              <w:spacing w:line="360" w:lineRule="auto"/>
              <w:jc w:val="center"/>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b/>
                <w:bCs/>
                <w:color w:val="auto"/>
                <w:kern w:val="2"/>
                <w:sz w:val="24"/>
                <w:szCs w:val="24"/>
                <w:highlight w:val="none"/>
                <w:u w:val="single"/>
                <w:lang w:val="en-US" w:eastAsia="zh-CN" w:bidi="ar-SA"/>
              </w:rPr>
              <w:t>图4-13 钦州湾落急流场图</w:t>
            </w:r>
          </w:p>
          <w:p w14:paraId="584D72BC">
            <w:pPr>
              <w:pStyle w:val="43"/>
              <w:numPr>
                <w:ilvl w:val="0"/>
                <w:numId w:val="0"/>
              </w:numPr>
              <w:tabs>
                <w:tab w:val="left" w:pos="216"/>
              </w:tabs>
              <w:ind w:leftChars="200" w:right="0" w:rightChars="0"/>
              <w:rPr>
                <w:rFonts w:hint="eastAsia" w:ascii="Times New Roman" w:hAnsi="Times New Roman" w:eastAsia="宋体" w:cs="Times New Roman"/>
                <w:b/>
                <w:bCs/>
                <w:color w:val="auto"/>
                <w:kern w:val="2"/>
                <w:sz w:val="24"/>
                <w:szCs w:val="24"/>
                <w:highlight w:val="none"/>
                <w:lang w:val="en-US" w:eastAsia="zh-CN" w:bidi="ar-SA"/>
              </w:rPr>
            </w:pPr>
          </w:p>
          <w:p w14:paraId="20336348">
            <w:pPr>
              <w:pStyle w:val="43"/>
              <w:numPr>
                <w:ilvl w:val="0"/>
                <w:numId w:val="17"/>
              </w:numPr>
              <w:tabs>
                <w:tab w:val="left" w:pos="216"/>
              </w:tabs>
              <w:ind w:left="0" w:leftChars="0" w:firstLine="482" w:firstLineChars="20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悬浮物源强计算</w:t>
            </w:r>
          </w:p>
          <w:p w14:paraId="1F2172BF">
            <w:pPr>
              <w:pStyle w:val="19"/>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港池维护性疏浚中会产生悬浮泥沙，主要产生自抓斗式挖泥船疏浚和耙吸船施工过程中。</w:t>
            </w:r>
          </w:p>
          <w:p w14:paraId="1892272B">
            <w:pPr>
              <w:pStyle w:val="19"/>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回旋水域疏浚清淤作业搅起的泥沙进入水体，其悬浮物产生量按《水运工程建设项目环境影响评价指南》（</w:t>
            </w:r>
            <w:r>
              <w:rPr>
                <w:rFonts w:hint="default" w:ascii="宋体" w:hAnsi="Courier New" w:eastAsia="宋体" w:cs="Times New Roman"/>
                <w:color w:val="auto"/>
                <w:sz w:val="24"/>
                <w:szCs w:val="24"/>
                <w:highlight w:val="none"/>
                <w:lang w:val="en-US" w:eastAsia="zh-CN"/>
              </w:rPr>
              <w:t>JTS/T 105-2021</w:t>
            </w:r>
            <w:r>
              <w:rPr>
                <w:rFonts w:hint="eastAsia" w:ascii="宋体" w:hAnsi="Courier New" w:eastAsia="宋体" w:cs="Times New Roman"/>
                <w:color w:val="auto"/>
                <w:sz w:val="24"/>
                <w:szCs w:val="24"/>
                <w:highlight w:val="none"/>
                <w:lang w:val="en-US" w:eastAsia="zh-CN"/>
              </w:rPr>
              <w:t>）中推荐的公式进行测算：</w:t>
            </w:r>
          </w:p>
          <w:p w14:paraId="45E22570">
            <w:pPr>
              <w:pStyle w:val="201"/>
              <w:spacing w:line="240" w:lineRule="auto"/>
              <w:ind w:firstLine="453"/>
              <w:jc w:val="center"/>
              <w:rPr>
                <w:color w:val="auto"/>
                <w:highlight w:val="none"/>
              </w:rPr>
            </w:pPr>
            <m:oMathPara>
              <m:oMath>
                <m:r>
                  <m:rPr/>
                  <w:rPr>
                    <w:rFonts w:ascii="Cambria Math" w:hAnsi="Cambria Math"/>
                    <w:color w:val="000000"/>
                  </w:rPr>
                  <m:t>Q=</m:t>
                </m:r>
                <m:f>
                  <m:fPr>
                    <m:ctrlPr>
                      <w:rPr>
                        <w:rFonts w:ascii="Cambria Math" w:hAnsi="Cambria Math"/>
                        <w:i/>
                        <w:color w:val="000000"/>
                      </w:rPr>
                    </m:ctrlPr>
                  </m:fPr>
                  <m:num>
                    <m:r>
                      <m:rPr/>
                      <w:rPr>
                        <w:rFonts w:ascii="Cambria Math" w:hAnsi="Cambria Math"/>
                        <w:color w:val="000000"/>
                      </w:rPr>
                      <m:t>R</m:t>
                    </m:r>
                    <m:ctrlPr>
                      <w:rPr>
                        <w:rFonts w:ascii="Cambria Math" w:hAnsi="Cambria Math"/>
                        <w:i/>
                        <w:color w:val="000000"/>
                      </w:rPr>
                    </m:ctrlPr>
                  </m:num>
                  <m:den>
                    <m:sSub>
                      <m:sSubPr>
                        <m:ctrlPr>
                          <w:rPr>
                            <w:rFonts w:ascii="Cambria Math" w:hAnsi="Cambria Math"/>
                            <w:i/>
                            <w:color w:val="000000"/>
                          </w:rPr>
                        </m:ctrlPr>
                      </m:sSubPr>
                      <m:e>
                        <m:r>
                          <m:rPr/>
                          <w:rPr>
                            <w:rFonts w:ascii="Cambria Math" w:hAnsi="Cambria Math"/>
                            <w:color w:val="000000"/>
                          </w:rPr>
                          <m:t>R</m:t>
                        </m:r>
                        <m:ctrlPr>
                          <w:rPr>
                            <w:rFonts w:ascii="Cambria Math" w:hAnsi="Cambria Math"/>
                            <w:i/>
                            <w:color w:val="000000"/>
                          </w:rPr>
                        </m:ctrlPr>
                      </m:e>
                      <m:sub>
                        <m:r>
                          <m:rPr/>
                          <w:rPr>
                            <w:rFonts w:ascii="Cambria Math" w:hAnsi="Cambria Math"/>
                            <w:color w:val="000000"/>
                          </w:rPr>
                          <m:t>0</m:t>
                        </m:r>
                        <m:ctrlPr>
                          <w:rPr>
                            <w:rFonts w:ascii="Cambria Math" w:hAnsi="Cambria Math"/>
                            <w:i/>
                            <w:color w:val="000000"/>
                          </w:rPr>
                        </m:ctrlPr>
                      </m:sub>
                    </m:sSub>
                    <m:ctrlPr>
                      <w:rPr>
                        <w:rFonts w:ascii="Cambria Math" w:hAnsi="Cambria Math"/>
                        <w:i/>
                        <w:color w:val="000000"/>
                      </w:rPr>
                    </m:ctrlPr>
                  </m:den>
                </m:f>
                <m:r>
                  <m:rPr/>
                  <w:rPr>
                    <w:rFonts w:ascii="Cambria Math" w:hAnsi="Cambria Math"/>
                    <w:color w:val="000000"/>
                  </w:rPr>
                  <m:t>×T</m:t>
                </m:r>
                <m:sSub>
                  <m:sSubPr>
                    <m:ctrlPr>
                      <w:rPr>
                        <w:rFonts w:ascii="Cambria Math" w:hAnsi="Cambria Math"/>
                        <w:i/>
                        <w:color w:val="000000"/>
                      </w:rPr>
                    </m:ctrlPr>
                  </m:sSubPr>
                  <m:e>
                    <m:r>
                      <m:rPr/>
                      <w:rPr>
                        <w:rFonts w:ascii="Cambria Math" w:hAnsi="Cambria Math"/>
                        <w:color w:val="000000"/>
                      </w:rPr>
                      <m:t>×W</m:t>
                    </m:r>
                    <m:ctrlPr>
                      <w:rPr>
                        <w:rFonts w:ascii="Cambria Math" w:hAnsi="Cambria Math"/>
                        <w:i/>
                        <w:color w:val="000000"/>
                      </w:rPr>
                    </m:ctrlPr>
                  </m:e>
                  <m:sub>
                    <m:r>
                      <m:rPr/>
                      <w:rPr>
                        <w:rFonts w:ascii="Cambria Math" w:hAnsi="Cambria Math"/>
                        <w:color w:val="000000"/>
                      </w:rPr>
                      <m:t>0</m:t>
                    </m:r>
                    <m:ctrlPr>
                      <w:rPr>
                        <w:rFonts w:ascii="Cambria Math" w:hAnsi="Cambria Math"/>
                        <w:i/>
                        <w:color w:val="000000"/>
                      </w:rPr>
                    </m:ctrlPr>
                  </m:sub>
                </m:sSub>
              </m:oMath>
            </m:oMathPara>
          </w:p>
          <w:p w14:paraId="6F7F7966">
            <w:pPr>
              <w:pStyle w:val="201"/>
              <w:spacing w:line="240" w:lineRule="auto"/>
              <w:ind w:firstLine="453"/>
              <w:rPr>
                <w:color w:val="auto"/>
                <w:highlight w:val="none"/>
              </w:rPr>
            </w:pPr>
            <w:r>
              <w:rPr>
                <w:color w:val="auto"/>
                <w:highlight w:val="none"/>
              </w:rPr>
              <w:t>式中：</w:t>
            </w:r>
          </w:p>
          <w:p w14:paraId="39F42E0C">
            <w:pPr>
              <w:pStyle w:val="201"/>
              <w:ind w:firstLine="453"/>
              <w:rPr>
                <w:color w:val="auto"/>
                <w:highlight w:val="none"/>
              </w:rPr>
            </w:pPr>
            <w:r>
              <w:rPr>
                <w:color w:val="auto"/>
                <w:highlight w:val="none"/>
              </w:rPr>
              <w:t>Q — 疏浚作业悬浮物发生量，t/h；</w:t>
            </w:r>
          </w:p>
          <w:p w14:paraId="3E9CD59D">
            <w:pPr>
              <w:pStyle w:val="201"/>
              <w:ind w:firstLine="453"/>
              <w:rPr>
                <w:color w:val="auto"/>
                <w:highlight w:val="none"/>
              </w:rPr>
            </w:pPr>
            <w:r>
              <w:rPr>
                <w:color w:val="auto"/>
                <w:highlight w:val="none"/>
              </w:rPr>
              <w:t>W</w:t>
            </w:r>
            <w:r>
              <w:rPr>
                <w:color w:val="auto"/>
                <w:highlight w:val="none"/>
                <w:vertAlign w:val="subscript"/>
              </w:rPr>
              <w:t>0</w:t>
            </w:r>
            <w:r>
              <w:rPr>
                <w:color w:val="auto"/>
                <w:highlight w:val="none"/>
              </w:rPr>
              <w:t xml:space="preserve"> — 悬浮物发生系数，t/m</w:t>
            </w:r>
            <w:r>
              <w:rPr>
                <w:color w:val="auto"/>
                <w:highlight w:val="none"/>
                <w:vertAlign w:val="superscript"/>
              </w:rPr>
              <w:t>3</w:t>
            </w:r>
            <w:r>
              <w:rPr>
                <w:color w:val="auto"/>
                <w:highlight w:val="none"/>
              </w:rPr>
              <w:t>，本评价取0.038；</w:t>
            </w:r>
          </w:p>
          <w:p w14:paraId="76A051DA">
            <w:pPr>
              <w:pStyle w:val="201"/>
              <w:ind w:firstLine="453"/>
              <w:rPr>
                <w:color w:val="auto"/>
                <w:highlight w:val="none"/>
              </w:rPr>
            </w:pPr>
            <w:r>
              <w:rPr>
                <w:color w:val="auto"/>
                <w:highlight w:val="none"/>
              </w:rPr>
              <w:t>R — 发生系数W</w:t>
            </w:r>
            <w:r>
              <w:rPr>
                <w:color w:val="auto"/>
                <w:highlight w:val="none"/>
                <w:vertAlign w:val="subscript"/>
              </w:rPr>
              <w:t>0</w:t>
            </w:r>
            <w:r>
              <w:rPr>
                <w:color w:val="auto"/>
                <w:highlight w:val="none"/>
              </w:rPr>
              <w:t>时的悬浮物</w:t>
            </w:r>
            <w:r>
              <w:rPr>
                <w:rFonts w:hint="eastAsia"/>
                <w:color w:val="auto"/>
                <w:highlight w:val="none"/>
                <w:lang w:eastAsia="zh-CN"/>
              </w:rPr>
              <w:t>粒径</w:t>
            </w:r>
            <w:r>
              <w:rPr>
                <w:color w:val="auto"/>
                <w:highlight w:val="none"/>
              </w:rPr>
              <w:t>累计百分比，本评价取89.2%；</w:t>
            </w:r>
          </w:p>
          <w:p w14:paraId="1ACECC1A">
            <w:pPr>
              <w:pStyle w:val="201"/>
              <w:ind w:firstLine="453"/>
              <w:rPr>
                <w:color w:val="auto"/>
                <w:highlight w:val="none"/>
              </w:rPr>
            </w:pPr>
            <w:r>
              <w:rPr>
                <w:color w:val="auto"/>
                <w:highlight w:val="none"/>
              </w:rPr>
              <w:t>R</w:t>
            </w:r>
            <w:r>
              <w:rPr>
                <w:color w:val="auto"/>
                <w:highlight w:val="none"/>
                <w:vertAlign w:val="subscript"/>
              </w:rPr>
              <w:t>0</w:t>
            </w:r>
            <w:r>
              <w:rPr>
                <w:color w:val="auto"/>
                <w:highlight w:val="none"/>
              </w:rPr>
              <w:t xml:space="preserve"> — 现场流速悬浮物临界粒子累计百分比，本评价取80.2%；</w:t>
            </w:r>
          </w:p>
          <w:p w14:paraId="3D9C36B7">
            <w:pPr>
              <w:pStyle w:val="201"/>
              <w:ind w:firstLine="453"/>
              <w:rPr>
                <w:rFonts w:hint="eastAsia"/>
                <w:color w:val="auto"/>
                <w:highlight w:val="none"/>
                <w:u w:val="none"/>
              </w:rPr>
            </w:pPr>
            <w:r>
              <w:rPr>
                <w:rFonts w:hint="eastAsia"/>
                <w:color w:val="auto"/>
                <w:highlight w:val="none"/>
              </w:rPr>
              <w:t>T</w:t>
            </w:r>
            <w:r>
              <w:rPr>
                <w:color w:val="auto"/>
                <w:highlight w:val="none"/>
              </w:rPr>
              <w:t>(W) — 挖泥船疏浚效率</w:t>
            </w:r>
            <w:r>
              <w:rPr>
                <w:rFonts w:hint="eastAsia"/>
                <w:color w:val="auto"/>
                <w:highlight w:val="none"/>
                <w:lang w:eastAsia="zh-CN"/>
              </w:rPr>
              <w:t>，根据下列计算，</w:t>
            </w:r>
            <w:r>
              <w:rPr>
                <w:rFonts w:hint="eastAsia"/>
                <w:color w:val="auto"/>
                <w:highlight w:val="none"/>
                <w:lang w:val="en-US" w:eastAsia="zh-CN"/>
              </w:rPr>
              <w:t>10</w:t>
            </w:r>
            <w:r>
              <w:rPr>
                <w:color w:val="auto"/>
                <w:highlight w:val="none"/>
                <w:u w:val="none"/>
              </w:rPr>
              <w:t>m</w:t>
            </w:r>
            <w:r>
              <w:rPr>
                <w:color w:val="auto"/>
                <w:highlight w:val="none"/>
                <w:u w:val="none"/>
                <w:vertAlign w:val="superscript"/>
              </w:rPr>
              <w:t>3</w:t>
            </w:r>
            <w:r>
              <w:rPr>
                <w:rFonts w:hint="eastAsia"/>
                <w:color w:val="auto"/>
                <w:highlight w:val="none"/>
                <w:u w:val="none"/>
                <w:lang w:eastAsia="zh-CN"/>
              </w:rPr>
              <w:t>抓斗挖泥船</w:t>
            </w:r>
            <w:r>
              <w:rPr>
                <w:color w:val="auto"/>
                <w:highlight w:val="none"/>
                <w:u w:val="none"/>
              </w:rPr>
              <w:t>疏浚效率</w:t>
            </w:r>
            <w:r>
              <w:rPr>
                <w:rFonts w:hint="eastAsia"/>
                <w:color w:val="auto"/>
                <w:highlight w:val="none"/>
                <w:u w:val="none"/>
                <w:lang w:eastAsia="zh-CN"/>
              </w:rPr>
              <w:t>为</w:t>
            </w:r>
            <w:r>
              <w:rPr>
                <w:rFonts w:hint="eastAsia"/>
                <w:color w:val="auto"/>
                <w:highlight w:val="none"/>
                <w:u w:val="none"/>
                <w:lang w:val="en-US" w:eastAsia="zh-CN"/>
              </w:rPr>
              <w:t>390</w:t>
            </w:r>
            <w:r>
              <w:rPr>
                <w:color w:val="auto"/>
                <w:highlight w:val="none"/>
                <w:u w:val="none"/>
              </w:rPr>
              <w:t>m</w:t>
            </w:r>
            <w:r>
              <w:rPr>
                <w:color w:val="auto"/>
                <w:highlight w:val="none"/>
                <w:u w:val="none"/>
                <w:vertAlign w:val="superscript"/>
              </w:rPr>
              <w:t>3</w:t>
            </w:r>
            <w:r>
              <w:rPr>
                <w:color w:val="auto"/>
                <w:highlight w:val="none"/>
                <w:u w:val="none"/>
              </w:rPr>
              <w:t>/h</w:t>
            </w:r>
            <w:r>
              <w:rPr>
                <w:rFonts w:hint="eastAsia"/>
                <w:color w:val="auto"/>
                <w:highlight w:val="none"/>
                <w:u w:val="none"/>
                <w:lang w:eastAsia="zh-CN"/>
              </w:rPr>
              <w:t>，</w:t>
            </w:r>
            <w:r>
              <w:rPr>
                <w:rFonts w:hint="eastAsia"/>
                <w:color w:val="auto"/>
                <w:highlight w:val="none"/>
                <w:u w:val="none"/>
                <w:lang w:val="en-US" w:eastAsia="zh-CN"/>
              </w:rPr>
              <w:t>3500</w:t>
            </w:r>
            <w:r>
              <w:rPr>
                <w:color w:val="auto"/>
                <w:highlight w:val="none"/>
                <w:u w:val="none"/>
              </w:rPr>
              <w:t>m</w:t>
            </w:r>
            <w:r>
              <w:rPr>
                <w:color w:val="auto"/>
                <w:highlight w:val="none"/>
                <w:u w:val="none"/>
                <w:vertAlign w:val="superscript"/>
              </w:rPr>
              <w:t>3</w:t>
            </w:r>
            <w:r>
              <w:rPr>
                <w:rFonts w:hint="eastAsia"/>
                <w:color w:val="auto"/>
                <w:highlight w:val="none"/>
                <w:u w:val="none"/>
                <w:lang w:eastAsia="zh-CN"/>
              </w:rPr>
              <w:t>耙吸船</w:t>
            </w:r>
            <w:r>
              <w:rPr>
                <w:color w:val="auto"/>
                <w:highlight w:val="none"/>
                <w:u w:val="none"/>
              </w:rPr>
              <w:t>挖泥效率为</w:t>
            </w:r>
            <w:r>
              <w:rPr>
                <w:rFonts w:hint="eastAsia"/>
                <w:color w:val="auto"/>
                <w:highlight w:val="none"/>
                <w:u w:val="none"/>
                <w:lang w:val="en-US" w:eastAsia="zh-CN"/>
              </w:rPr>
              <w:t>470.4</w:t>
            </w:r>
            <w:r>
              <w:rPr>
                <w:color w:val="auto"/>
                <w:highlight w:val="none"/>
                <w:u w:val="none"/>
              </w:rPr>
              <w:t>m</w:t>
            </w:r>
            <w:r>
              <w:rPr>
                <w:color w:val="auto"/>
                <w:highlight w:val="none"/>
                <w:u w:val="none"/>
                <w:vertAlign w:val="superscript"/>
              </w:rPr>
              <w:t>3</w:t>
            </w:r>
            <w:r>
              <w:rPr>
                <w:color w:val="auto"/>
                <w:highlight w:val="none"/>
                <w:u w:val="none"/>
              </w:rPr>
              <w:t>/h</w:t>
            </w:r>
            <w:r>
              <w:rPr>
                <w:rFonts w:hint="eastAsia"/>
                <w:color w:val="auto"/>
                <w:highlight w:val="none"/>
                <w:u w:val="none"/>
              </w:rPr>
              <w:t>；</w:t>
            </w:r>
          </w:p>
          <w:p w14:paraId="582E94F3">
            <w:pPr>
              <w:pStyle w:val="201"/>
              <w:ind w:firstLine="453"/>
              <w:rPr>
                <w:rFonts w:hint="default" w:eastAsia="宋体"/>
                <w:color w:val="auto"/>
                <w:highlight w:val="none"/>
                <w:u w:val="none"/>
                <w:lang w:val="en-US" w:eastAsia="zh-CN"/>
              </w:rPr>
            </w:pPr>
            <w:r>
              <w:rPr>
                <w:rFonts w:hint="eastAsia"/>
                <w:color w:val="auto"/>
                <w:highlight w:val="none"/>
                <w:u w:val="none"/>
                <w:lang w:eastAsia="zh-CN"/>
              </w:rPr>
              <w:t>经计算，项目</w:t>
            </w:r>
            <w:r>
              <w:rPr>
                <w:rFonts w:hint="eastAsia"/>
                <w:color w:val="auto"/>
                <w:highlight w:val="none"/>
                <w:lang w:val="en-US" w:eastAsia="zh-CN"/>
              </w:rPr>
              <w:t>10</w:t>
            </w:r>
            <w:r>
              <w:rPr>
                <w:color w:val="auto"/>
                <w:highlight w:val="none"/>
                <w:u w:val="none"/>
              </w:rPr>
              <w:t>m</w:t>
            </w:r>
            <w:r>
              <w:rPr>
                <w:color w:val="auto"/>
                <w:highlight w:val="none"/>
                <w:u w:val="none"/>
                <w:vertAlign w:val="superscript"/>
              </w:rPr>
              <w:t>3</w:t>
            </w:r>
            <w:r>
              <w:rPr>
                <w:rFonts w:hint="eastAsia"/>
                <w:color w:val="auto"/>
                <w:highlight w:val="none"/>
                <w:u w:val="none"/>
                <w:lang w:eastAsia="zh-CN"/>
              </w:rPr>
              <w:t>抓斗挖泥船产生的悬浮物源强为</w:t>
            </w:r>
            <w:r>
              <w:rPr>
                <w:rFonts w:hint="eastAsia"/>
                <w:color w:val="auto"/>
                <w:highlight w:val="none"/>
                <w:u w:val="none"/>
                <w:lang w:val="en-US" w:eastAsia="zh-CN"/>
              </w:rPr>
              <w:t>4.58kg/h，3500</w:t>
            </w:r>
            <w:r>
              <w:rPr>
                <w:color w:val="auto"/>
                <w:highlight w:val="none"/>
                <w:u w:val="none"/>
              </w:rPr>
              <w:t>m</w:t>
            </w:r>
            <w:r>
              <w:rPr>
                <w:color w:val="auto"/>
                <w:highlight w:val="none"/>
                <w:u w:val="none"/>
                <w:vertAlign w:val="superscript"/>
              </w:rPr>
              <w:t>3</w:t>
            </w:r>
            <w:r>
              <w:rPr>
                <w:rFonts w:hint="eastAsia"/>
                <w:color w:val="auto"/>
                <w:highlight w:val="none"/>
                <w:u w:val="none"/>
                <w:lang w:eastAsia="zh-CN"/>
              </w:rPr>
              <w:t>耙吸船产生的悬浮物源强为</w:t>
            </w:r>
            <w:r>
              <w:rPr>
                <w:rFonts w:hint="eastAsia"/>
                <w:color w:val="auto"/>
                <w:highlight w:val="none"/>
                <w:u w:val="none"/>
                <w:lang w:val="en-US" w:eastAsia="zh-CN"/>
              </w:rPr>
              <w:t>5.52kg/h。</w:t>
            </w:r>
          </w:p>
          <w:p w14:paraId="43AEE3DC">
            <w:pPr>
              <w:pStyle w:val="43"/>
              <w:tabs>
                <w:tab w:val="left" w:pos="216"/>
              </w:tabs>
              <w:ind w:firstLine="482" w:firstLineChars="200"/>
              <w:rPr>
                <w:rFonts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①抓斗挖泥船生产效率计算</w:t>
            </w:r>
          </w:p>
          <w:p w14:paraId="78FEBEB1">
            <w:pPr>
              <w:pStyle w:val="43"/>
              <w:tabs>
                <w:tab w:val="left" w:pos="216"/>
              </w:tabs>
              <w:ind w:firstLine="420" w:firstLineChars="200"/>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highlight w:val="none"/>
                <w:u w:val="single"/>
                <w:lang w:val="en-US" w:eastAsia="zh-CN"/>
              </w:rPr>
              <w:t>根据《</w:t>
            </w:r>
            <w:r>
              <w:rPr>
                <w:rFonts w:hint="eastAsia" w:ascii="Times New Roman" w:hAnsi="Times New Roman" w:eastAsia="宋体" w:cs="Times New Roman"/>
                <w:color w:val="auto"/>
                <w:highlight w:val="none"/>
                <w:u w:val="single"/>
                <w:lang w:val="en-US" w:eastAsia="zh-CN"/>
              </w:rPr>
              <w:t>疏浚与吹填工程设计规范</w:t>
            </w:r>
            <w:r>
              <w:rPr>
                <w:rFonts w:ascii="Times New Roman" w:hAnsi="Times New Roman" w:eastAsia="宋体" w:cs="Times New Roman"/>
                <w:color w:val="auto"/>
                <w:highlight w:val="none"/>
                <w:u w:val="single"/>
                <w:lang w:val="en-US" w:eastAsia="zh-CN"/>
              </w:rPr>
              <w:t>》（JT</w:t>
            </w:r>
            <w:r>
              <w:rPr>
                <w:rFonts w:hint="eastAsia" w:ascii="Times New Roman" w:hAnsi="Times New Roman" w:eastAsia="宋体" w:cs="Times New Roman"/>
                <w:color w:val="auto"/>
                <w:highlight w:val="none"/>
                <w:u w:val="single"/>
                <w:lang w:val="en-US" w:eastAsia="zh-CN"/>
              </w:rPr>
              <w:t>S181-5-2012</w:t>
            </w:r>
            <w:r>
              <w:rPr>
                <w:rFonts w:ascii="Times New Roman" w:hAnsi="Times New Roman" w:eastAsia="宋体" w:cs="Times New Roman"/>
                <w:color w:val="auto"/>
                <w:highlight w:val="none"/>
                <w:u w:val="single"/>
                <w:lang w:val="en-US" w:eastAsia="zh-CN"/>
              </w:rPr>
              <w:t>）</w:t>
            </w:r>
            <w:r>
              <w:rPr>
                <w:rFonts w:ascii="Times New Roman" w:hAnsi="Times New Roman" w:eastAsia="宋体" w:cs="Times New Roman"/>
                <w:color w:val="auto"/>
                <w:kern w:val="2"/>
                <w:sz w:val="24"/>
                <w:szCs w:val="24"/>
                <w:highlight w:val="none"/>
                <w:lang w:val="en-US" w:eastAsia="zh-CN" w:bidi="ar-SA"/>
              </w:rPr>
              <w:t>，挖泥船疏浚效率计算如下：</w:t>
            </w:r>
          </w:p>
          <w:p w14:paraId="4D570A74">
            <w:pPr>
              <w:pStyle w:val="43"/>
              <w:ind w:firstLine="227"/>
              <w:jc w:val="center"/>
              <w:rPr>
                <w:color w:val="auto"/>
                <w:highlight w:val="none"/>
              </w:rPr>
            </w:pPr>
            <w:r>
              <w:rPr>
                <w:color w:val="auto"/>
                <w:highlight w:val="none"/>
              </w:rPr>
              <w:drawing>
                <wp:inline distT="0" distB="0" distL="114300" distR="114300">
                  <wp:extent cx="1724660" cy="551180"/>
                  <wp:effectExtent l="0" t="0" r="8890" b="1270"/>
                  <wp:docPr id="4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1"/>
                          <pic:cNvPicPr>
                            <a:picLocks noChangeAspect="1"/>
                          </pic:cNvPicPr>
                        </pic:nvPicPr>
                        <pic:blipFill>
                          <a:blip r:embed="rId46"/>
                          <a:stretch>
                            <a:fillRect/>
                          </a:stretch>
                        </pic:blipFill>
                        <pic:spPr>
                          <a:xfrm>
                            <a:off x="0" y="0"/>
                            <a:ext cx="1724660" cy="551180"/>
                          </a:xfrm>
                          <a:prstGeom prst="rect">
                            <a:avLst/>
                          </a:prstGeom>
                          <a:noFill/>
                          <a:ln>
                            <a:noFill/>
                          </a:ln>
                        </pic:spPr>
                      </pic:pic>
                    </a:graphicData>
                  </a:graphic>
                </wp:inline>
              </w:drawing>
            </w:r>
          </w:p>
          <w:p w14:paraId="7A7BAE3A">
            <w:pPr>
              <w:pStyle w:val="43"/>
              <w:ind w:firstLine="420" w:firstLineChars="200"/>
              <w:rPr>
                <w:color w:val="auto"/>
                <w:highlight w:val="none"/>
              </w:rPr>
            </w:pPr>
            <w:r>
              <w:rPr>
                <w:color w:val="auto"/>
                <w:highlight w:val="none"/>
              </w:rPr>
              <w:t>式中：</w:t>
            </w:r>
          </w:p>
          <w:p w14:paraId="6EB9144B">
            <w:pPr>
              <w:pStyle w:val="43"/>
              <w:tabs>
                <w:tab w:val="left" w:pos="216"/>
              </w:tabs>
              <w:ind w:firstLine="480" w:firstLineChars="200"/>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W—抓斗挖泥船小时生产率，m</w:t>
            </w:r>
            <w:r>
              <w:rPr>
                <w:rFonts w:ascii="Times New Roman" w:hAnsi="Times New Roman" w:eastAsia="宋体" w:cs="Times New Roman"/>
                <w:color w:val="auto"/>
                <w:kern w:val="2"/>
                <w:sz w:val="24"/>
                <w:szCs w:val="24"/>
                <w:highlight w:val="none"/>
                <w:vertAlign w:val="superscript"/>
                <w:lang w:val="en-US" w:eastAsia="zh-CN" w:bidi="ar-SA"/>
              </w:rPr>
              <w:t>3</w:t>
            </w:r>
            <w:r>
              <w:rPr>
                <w:rFonts w:ascii="Times New Roman" w:hAnsi="Times New Roman" w:eastAsia="宋体" w:cs="Times New Roman"/>
                <w:color w:val="auto"/>
                <w:kern w:val="2"/>
                <w:sz w:val="24"/>
                <w:szCs w:val="24"/>
                <w:highlight w:val="none"/>
                <w:lang w:val="en-US" w:eastAsia="zh-CN" w:bidi="ar-SA"/>
              </w:rPr>
              <w:t>/h；</w:t>
            </w:r>
          </w:p>
          <w:p w14:paraId="694F9527">
            <w:pPr>
              <w:pStyle w:val="201"/>
              <w:ind w:firstLine="453"/>
              <w:rPr>
                <w:color w:val="auto"/>
                <w:highlight w:val="none"/>
                <w:u w:val="none"/>
              </w:rPr>
            </w:pPr>
            <w:r>
              <w:rPr>
                <w:color w:val="auto"/>
                <w:highlight w:val="none"/>
                <w:u w:val="none"/>
              </w:rPr>
              <w:t>n—每小时抓取数，本评价按120S/斗计</w:t>
            </w:r>
            <w:r>
              <w:rPr>
                <w:rFonts w:hint="eastAsia"/>
                <w:color w:val="auto"/>
                <w:highlight w:val="none"/>
                <w:u w:val="none"/>
                <w:lang w:eastAsia="zh-CN"/>
              </w:rPr>
              <w:t>，每小时抓取</w:t>
            </w:r>
            <w:r>
              <w:rPr>
                <w:rFonts w:hint="eastAsia"/>
                <w:color w:val="auto"/>
                <w:highlight w:val="none"/>
                <w:u w:val="none"/>
                <w:lang w:val="en-US" w:eastAsia="zh-CN"/>
              </w:rPr>
              <w:t>30次</w:t>
            </w:r>
            <w:r>
              <w:rPr>
                <w:color w:val="auto"/>
                <w:highlight w:val="none"/>
                <w:u w:val="none"/>
              </w:rPr>
              <w:t>；</w:t>
            </w:r>
          </w:p>
          <w:p w14:paraId="5AB31EA3">
            <w:pPr>
              <w:pStyle w:val="201"/>
              <w:ind w:firstLine="453"/>
              <w:rPr>
                <w:color w:val="auto"/>
                <w:highlight w:val="none"/>
              </w:rPr>
            </w:pPr>
            <w:r>
              <w:rPr>
                <w:color w:val="auto"/>
                <w:highlight w:val="none"/>
              </w:rPr>
              <w:t>c—抓斗容量，本工程水下开挖挖泥船抓斗容量为</w:t>
            </w:r>
            <w:r>
              <w:rPr>
                <w:rFonts w:hint="eastAsia"/>
                <w:color w:val="auto"/>
                <w:highlight w:val="none"/>
                <w:lang w:val="en-US" w:eastAsia="zh-CN"/>
              </w:rPr>
              <w:t>10</w:t>
            </w:r>
            <w:r>
              <w:rPr>
                <w:color w:val="auto"/>
                <w:highlight w:val="none"/>
              </w:rPr>
              <w:t>m</w:t>
            </w:r>
            <w:r>
              <w:rPr>
                <w:color w:val="auto"/>
                <w:highlight w:val="none"/>
                <w:vertAlign w:val="superscript"/>
              </w:rPr>
              <w:t>3</w:t>
            </w:r>
            <w:r>
              <w:rPr>
                <w:color w:val="auto"/>
                <w:highlight w:val="none"/>
              </w:rPr>
              <w:t>；</w:t>
            </w:r>
          </w:p>
          <w:p w14:paraId="11EB0CE9">
            <w:pPr>
              <w:pStyle w:val="201"/>
              <w:ind w:firstLine="453"/>
              <w:rPr>
                <w:color w:val="auto"/>
                <w:highlight w:val="none"/>
              </w:rPr>
            </w:pPr>
            <w:r>
              <w:rPr>
                <w:color w:val="auto"/>
                <w:highlight w:val="none"/>
              </w:rPr>
              <w:t>B—土的搅松系数，</w:t>
            </w:r>
            <w:r>
              <w:rPr>
                <w:rFonts w:hint="eastAsia"/>
                <w:color w:val="auto"/>
                <w:highlight w:val="none"/>
                <w:u w:val="single"/>
                <w:lang w:eastAsia="zh-CN"/>
              </w:rPr>
              <w:t>淤泥质土搅松系数为</w:t>
            </w:r>
            <w:r>
              <w:rPr>
                <w:rFonts w:hint="eastAsia"/>
                <w:color w:val="auto"/>
                <w:highlight w:val="none"/>
                <w:u w:val="single"/>
                <w:lang w:val="en-US" w:eastAsia="zh-CN"/>
              </w:rPr>
              <w:t>1.00~1.10。</w:t>
            </w:r>
            <w:r>
              <w:rPr>
                <w:color w:val="auto"/>
                <w:highlight w:val="none"/>
              </w:rPr>
              <w:t>本评价取1；</w:t>
            </w:r>
          </w:p>
          <w:p w14:paraId="67A7F62D">
            <w:pPr>
              <w:pStyle w:val="201"/>
              <w:ind w:firstLine="453"/>
              <w:rPr>
                <w:color w:val="auto"/>
                <w:highlight w:val="none"/>
                <w:u w:val="single"/>
              </w:rPr>
            </w:pPr>
            <w:r>
              <w:rPr>
                <w:color w:val="auto"/>
                <w:highlight w:val="none"/>
              </w:rPr>
              <w:t>f</w:t>
            </w:r>
            <w:r>
              <w:rPr>
                <w:color w:val="auto"/>
                <w:highlight w:val="none"/>
                <w:vertAlign w:val="subscript"/>
              </w:rPr>
              <w:t>m</w:t>
            </w:r>
            <w:r>
              <w:rPr>
                <w:color w:val="auto"/>
                <w:highlight w:val="none"/>
              </w:rPr>
              <w:t>—抓斗充泥系数，</w:t>
            </w:r>
            <w:r>
              <w:rPr>
                <w:rFonts w:hint="eastAsia"/>
                <w:color w:val="auto"/>
                <w:highlight w:val="none"/>
                <w:lang w:val="en-US" w:eastAsia="zh-CN"/>
              </w:rPr>
              <w:t>f</w:t>
            </w:r>
            <w:r>
              <w:rPr>
                <w:rFonts w:hint="eastAsia"/>
                <w:color w:val="auto"/>
                <w:highlight w:val="none"/>
                <w:vertAlign w:val="subscript"/>
                <w:lang w:val="en-US" w:eastAsia="zh-CN"/>
              </w:rPr>
              <w:t>m</w:t>
            </w:r>
            <w:r>
              <w:rPr>
                <w:rFonts w:hint="eastAsia"/>
                <w:color w:val="auto"/>
                <w:highlight w:val="none"/>
                <w:lang w:val="en-US" w:eastAsia="zh-CN"/>
              </w:rPr>
              <w:t>值对于淤泥可取1.2~1.5；对于砂或砂质粘土可取 0.9~1.1；对于石质土，f</w:t>
            </w:r>
            <w:r>
              <w:rPr>
                <w:rFonts w:hint="eastAsia"/>
                <w:color w:val="auto"/>
                <w:highlight w:val="none"/>
                <w:vertAlign w:val="subscript"/>
                <w:lang w:val="en-US" w:eastAsia="zh-CN"/>
              </w:rPr>
              <w:t>m</w:t>
            </w:r>
            <w:r>
              <w:rPr>
                <w:rFonts w:hint="eastAsia"/>
                <w:color w:val="auto"/>
                <w:highlight w:val="none"/>
                <w:lang w:val="en-US" w:eastAsia="zh-CN"/>
              </w:rPr>
              <w:t>可取0.3~0.6.，</w:t>
            </w:r>
            <w:r>
              <w:rPr>
                <w:rFonts w:hint="eastAsia"/>
                <w:color w:val="auto"/>
                <w:highlight w:val="none"/>
                <w:u w:val="single"/>
                <w:lang w:val="en-US" w:eastAsia="zh-CN"/>
              </w:rPr>
              <w:t>本项目95.9%的疏浚物为淤泥类，</w:t>
            </w:r>
            <w:r>
              <w:rPr>
                <w:color w:val="auto"/>
                <w:highlight w:val="none"/>
                <w:u w:val="single"/>
              </w:rPr>
              <w:t>本评价取</w:t>
            </w:r>
            <w:r>
              <w:rPr>
                <w:rFonts w:hint="eastAsia"/>
                <w:color w:val="auto"/>
                <w:highlight w:val="none"/>
                <w:u w:val="single"/>
                <w:lang w:val="en-US" w:eastAsia="zh-CN"/>
              </w:rPr>
              <w:t>1.3</w:t>
            </w:r>
            <w:r>
              <w:rPr>
                <w:color w:val="auto"/>
                <w:highlight w:val="none"/>
                <w:u w:val="single"/>
              </w:rPr>
              <w:t>。</w:t>
            </w:r>
          </w:p>
          <w:p w14:paraId="128F4E51">
            <w:pPr>
              <w:pStyle w:val="201"/>
              <w:ind w:firstLine="453"/>
              <w:rPr>
                <w:rFonts w:hint="eastAsia" w:eastAsia="宋体"/>
                <w:color w:val="auto"/>
                <w:highlight w:val="none"/>
                <w:u w:val="none"/>
                <w:lang w:eastAsia="zh-CN"/>
              </w:rPr>
            </w:pPr>
            <w:r>
              <w:rPr>
                <w:color w:val="auto"/>
                <w:highlight w:val="none"/>
                <w:u w:val="none"/>
              </w:rPr>
              <w:t>由上式计算可知，</w:t>
            </w:r>
            <w:r>
              <w:rPr>
                <w:rFonts w:hint="eastAsia"/>
                <w:color w:val="auto"/>
                <w:highlight w:val="none"/>
                <w:u w:val="none"/>
                <w:lang w:val="en-US" w:eastAsia="zh-CN"/>
              </w:rPr>
              <w:t>10</w:t>
            </w:r>
            <w:r>
              <w:rPr>
                <w:color w:val="auto"/>
                <w:highlight w:val="none"/>
                <w:u w:val="none"/>
              </w:rPr>
              <w:t>m</w:t>
            </w:r>
            <w:r>
              <w:rPr>
                <w:color w:val="auto"/>
                <w:highlight w:val="none"/>
                <w:u w:val="none"/>
                <w:vertAlign w:val="superscript"/>
              </w:rPr>
              <w:t>3</w:t>
            </w:r>
            <w:r>
              <w:rPr>
                <w:rFonts w:hint="eastAsia"/>
                <w:color w:val="auto"/>
                <w:highlight w:val="none"/>
                <w:u w:val="none"/>
              </w:rPr>
              <w:t>抓斗</w:t>
            </w:r>
            <w:r>
              <w:rPr>
                <w:color w:val="auto"/>
                <w:highlight w:val="none"/>
                <w:u w:val="none"/>
              </w:rPr>
              <w:t>挖泥船挖泥效率为</w:t>
            </w:r>
            <w:r>
              <w:rPr>
                <w:rFonts w:hint="eastAsia"/>
                <w:color w:val="auto"/>
                <w:highlight w:val="none"/>
                <w:u w:val="none"/>
                <w:lang w:val="en-US" w:eastAsia="zh-CN"/>
              </w:rPr>
              <w:t>390</w:t>
            </w:r>
            <w:r>
              <w:rPr>
                <w:color w:val="auto"/>
                <w:highlight w:val="none"/>
                <w:u w:val="none"/>
              </w:rPr>
              <w:t>m</w:t>
            </w:r>
            <w:r>
              <w:rPr>
                <w:color w:val="auto"/>
                <w:highlight w:val="none"/>
                <w:u w:val="none"/>
                <w:vertAlign w:val="superscript"/>
              </w:rPr>
              <w:t>3</w:t>
            </w:r>
            <w:r>
              <w:rPr>
                <w:color w:val="auto"/>
                <w:highlight w:val="none"/>
                <w:u w:val="none"/>
              </w:rPr>
              <w:t>/h</w:t>
            </w:r>
            <w:r>
              <w:rPr>
                <w:rFonts w:hint="eastAsia"/>
                <w:color w:val="auto"/>
                <w:highlight w:val="none"/>
                <w:u w:val="none"/>
                <w:lang w:eastAsia="zh-CN"/>
              </w:rPr>
              <w:t>。</w:t>
            </w:r>
          </w:p>
          <w:p w14:paraId="6EAF3CF6">
            <w:pPr>
              <w:pStyle w:val="201"/>
              <w:ind w:firstLine="453"/>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②耙吸装舱生产率计算</w:t>
            </w:r>
          </w:p>
          <w:p w14:paraId="063D82F0">
            <w:pPr>
              <w:pStyle w:val="201"/>
              <w:ind w:firstLine="453"/>
              <w:rPr>
                <w:rFonts w:hint="eastAsia"/>
                <w:color w:val="auto"/>
                <w:highlight w:val="none"/>
                <w:u w:val="none"/>
                <w:lang w:eastAsia="zh-CN"/>
              </w:rPr>
            </w:pPr>
            <w:r>
              <w:rPr>
                <w:rFonts w:hint="eastAsia"/>
                <w:color w:val="auto"/>
                <w:highlight w:val="none"/>
                <w:u w:val="none"/>
                <w:lang w:eastAsia="zh-CN"/>
              </w:rPr>
              <w:t>根据</w:t>
            </w:r>
            <w:r>
              <w:rPr>
                <w:rFonts w:ascii="Times New Roman" w:hAnsi="Times New Roman" w:eastAsia="宋体" w:cs="Times New Roman"/>
                <w:color w:val="auto"/>
                <w:highlight w:val="none"/>
                <w:u w:val="single"/>
                <w:lang w:val="en-US" w:eastAsia="zh-CN"/>
              </w:rPr>
              <w:t>《</w:t>
            </w:r>
            <w:r>
              <w:rPr>
                <w:rFonts w:hint="eastAsia" w:ascii="Times New Roman" w:hAnsi="Times New Roman" w:eastAsia="宋体" w:cs="Times New Roman"/>
                <w:color w:val="auto"/>
                <w:highlight w:val="none"/>
                <w:u w:val="single"/>
                <w:lang w:val="en-US" w:eastAsia="zh-CN"/>
              </w:rPr>
              <w:t>疏浚与吹填工程设计规范</w:t>
            </w:r>
            <w:r>
              <w:rPr>
                <w:rFonts w:ascii="Times New Roman" w:hAnsi="Times New Roman" w:eastAsia="宋体" w:cs="Times New Roman"/>
                <w:color w:val="auto"/>
                <w:highlight w:val="none"/>
                <w:u w:val="single"/>
                <w:lang w:val="en-US" w:eastAsia="zh-CN"/>
              </w:rPr>
              <w:t>》（JT</w:t>
            </w:r>
            <w:r>
              <w:rPr>
                <w:rFonts w:hint="eastAsia" w:ascii="Times New Roman" w:hAnsi="Times New Roman" w:eastAsia="宋体" w:cs="Times New Roman"/>
                <w:color w:val="auto"/>
                <w:highlight w:val="none"/>
                <w:u w:val="single"/>
                <w:lang w:val="en-US" w:eastAsia="zh-CN"/>
              </w:rPr>
              <w:t>S181-5-2012</w:t>
            </w:r>
            <w:r>
              <w:rPr>
                <w:rFonts w:ascii="Times New Roman" w:hAnsi="Times New Roman" w:eastAsia="宋体" w:cs="Times New Roman"/>
                <w:color w:val="auto"/>
                <w:highlight w:val="none"/>
                <w:u w:val="single"/>
                <w:lang w:val="en-US" w:eastAsia="zh-CN"/>
              </w:rPr>
              <w:t>）</w:t>
            </w:r>
            <w:r>
              <w:rPr>
                <w:rFonts w:hint="eastAsia" w:ascii="Times New Roman" w:hAnsi="Times New Roman" w:eastAsia="宋体" w:cs="Times New Roman"/>
                <w:color w:val="auto"/>
                <w:highlight w:val="none"/>
                <w:u w:val="single"/>
                <w:lang w:val="en-US" w:eastAsia="zh-CN"/>
              </w:rPr>
              <w:t>，</w:t>
            </w:r>
            <w:r>
              <w:rPr>
                <w:rFonts w:hint="eastAsia" w:ascii="Times New Roman" w:hAnsi="Times New Roman" w:eastAsia="宋体" w:cs="Times New Roman"/>
                <w:color w:val="auto"/>
                <w:kern w:val="2"/>
                <w:sz w:val="24"/>
                <w:szCs w:val="24"/>
                <w:highlight w:val="none"/>
                <w:u w:val="none"/>
                <w:lang w:val="en-US" w:eastAsia="zh-CN" w:bidi="ar-SA"/>
              </w:rPr>
              <w:t>耙吸装舱施工的循环运转小时生产率计算：</w:t>
            </w:r>
          </w:p>
          <w:p w14:paraId="05FA2488">
            <w:pPr>
              <w:pStyle w:val="201"/>
              <w:spacing w:line="240" w:lineRule="auto"/>
              <w:ind w:firstLine="453"/>
              <w:jc w:val="center"/>
              <w:rPr>
                <w:color w:val="auto"/>
                <w:highlight w:val="none"/>
              </w:rPr>
            </w:pPr>
            <w:r>
              <w:rPr>
                <w:color w:val="auto"/>
                <w:highlight w:val="none"/>
              </w:rPr>
              <w:drawing>
                <wp:inline distT="0" distB="0" distL="114300" distR="114300">
                  <wp:extent cx="2371725" cy="692785"/>
                  <wp:effectExtent l="0" t="0" r="9525" b="12065"/>
                  <wp:docPr id="4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2"/>
                          <pic:cNvPicPr>
                            <a:picLocks noChangeAspect="1"/>
                          </pic:cNvPicPr>
                        </pic:nvPicPr>
                        <pic:blipFill>
                          <a:blip r:embed="rId47"/>
                          <a:stretch>
                            <a:fillRect/>
                          </a:stretch>
                        </pic:blipFill>
                        <pic:spPr>
                          <a:xfrm>
                            <a:off x="0" y="0"/>
                            <a:ext cx="2371725" cy="692785"/>
                          </a:xfrm>
                          <a:prstGeom prst="rect">
                            <a:avLst/>
                          </a:prstGeom>
                          <a:noFill/>
                          <a:ln>
                            <a:noFill/>
                          </a:ln>
                        </pic:spPr>
                      </pic:pic>
                    </a:graphicData>
                  </a:graphic>
                </wp:inline>
              </w:drawing>
            </w:r>
          </w:p>
          <w:p w14:paraId="0C9F35C0">
            <w:pPr>
              <w:pStyle w:val="201"/>
              <w:ind w:firstLine="453"/>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式中：</w:t>
            </w:r>
          </w:p>
          <w:p w14:paraId="13A7458D">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eastAsia="zh-CN"/>
              </w:rPr>
              <w:t>W</w:t>
            </w:r>
            <w:r>
              <w:rPr>
                <w:color w:val="auto"/>
                <w:highlight w:val="none"/>
                <w:u w:val="none"/>
              </w:rPr>
              <w:t>—</w:t>
            </w:r>
            <w:r>
              <w:rPr>
                <w:rFonts w:hint="eastAsia" w:ascii="Times New Roman" w:hAnsi="Times New Roman" w:eastAsia="宋体" w:cs="Times New Roman"/>
                <w:color w:val="auto"/>
                <w:highlight w:val="none"/>
                <w:u w:val="none"/>
                <w:lang w:eastAsia="zh-CN"/>
              </w:rPr>
              <w:t>耙吸装舱循环运转小时生产率(m</w:t>
            </w:r>
            <w:r>
              <w:rPr>
                <w:rFonts w:hint="eastAsia" w:ascii="Times New Roman" w:hAnsi="Times New Roman" w:eastAsia="宋体" w:cs="Times New Roman"/>
                <w:color w:val="auto"/>
                <w:highlight w:val="none"/>
                <w:u w:val="none"/>
                <w:vertAlign w:val="superscript"/>
                <w:lang w:val="en-US" w:eastAsia="zh-CN"/>
              </w:rPr>
              <w:t>3</w:t>
            </w:r>
            <w:r>
              <w:rPr>
                <w:rFonts w:hint="eastAsia" w:ascii="Times New Roman" w:hAnsi="Times New Roman" w:eastAsia="宋体" w:cs="Times New Roman"/>
                <w:color w:val="auto"/>
                <w:highlight w:val="none"/>
                <w:u w:val="none"/>
                <w:lang w:eastAsia="zh-CN"/>
              </w:rPr>
              <w:t>/h);</w:t>
            </w:r>
          </w:p>
          <w:p w14:paraId="78DB6F9F">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q</w:t>
            </w:r>
            <w:r>
              <w:rPr>
                <w:rFonts w:hint="eastAsia" w:ascii="Times New Roman" w:hAnsi="Times New Roman" w:eastAsia="宋体" w:cs="Times New Roman"/>
                <w:color w:val="auto"/>
                <w:highlight w:val="none"/>
                <w:u w:val="none"/>
                <w:vertAlign w:val="subscript"/>
                <w:lang w:val="en-US" w:eastAsia="zh-CN"/>
              </w:rPr>
              <w:t>1</w:t>
            </w:r>
            <w:r>
              <w:rPr>
                <w:color w:val="auto"/>
                <w:highlight w:val="none"/>
                <w:u w:val="none"/>
              </w:rPr>
              <w:t>—</w:t>
            </w:r>
            <w:r>
              <w:rPr>
                <w:rFonts w:hint="eastAsia" w:ascii="Times New Roman" w:hAnsi="Times New Roman" w:eastAsia="宋体" w:cs="Times New Roman"/>
                <w:color w:val="auto"/>
                <w:highlight w:val="none"/>
                <w:u w:val="none"/>
                <w:lang w:eastAsia="zh-CN"/>
              </w:rPr>
              <w:t>泥舱装载土方量(m</w:t>
            </w:r>
            <w:r>
              <w:rPr>
                <w:rFonts w:hint="eastAsia" w:ascii="Times New Roman" w:hAnsi="Times New Roman" w:eastAsia="宋体" w:cs="Times New Roman"/>
                <w:color w:val="auto"/>
                <w:highlight w:val="none"/>
                <w:u w:val="none"/>
                <w:vertAlign w:val="superscript"/>
                <w:lang w:val="en-US" w:eastAsia="zh-CN"/>
              </w:rPr>
              <w:t>3</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single"/>
                <w:lang w:eastAsia="zh-CN"/>
              </w:rPr>
              <w:t>项目施工方案设计满仓为泥舱容量的</w:t>
            </w:r>
            <w:r>
              <w:rPr>
                <w:rFonts w:hint="eastAsia" w:ascii="Times New Roman" w:hAnsi="Times New Roman" w:eastAsia="宋体" w:cs="Times New Roman"/>
                <w:color w:val="auto"/>
                <w:highlight w:val="none"/>
                <w:u w:val="single"/>
                <w:lang w:val="en-US" w:eastAsia="zh-CN"/>
              </w:rPr>
              <w:t>85%，</w:t>
            </w:r>
            <w:r>
              <w:rPr>
                <w:rFonts w:hint="eastAsia" w:ascii="Times New Roman" w:hAnsi="Times New Roman" w:eastAsia="宋体" w:cs="Times New Roman"/>
                <w:color w:val="auto"/>
                <w:highlight w:val="none"/>
                <w:u w:val="none"/>
                <w:lang w:val="en-US" w:eastAsia="zh-CN"/>
              </w:rPr>
              <w:t>本评价取值2974</w:t>
            </w:r>
            <w:r>
              <w:rPr>
                <w:rFonts w:hint="eastAsia" w:ascii="Times New Roman" w:hAnsi="Times New Roman" w:eastAsia="宋体" w:cs="Times New Roman"/>
                <w:color w:val="auto"/>
                <w:highlight w:val="none"/>
                <w:u w:val="none"/>
                <w:lang w:eastAsia="zh-CN"/>
              </w:rPr>
              <w:t>m</w:t>
            </w:r>
            <w:r>
              <w:rPr>
                <w:rFonts w:hint="eastAsia" w:ascii="Times New Roman" w:hAnsi="Times New Roman" w:eastAsia="宋体" w:cs="Times New Roman"/>
                <w:color w:val="auto"/>
                <w:highlight w:val="none"/>
                <w:u w:val="none"/>
                <w:vertAlign w:val="superscript"/>
                <w:lang w:val="en-US" w:eastAsia="zh-CN"/>
              </w:rPr>
              <w:t>3</w:t>
            </w:r>
            <w:r>
              <w:rPr>
                <w:rFonts w:hint="eastAsia" w:ascii="Times New Roman" w:hAnsi="Times New Roman" w:eastAsia="宋体" w:cs="Times New Roman"/>
                <w:color w:val="auto"/>
                <w:highlight w:val="none"/>
                <w:u w:val="none"/>
                <w:lang w:val="en-US" w:eastAsia="zh-CN"/>
              </w:rPr>
              <w:t>；</w:t>
            </w:r>
          </w:p>
          <w:p w14:paraId="44C1650A">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l</w:t>
            </w:r>
            <w:r>
              <w:rPr>
                <w:rFonts w:hint="eastAsia" w:ascii="Times New Roman" w:hAnsi="Times New Roman" w:eastAsia="宋体" w:cs="Times New Roman"/>
                <w:color w:val="auto"/>
                <w:highlight w:val="none"/>
                <w:u w:val="none"/>
                <w:vertAlign w:val="subscript"/>
                <w:lang w:val="en-US" w:eastAsia="zh-CN"/>
              </w:rPr>
              <w:t>1</w:t>
            </w:r>
            <w:r>
              <w:rPr>
                <w:color w:val="auto"/>
                <w:highlight w:val="none"/>
                <w:u w:val="none"/>
              </w:rPr>
              <w:t>—</w:t>
            </w:r>
            <w:r>
              <w:rPr>
                <w:rFonts w:hint="eastAsia" w:ascii="Times New Roman" w:hAnsi="Times New Roman" w:eastAsia="宋体" w:cs="Times New Roman"/>
                <w:color w:val="auto"/>
                <w:highlight w:val="none"/>
                <w:u w:val="none"/>
                <w:lang w:eastAsia="zh-CN"/>
              </w:rPr>
              <w:t>重载航行地段长度(km)，</w:t>
            </w:r>
            <w:r>
              <w:rPr>
                <w:rFonts w:hint="eastAsia" w:ascii="Times New Roman" w:hAnsi="Times New Roman" w:eastAsia="宋体" w:cs="Times New Roman"/>
                <w:color w:val="auto"/>
                <w:highlight w:val="none"/>
                <w:u w:val="none"/>
                <w:lang w:val="en-US" w:eastAsia="zh-CN"/>
              </w:rPr>
              <w:t>本评价取45km；</w:t>
            </w:r>
          </w:p>
          <w:p w14:paraId="087E30C1">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v</w:t>
            </w:r>
            <w:r>
              <w:rPr>
                <w:rFonts w:hint="eastAsia" w:ascii="Times New Roman" w:hAnsi="Times New Roman" w:eastAsia="宋体" w:cs="Times New Roman"/>
                <w:color w:val="auto"/>
                <w:highlight w:val="none"/>
                <w:u w:val="none"/>
                <w:vertAlign w:val="subscript"/>
                <w:lang w:val="en-US" w:eastAsia="zh-CN"/>
              </w:rPr>
              <w:t>1</w:t>
            </w:r>
            <w:r>
              <w:rPr>
                <w:color w:val="auto"/>
                <w:highlight w:val="none"/>
                <w:u w:val="none"/>
              </w:rPr>
              <w:t>—</w:t>
            </w:r>
            <w:r>
              <w:rPr>
                <w:rFonts w:hint="eastAsia" w:ascii="Times New Roman" w:hAnsi="Times New Roman" w:eastAsia="宋体" w:cs="Times New Roman"/>
                <w:color w:val="auto"/>
                <w:highlight w:val="none"/>
                <w:u w:val="none"/>
                <w:lang w:eastAsia="zh-CN"/>
              </w:rPr>
              <w:t>重载航速(km/h)，本评价取</w:t>
            </w:r>
            <w:r>
              <w:rPr>
                <w:rFonts w:hint="eastAsia" w:ascii="Times New Roman" w:hAnsi="Times New Roman" w:eastAsia="宋体" w:cs="Times New Roman"/>
                <w:color w:val="auto"/>
                <w:highlight w:val="none"/>
                <w:u w:val="none"/>
                <w:lang w:val="en-US" w:eastAsia="zh-CN"/>
              </w:rPr>
              <w:t>18.52km/h（10kn）</w:t>
            </w:r>
            <w:r>
              <w:rPr>
                <w:rFonts w:hint="eastAsia" w:ascii="Times New Roman" w:hAnsi="Times New Roman" w:eastAsia="宋体" w:cs="Times New Roman"/>
                <w:color w:val="auto"/>
                <w:highlight w:val="none"/>
                <w:u w:val="none"/>
                <w:lang w:eastAsia="zh-CN"/>
              </w:rPr>
              <w:t>；</w:t>
            </w:r>
          </w:p>
          <w:p w14:paraId="73389490">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l</w:t>
            </w:r>
            <w:r>
              <w:rPr>
                <w:rFonts w:hint="eastAsia" w:ascii="Times New Roman" w:hAnsi="Times New Roman" w:eastAsia="宋体" w:cs="Times New Roman"/>
                <w:color w:val="auto"/>
                <w:highlight w:val="none"/>
                <w:u w:val="none"/>
                <w:vertAlign w:val="subscript"/>
                <w:lang w:val="en-US" w:eastAsia="zh-CN"/>
              </w:rPr>
              <w:t>2</w:t>
            </w:r>
            <w:r>
              <w:rPr>
                <w:color w:val="auto"/>
                <w:highlight w:val="none"/>
                <w:u w:val="none"/>
              </w:rPr>
              <w:t>—</w:t>
            </w:r>
            <w:r>
              <w:rPr>
                <w:rFonts w:hint="eastAsia" w:ascii="Times New Roman" w:hAnsi="Times New Roman" w:eastAsia="宋体" w:cs="Times New Roman"/>
                <w:color w:val="auto"/>
                <w:highlight w:val="none"/>
                <w:u w:val="none"/>
                <w:lang w:eastAsia="zh-CN"/>
              </w:rPr>
              <w:t>空载航行地段长度(km)</w:t>
            </w:r>
            <w:r>
              <w:rPr>
                <w:rFonts w:hint="eastAsia" w:ascii="Times New Roman" w:hAnsi="Times New Roman" w:eastAsia="宋体" w:cs="Times New Roman"/>
                <w:color w:val="auto"/>
                <w:highlight w:val="none"/>
                <w:u w:val="none"/>
                <w:lang w:val="en-US" w:eastAsia="zh-CN"/>
              </w:rPr>
              <w:t>，45km</w:t>
            </w:r>
            <w:r>
              <w:rPr>
                <w:rFonts w:hint="eastAsia" w:ascii="Times New Roman" w:hAnsi="Times New Roman" w:eastAsia="宋体" w:cs="Times New Roman"/>
                <w:color w:val="auto"/>
                <w:highlight w:val="none"/>
                <w:u w:val="none"/>
                <w:lang w:eastAsia="zh-CN"/>
              </w:rPr>
              <w:t>；</w:t>
            </w:r>
          </w:p>
          <w:p w14:paraId="76F3A074">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v</w:t>
            </w:r>
            <w:r>
              <w:rPr>
                <w:rFonts w:hint="eastAsia" w:ascii="Times New Roman" w:hAnsi="Times New Roman" w:eastAsia="宋体" w:cs="Times New Roman"/>
                <w:color w:val="auto"/>
                <w:highlight w:val="none"/>
                <w:u w:val="none"/>
                <w:vertAlign w:val="subscript"/>
                <w:lang w:val="en-US" w:eastAsia="zh-CN"/>
              </w:rPr>
              <w:t>2</w:t>
            </w:r>
            <w:r>
              <w:rPr>
                <w:color w:val="auto"/>
                <w:highlight w:val="none"/>
                <w:u w:val="none"/>
              </w:rPr>
              <w:t>—</w:t>
            </w:r>
            <w:r>
              <w:rPr>
                <w:rFonts w:hint="eastAsia" w:ascii="Times New Roman" w:hAnsi="Times New Roman" w:eastAsia="宋体" w:cs="Times New Roman"/>
                <w:color w:val="auto"/>
                <w:highlight w:val="none"/>
                <w:u w:val="none"/>
                <w:lang w:eastAsia="zh-CN"/>
              </w:rPr>
              <w:t>空载航速(km/h)，本评价取</w:t>
            </w:r>
            <w:r>
              <w:rPr>
                <w:rFonts w:hint="eastAsia" w:ascii="Times New Roman" w:hAnsi="Times New Roman" w:eastAsia="宋体" w:cs="Times New Roman"/>
                <w:color w:val="auto"/>
                <w:highlight w:val="none"/>
                <w:u w:val="none"/>
                <w:lang w:val="en-US" w:eastAsia="zh-CN"/>
              </w:rPr>
              <w:t>20.37km/h</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none"/>
                <w:lang w:val="en-US" w:eastAsia="zh-CN"/>
              </w:rPr>
              <w:t>11kn</w:t>
            </w:r>
            <w:r>
              <w:rPr>
                <w:rFonts w:hint="eastAsia" w:ascii="Times New Roman" w:hAnsi="Times New Roman" w:eastAsia="宋体" w:cs="Times New Roman"/>
                <w:color w:val="auto"/>
                <w:highlight w:val="none"/>
                <w:u w:val="none"/>
                <w:lang w:eastAsia="zh-CN"/>
              </w:rPr>
              <w:t>）；</w:t>
            </w:r>
          </w:p>
          <w:p w14:paraId="77BF4421">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l</w:t>
            </w:r>
            <w:r>
              <w:rPr>
                <w:rFonts w:hint="eastAsia" w:ascii="Times New Roman" w:hAnsi="Times New Roman" w:eastAsia="宋体" w:cs="Times New Roman"/>
                <w:color w:val="auto"/>
                <w:highlight w:val="none"/>
                <w:u w:val="none"/>
                <w:vertAlign w:val="subscript"/>
                <w:lang w:val="en-US" w:eastAsia="zh-CN"/>
              </w:rPr>
              <w:t>3</w:t>
            </w:r>
            <w:r>
              <w:rPr>
                <w:color w:val="auto"/>
                <w:highlight w:val="none"/>
                <w:u w:val="none"/>
              </w:rPr>
              <w:t>—</w:t>
            </w:r>
            <w:r>
              <w:rPr>
                <w:rFonts w:hint="eastAsia" w:ascii="Times New Roman" w:hAnsi="Times New Roman" w:eastAsia="宋体" w:cs="Times New Roman"/>
                <w:color w:val="auto"/>
                <w:highlight w:val="none"/>
                <w:u w:val="none"/>
                <w:lang w:eastAsia="zh-CN"/>
              </w:rPr>
              <w:t>挖泥地段长度(km)，本评价取</w:t>
            </w:r>
            <w:r>
              <w:rPr>
                <w:rFonts w:hint="eastAsia" w:ascii="Times New Roman" w:hAnsi="Times New Roman" w:eastAsia="宋体" w:cs="Times New Roman"/>
                <w:color w:val="auto"/>
                <w:highlight w:val="none"/>
                <w:u w:val="none"/>
                <w:lang w:val="en-US" w:eastAsia="zh-CN"/>
              </w:rPr>
              <w:t>0.85km</w:t>
            </w:r>
            <w:r>
              <w:rPr>
                <w:rFonts w:hint="eastAsia" w:ascii="Times New Roman" w:hAnsi="Times New Roman" w:eastAsia="宋体" w:cs="Times New Roman"/>
                <w:color w:val="auto"/>
                <w:highlight w:val="none"/>
                <w:u w:val="none"/>
                <w:lang w:eastAsia="zh-CN"/>
              </w:rPr>
              <w:t>；</w:t>
            </w:r>
          </w:p>
          <w:p w14:paraId="1CF92987">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v</w:t>
            </w:r>
            <w:r>
              <w:rPr>
                <w:rFonts w:hint="eastAsia" w:ascii="Times New Roman" w:hAnsi="Times New Roman" w:eastAsia="宋体" w:cs="Times New Roman"/>
                <w:color w:val="auto"/>
                <w:highlight w:val="none"/>
                <w:u w:val="none"/>
                <w:vertAlign w:val="subscript"/>
                <w:lang w:val="en-US" w:eastAsia="zh-CN"/>
              </w:rPr>
              <w:t>4</w:t>
            </w:r>
            <w:r>
              <w:rPr>
                <w:color w:val="auto"/>
                <w:highlight w:val="none"/>
                <w:u w:val="none"/>
              </w:rPr>
              <w:t>—</w:t>
            </w:r>
            <w:r>
              <w:rPr>
                <w:rFonts w:hint="eastAsia" w:ascii="Times New Roman" w:hAnsi="Times New Roman" w:eastAsia="宋体" w:cs="Times New Roman"/>
                <w:color w:val="auto"/>
                <w:highlight w:val="none"/>
                <w:u w:val="none"/>
                <w:lang w:eastAsia="zh-CN"/>
              </w:rPr>
              <w:t>挖泥航速(km/ h)，</w:t>
            </w:r>
            <w:r>
              <w:rPr>
                <w:rFonts w:hint="eastAsia" w:ascii="Times New Roman" w:hAnsi="Times New Roman" w:eastAsia="宋体" w:cs="Times New Roman"/>
                <w:color w:val="auto"/>
                <w:highlight w:val="none"/>
                <w:u w:val="single"/>
                <w:lang w:eastAsia="zh-CN"/>
              </w:rPr>
              <w:t>根据疏浚土土质确定，对淤泥和松散的砂宜采用2~6km/h，对粘土和中密以上的砂宜采用6</w:t>
            </w:r>
            <w:r>
              <w:rPr>
                <w:rFonts w:hint="eastAsia" w:ascii="Times New Roman" w:hAnsi="Times New Roman" w:eastAsia="宋体" w:cs="Times New Roman"/>
                <w:color w:val="auto"/>
                <w:highlight w:val="none"/>
                <w:u w:val="single"/>
                <w:lang w:val="en-US" w:eastAsia="zh-CN"/>
              </w:rPr>
              <w:t>~</w:t>
            </w:r>
            <w:r>
              <w:rPr>
                <w:rFonts w:hint="eastAsia" w:ascii="Times New Roman" w:hAnsi="Times New Roman" w:eastAsia="宋体" w:cs="Times New Roman"/>
                <w:color w:val="auto"/>
                <w:highlight w:val="none"/>
                <w:u w:val="single"/>
                <w:lang w:eastAsia="zh-CN"/>
              </w:rPr>
              <w:t>8km/h。项目</w:t>
            </w:r>
            <w:r>
              <w:rPr>
                <w:rFonts w:hint="eastAsia" w:ascii="Times New Roman" w:hAnsi="Times New Roman" w:eastAsia="宋体" w:cs="Times New Roman"/>
                <w:color w:val="auto"/>
                <w:highlight w:val="none"/>
                <w:u w:val="single"/>
                <w:lang w:val="en-US" w:eastAsia="zh-CN"/>
              </w:rPr>
              <w:t>95.9%的疏浚物为淤泥类，</w:t>
            </w:r>
            <w:r>
              <w:rPr>
                <w:rFonts w:hint="eastAsia" w:ascii="Times New Roman" w:hAnsi="Times New Roman" w:eastAsia="宋体" w:cs="Times New Roman"/>
                <w:color w:val="auto"/>
                <w:highlight w:val="none"/>
                <w:u w:val="single"/>
                <w:lang w:eastAsia="zh-CN"/>
              </w:rPr>
              <w:t>本评价取</w:t>
            </w:r>
            <w:r>
              <w:rPr>
                <w:rFonts w:hint="eastAsia" w:ascii="Times New Roman" w:hAnsi="Times New Roman" w:eastAsia="宋体" w:cs="Times New Roman"/>
                <w:color w:val="auto"/>
                <w:highlight w:val="none"/>
                <w:u w:val="single"/>
                <w:lang w:val="en-US" w:eastAsia="zh-CN"/>
              </w:rPr>
              <w:t>4.63km/h（2.5kn）</w:t>
            </w:r>
            <w:r>
              <w:rPr>
                <w:rFonts w:hint="eastAsia" w:ascii="Times New Roman" w:hAnsi="Times New Roman" w:eastAsia="宋体" w:cs="Times New Roman"/>
                <w:color w:val="auto"/>
                <w:highlight w:val="none"/>
                <w:u w:val="single"/>
                <w:lang w:eastAsia="zh-CN"/>
              </w:rPr>
              <w:t>；</w:t>
            </w:r>
          </w:p>
          <w:p w14:paraId="59EE1599">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t</w:t>
            </w:r>
            <w:r>
              <w:rPr>
                <w:rFonts w:hint="eastAsia" w:ascii="Times New Roman" w:hAnsi="Times New Roman" w:eastAsia="宋体" w:cs="Times New Roman"/>
                <w:color w:val="auto"/>
                <w:highlight w:val="none"/>
                <w:u w:val="none"/>
                <w:vertAlign w:val="subscript"/>
                <w:lang w:val="en-US" w:eastAsia="zh-CN"/>
              </w:rPr>
              <w:t>1</w:t>
            </w:r>
            <w:r>
              <w:rPr>
                <w:color w:val="auto"/>
                <w:highlight w:val="none"/>
                <w:u w:val="none"/>
              </w:rPr>
              <w:t>—</w:t>
            </w:r>
            <w:r>
              <w:rPr>
                <w:rFonts w:hint="eastAsia" w:ascii="Times New Roman" w:hAnsi="Times New Roman" w:eastAsia="宋体" w:cs="Times New Roman"/>
                <w:color w:val="auto"/>
                <w:highlight w:val="none"/>
                <w:u w:val="none"/>
                <w:lang w:eastAsia="zh-CN"/>
              </w:rPr>
              <w:t>抛泥机抛泥时的转头时间(h)，本评价取值</w:t>
            </w:r>
            <w:r>
              <w:rPr>
                <w:rFonts w:hint="eastAsia" w:ascii="Times New Roman" w:hAnsi="Times New Roman" w:eastAsia="宋体" w:cs="Times New Roman"/>
                <w:color w:val="auto"/>
                <w:highlight w:val="none"/>
                <w:u w:val="none"/>
                <w:lang w:val="en-US" w:eastAsia="zh-CN"/>
              </w:rPr>
              <w:t>1h</w:t>
            </w:r>
            <w:r>
              <w:rPr>
                <w:rFonts w:hint="eastAsia" w:ascii="Times New Roman" w:hAnsi="Times New Roman" w:eastAsia="宋体" w:cs="Times New Roman"/>
                <w:color w:val="auto"/>
                <w:highlight w:val="none"/>
                <w:u w:val="none"/>
                <w:lang w:eastAsia="zh-CN"/>
              </w:rPr>
              <w:t>；</w:t>
            </w:r>
          </w:p>
          <w:p w14:paraId="234D6444">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t</w:t>
            </w:r>
            <w:r>
              <w:rPr>
                <w:rFonts w:hint="eastAsia" w:ascii="Times New Roman" w:hAnsi="Times New Roman" w:eastAsia="宋体" w:cs="Times New Roman"/>
                <w:color w:val="auto"/>
                <w:highlight w:val="none"/>
                <w:u w:val="none"/>
                <w:vertAlign w:val="subscript"/>
                <w:lang w:val="en-US" w:eastAsia="zh-CN"/>
              </w:rPr>
              <w:t>2</w:t>
            </w:r>
            <w:r>
              <w:rPr>
                <w:color w:val="auto"/>
                <w:highlight w:val="none"/>
                <w:u w:val="none"/>
              </w:rPr>
              <w:t>—</w:t>
            </w:r>
            <w:r>
              <w:rPr>
                <w:rFonts w:hint="eastAsia" w:ascii="Times New Roman" w:hAnsi="Times New Roman" w:eastAsia="宋体" w:cs="Times New Roman"/>
                <w:color w:val="auto"/>
                <w:highlight w:val="none"/>
                <w:u w:val="none"/>
                <w:lang w:eastAsia="zh-CN"/>
              </w:rPr>
              <w:t>施工中转头及上线时间(h)，</w:t>
            </w:r>
            <w:r>
              <w:rPr>
                <w:rFonts w:hint="eastAsia" w:ascii="Times New Roman" w:hAnsi="Times New Roman" w:eastAsia="宋体" w:cs="Times New Roman"/>
                <w:color w:val="auto"/>
                <w:highlight w:val="none"/>
                <w:u w:val="none"/>
                <w:lang w:val="en-US" w:eastAsia="zh-CN"/>
              </w:rPr>
              <w:t>本评价取0.5h</w:t>
            </w:r>
            <w:r>
              <w:rPr>
                <w:rFonts w:hint="eastAsia" w:ascii="Times New Roman" w:hAnsi="Times New Roman" w:eastAsia="宋体" w:cs="Times New Roman"/>
                <w:color w:val="auto"/>
                <w:highlight w:val="none"/>
                <w:u w:val="none"/>
                <w:lang w:eastAsia="zh-CN"/>
              </w:rPr>
              <w:t>。</w:t>
            </w:r>
          </w:p>
          <w:p w14:paraId="33FD0F7C">
            <w:pPr>
              <w:pStyle w:val="201"/>
              <w:ind w:firstLine="453"/>
              <w:rPr>
                <w:rFonts w:hint="eastAsia"/>
                <w:color w:val="auto"/>
                <w:highlight w:val="none"/>
                <w:u w:val="none"/>
                <w:lang w:eastAsia="zh-CN"/>
              </w:rPr>
            </w:pPr>
            <w:r>
              <w:rPr>
                <w:color w:val="auto"/>
                <w:highlight w:val="none"/>
                <w:u w:val="none"/>
              </w:rPr>
              <w:t>由上式计算可知，</w:t>
            </w:r>
            <w:r>
              <w:rPr>
                <w:rFonts w:hint="eastAsia"/>
                <w:color w:val="auto"/>
                <w:highlight w:val="none"/>
                <w:u w:val="none"/>
                <w:lang w:val="en-US" w:eastAsia="zh-CN"/>
              </w:rPr>
              <w:t>3500</w:t>
            </w:r>
            <w:r>
              <w:rPr>
                <w:color w:val="auto"/>
                <w:highlight w:val="none"/>
                <w:u w:val="none"/>
              </w:rPr>
              <w:t>m</w:t>
            </w:r>
            <w:r>
              <w:rPr>
                <w:color w:val="auto"/>
                <w:highlight w:val="none"/>
                <w:u w:val="none"/>
                <w:vertAlign w:val="superscript"/>
              </w:rPr>
              <w:t>3</w:t>
            </w:r>
            <w:r>
              <w:rPr>
                <w:rFonts w:hint="eastAsia"/>
                <w:color w:val="auto"/>
                <w:highlight w:val="none"/>
                <w:u w:val="none"/>
                <w:lang w:eastAsia="zh-CN"/>
              </w:rPr>
              <w:t>耙吸船</w:t>
            </w:r>
            <w:r>
              <w:rPr>
                <w:color w:val="auto"/>
                <w:highlight w:val="none"/>
                <w:u w:val="none"/>
              </w:rPr>
              <w:t>挖泥效率为</w:t>
            </w:r>
            <w:r>
              <w:rPr>
                <w:rFonts w:hint="eastAsia"/>
                <w:color w:val="auto"/>
                <w:highlight w:val="none"/>
                <w:u w:val="none"/>
                <w:lang w:val="en-US" w:eastAsia="zh-CN"/>
              </w:rPr>
              <w:t>470.4</w:t>
            </w:r>
            <w:r>
              <w:rPr>
                <w:color w:val="auto"/>
                <w:highlight w:val="none"/>
                <w:u w:val="none"/>
              </w:rPr>
              <w:t>m</w:t>
            </w:r>
            <w:r>
              <w:rPr>
                <w:color w:val="auto"/>
                <w:highlight w:val="none"/>
                <w:u w:val="none"/>
                <w:vertAlign w:val="superscript"/>
              </w:rPr>
              <w:t>3</w:t>
            </w:r>
            <w:r>
              <w:rPr>
                <w:color w:val="auto"/>
                <w:highlight w:val="none"/>
                <w:u w:val="none"/>
              </w:rPr>
              <w:t>/h</w:t>
            </w:r>
            <w:r>
              <w:rPr>
                <w:rFonts w:hint="eastAsia"/>
                <w:color w:val="auto"/>
                <w:highlight w:val="none"/>
                <w:u w:val="none"/>
                <w:lang w:eastAsia="zh-CN"/>
              </w:rPr>
              <w:t>。</w:t>
            </w:r>
          </w:p>
          <w:p w14:paraId="407832C7">
            <w:pPr>
              <w:pStyle w:val="43"/>
              <w:numPr>
                <w:ilvl w:val="0"/>
                <w:numId w:val="17"/>
              </w:numPr>
              <w:tabs>
                <w:tab w:val="left" w:pos="216"/>
              </w:tabs>
              <w:ind w:left="0" w:leftChars="0" w:firstLine="482" w:firstLineChars="20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疏浚物悬浮扩散数值模拟</w:t>
            </w:r>
          </w:p>
          <w:p w14:paraId="02428AAE">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从源的性质上讲，疏浚作业产生的源强属移动连续点源，为了简化计算，选取有代表性的回旋水域中间位置作为定点连续源来处理。</w:t>
            </w:r>
          </w:p>
          <w:p w14:paraId="75D99A31">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图4-1</w:t>
            </w:r>
            <w:r>
              <w:rPr>
                <w:rFonts w:hint="default"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为港池和回旋水域疏浚引起的悬沙增量最大浓度包络线分布，表4.1-3为港池和回旋水域在模拟时段（半月）产生的悬浮泥沙扩散场影响范围。</w:t>
            </w:r>
          </w:p>
          <w:p w14:paraId="2166A3FE">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从图4-1可以看出，绘制了港池和回旋水域疏浚引起的悬沙增量最大浓度包络线分布。施工期间，疏浚产生的悬浮泥沙在金鼓江内随涨、落潮向南-北方向漂移，与两侧岸线走向较为平顺。其中悬浮泥沙扩散浓度为10mg/L包络线面积为1.33k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，扩散范围限于工程区周边1.43km内，向南扩散到金鼓江江口附近水域。</w:t>
            </w:r>
          </w:p>
          <w:p w14:paraId="02894A02">
            <w:pPr>
              <w:keepNext w:val="0"/>
              <w:keepLines w:val="0"/>
              <w:widowControl/>
              <w:suppressLineNumbers w:val="0"/>
              <w:jc w:val="center"/>
              <w:rPr>
                <w:rFonts w:hint="eastAsia" w:ascii="宋体" w:hAnsi="宋体" w:eastAsia="宋体" w:cs="宋体"/>
                <w:b/>
                <w:bCs/>
                <w:color w:val="auto"/>
                <w:kern w:val="0"/>
                <w:sz w:val="20"/>
                <w:szCs w:val="20"/>
                <w:highlight w:val="none"/>
                <w:lang w:val="en-US" w:eastAsia="zh-CN" w:bidi="ar"/>
              </w:rPr>
            </w:pPr>
            <w:r>
              <w:rPr>
                <w:rFonts w:hint="eastAsia" w:ascii="宋体" w:hAnsi="宋体" w:eastAsia="宋体" w:cs="宋体"/>
                <w:b/>
                <w:bCs/>
                <w:color w:val="auto"/>
                <w:kern w:val="0"/>
                <w:sz w:val="20"/>
                <w:szCs w:val="20"/>
                <w:highlight w:val="none"/>
                <w:lang w:val="en-US" w:eastAsia="zh-CN" w:bidi="ar"/>
              </w:rPr>
              <w:t>表4.1-3港池与回旋水域疏浚施工时SS浓度增量最大包络面积（km</w:t>
            </w:r>
            <w:r>
              <w:rPr>
                <w:rFonts w:hint="eastAsia" w:ascii="宋体" w:hAnsi="宋体" w:eastAsia="宋体" w:cs="宋体"/>
                <w:b/>
                <w:bCs/>
                <w:color w:val="auto"/>
                <w:kern w:val="0"/>
                <w:sz w:val="20"/>
                <w:szCs w:val="20"/>
                <w:highlight w:val="none"/>
                <w:vertAlign w:val="superscript"/>
                <w:lang w:val="en-US" w:eastAsia="zh-CN" w:bidi="ar"/>
              </w:rPr>
              <w:t>2</w:t>
            </w:r>
            <w:r>
              <w:rPr>
                <w:rFonts w:hint="eastAsia" w:ascii="宋体" w:hAnsi="宋体" w:eastAsia="宋体" w:cs="宋体"/>
                <w:b/>
                <w:bCs/>
                <w:color w:val="auto"/>
                <w:kern w:val="0"/>
                <w:sz w:val="20"/>
                <w:szCs w:val="20"/>
                <w:highlight w:val="none"/>
                <w:lang w:val="en-US" w:eastAsia="zh-CN" w:bidi="ar"/>
              </w:rPr>
              <w:t>）</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1163"/>
              <w:gridCol w:w="1429"/>
              <w:gridCol w:w="1715"/>
              <w:gridCol w:w="1114"/>
              <w:gridCol w:w="1114"/>
            </w:tblGrid>
            <w:tr w14:paraId="5EEE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pct"/>
                  <w:noWrap w:val="0"/>
                  <w:vAlign w:val="center"/>
                </w:tcPr>
                <w:p w14:paraId="18FBCC55">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包络线（mg/L）</w:t>
                  </w:r>
                </w:p>
              </w:tc>
              <w:tc>
                <w:tcPr>
                  <w:tcW w:w="687" w:type="pct"/>
                  <w:noWrap w:val="0"/>
                  <w:vAlign w:val="center"/>
                </w:tcPr>
                <w:p w14:paraId="120242A5">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150</w:t>
                  </w:r>
                </w:p>
              </w:tc>
              <w:tc>
                <w:tcPr>
                  <w:tcW w:w="844" w:type="pct"/>
                  <w:noWrap w:val="0"/>
                  <w:vAlign w:val="center"/>
                </w:tcPr>
                <w:p w14:paraId="21BB067B">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100</w:t>
                  </w:r>
                </w:p>
              </w:tc>
              <w:tc>
                <w:tcPr>
                  <w:tcW w:w="1013" w:type="pct"/>
                  <w:noWrap w:val="0"/>
                  <w:vAlign w:val="center"/>
                </w:tcPr>
                <w:p w14:paraId="263C211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50</w:t>
                  </w:r>
                </w:p>
              </w:tc>
              <w:tc>
                <w:tcPr>
                  <w:tcW w:w="658" w:type="pct"/>
                  <w:noWrap w:val="0"/>
                  <w:vAlign w:val="center"/>
                </w:tcPr>
                <w:p w14:paraId="0F777507">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20</w:t>
                  </w:r>
                </w:p>
              </w:tc>
              <w:tc>
                <w:tcPr>
                  <w:tcW w:w="658" w:type="pct"/>
                  <w:noWrap w:val="0"/>
                  <w:vAlign w:val="center"/>
                </w:tcPr>
                <w:p w14:paraId="7B0B34C2">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w:t>
                  </w:r>
                </w:p>
              </w:tc>
            </w:tr>
            <w:tr w14:paraId="1013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pct"/>
                  <w:noWrap w:val="0"/>
                  <w:vAlign w:val="center"/>
                </w:tcPr>
                <w:p w14:paraId="52A5CBD5">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全潮最大</w:t>
                  </w:r>
                </w:p>
              </w:tc>
              <w:tc>
                <w:tcPr>
                  <w:tcW w:w="687" w:type="pct"/>
                  <w:noWrap w:val="0"/>
                  <w:vAlign w:val="center"/>
                </w:tcPr>
                <w:p w14:paraId="0EF2FD71">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0.1415</w:t>
                  </w:r>
                </w:p>
              </w:tc>
              <w:tc>
                <w:tcPr>
                  <w:tcW w:w="844" w:type="pct"/>
                  <w:noWrap w:val="0"/>
                  <w:vAlign w:val="center"/>
                </w:tcPr>
                <w:p w14:paraId="6177C850">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0.008291</w:t>
                  </w:r>
                </w:p>
              </w:tc>
              <w:tc>
                <w:tcPr>
                  <w:tcW w:w="1013" w:type="pct"/>
                  <w:noWrap w:val="0"/>
                  <w:vAlign w:val="center"/>
                </w:tcPr>
                <w:p w14:paraId="5394EF3A">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0.040342</w:t>
                  </w:r>
                </w:p>
              </w:tc>
              <w:tc>
                <w:tcPr>
                  <w:tcW w:w="658" w:type="pct"/>
                  <w:noWrap w:val="0"/>
                  <w:vAlign w:val="center"/>
                </w:tcPr>
                <w:p w14:paraId="253DDFA6">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0.262</w:t>
                  </w:r>
                </w:p>
              </w:tc>
              <w:tc>
                <w:tcPr>
                  <w:tcW w:w="658" w:type="pct"/>
                  <w:noWrap w:val="0"/>
                  <w:vAlign w:val="center"/>
                </w:tcPr>
                <w:p w14:paraId="0D3C9FFC">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1.330</w:t>
                  </w:r>
                </w:p>
              </w:tc>
            </w:tr>
          </w:tbl>
          <w:p w14:paraId="58C92C83">
            <w:pPr>
              <w:pStyle w:val="9"/>
              <w:rPr>
                <w:rFonts w:hint="eastAsia" w:ascii="Times New Roman" w:hAnsi="Times New Roman" w:eastAsia="宋体" w:cs="Times New Roman"/>
                <w:color w:val="auto"/>
                <w:sz w:val="24"/>
                <w:highlight w:val="none"/>
                <w:lang w:val="en-US" w:eastAsia="zh-CN"/>
              </w:rPr>
            </w:pPr>
          </w:p>
          <w:p w14:paraId="56C8AF46">
            <w:pPr>
              <w:pStyle w:val="9"/>
              <w:rPr>
                <w:rFonts w:hint="eastAsia" w:ascii="Times New Roman" w:hAnsi="Times New Roman" w:eastAsia="宋体" w:cs="Times New Roman"/>
                <w:color w:val="auto"/>
                <w:sz w:val="24"/>
                <w:highlight w:val="none"/>
                <w:lang w:val="en-US" w:eastAsia="zh-CN"/>
              </w:rPr>
            </w:pPr>
          </w:p>
          <w:p w14:paraId="020861FE">
            <w:pPr>
              <w:pStyle w:val="9"/>
              <w:rPr>
                <w:rFonts w:hint="eastAsia" w:ascii="Times New Roman" w:hAnsi="Times New Roman" w:eastAsia="宋体" w:cs="Times New Roman"/>
                <w:color w:val="auto"/>
                <w:sz w:val="24"/>
                <w:highlight w:val="none"/>
                <w:lang w:val="en-US" w:eastAsia="zh-CN"/>
              </w:rPr>
            </w:pPr>
          </w:p>
          <w:p w14:paraId="16DA99D2">
            <w:pPr>
              <w:pStyle w:val="9"/>
              <w:rPr>
                <w:rFonts w:hint="eastAsia" w:ascii="Times New Roman" w:hAnsi="Times New Roman" w:eastAsia="宋体" w:cs="Times New Roman"/>
                <w:color w:val="auto"/>
                <w:sz w:val="24"/>
                <w:highlight w:val="none"/>
                <w:lang w:val="en-US" w:eastAsia="zh-CN"/>
              </w:rPr>
            </w:pPr>
          </w:p>
          <w:p w14:paraId="7870BAE9">
            <w:pPr>
              <w:pStyle w:val="9"/>
              <w:rPr>
                <w:rFonts w:hint="eastAsia" w:ascii="Times New Roman" w:hAnsi="Times New Roman" w:eastAsia="宋体" w:cs="Times New Roman"/>
                <w:color w:val="auto"/>
                <w:sz w:val="24"/>
                <w:highlight w:val="none"/>
                <w:lang w:val="en-US" w:eastAsia="zh-CN"/>
              </w:rPr>
            </w:pPr>
          </w:p>
          <w:p w14:paraId="736B0325">
            <w:pPr>
              <w:pStyle w:val="9"/>
              <w:rPr>
                <w:rFonts w:hint="eastAsia" w:ascii="Times New Roman" w:hAnsi="Times New Roman" w:eastAsia="宋体" w:cs="Times New Roman"/>
                <w:color w:val="auto"/>
                <w:sz w:val="24"/>
                <w:highlight w:val="none"/>
                <w:lang w:val="en-US" w:eastAsia="zh-CN"/>
              </w:rPr>
            </w:pPr>
          </w:p>
          <w:p w14:paraId="780E9401">
            <w:pPr>
              <w:pStyle w:val="9"/>
              <w:rPr>
                <w:rFonts w:hint="eastAsia" w:ascii="Times New Roman" w:hAnsi="Times New Roman" w:eastAsia="宋体" w:cs="Times New Roman"/>
                <w:color w:val="auto"/>
                <w:sz w:val="24"/>
                <w:highlight w:val="none"/>
                <w:lang w:val="en-US" w:eastAsia="zh-CN"/>
              </w:rPr>
            </w:pPr>
          </w:p>
          <w:p w14:paraId="6DED6725">
            <w:pPr>
              <w:pStyle w:val="9"/>
              <w:rPr>
                <w:rFonts w:hint="eastAsia" w:ascii="Times New Roman" w:hAnsi="Times New Roman" w:eastAsia="宋体" w:cs="Times New Roman"/>
                <w:color w:val="auto"/>
                <w:sz w:val="24"/>
                <w:highlight w:val="none"/>
                <w:lang w:val="en-US" w:eastAsia="zh-CN"/>
              </w:rPr>
            </w:pPr>
          </w:p>
          <w:p w14:paraId="2B41E80B">
            <w:pPr>
              <w:pStyle w:val="9"/>
              <w:rPr>
                <w:rFonts w:hint="eastAsia" w:ascii="Times New Roman" w:hAnsi="Times New Roman" w:eastAsia="宋体" w:cs="Times New Roman"/>
                <w:color w:val="auto"/>
                <w:sz w:val="24"/>
                <w:highlight w:val="none"/>
                <w:lang w:val="en-US" w:eastAsia="zh-CN"/>
              </w:rPr>
            </w:pPr>
          </w:p>
          <w:p w14:paraId="45349FD8">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drawing>
                <wp:inline distT="0" distB="0" distL="114300" distR="114300">
                  <wp:extent cx="2600325" cy="4410075"/>
                  <wp:effectExtent l="0" t="0" r="9525" b="9525"/>
                  <wp:docPr id="50" name="图片 13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4" descr="图片1"/>
                          <pic:cNvPicPr>
                            <a:picLocks noChangeAspect="1"/>
                          </pic:cNvPicPr>
                        </pic:nvPicPr>
                        <pic:blipFill>
                          <a:blip r:embed="rId48"/>
                          <a:stretch>
                            <a:fillRect/>
                          </a:stretch>
                        </pic:blipFill>
                        <pic:spPr>
                          <a:xfrm>
                            <a:off x="0" y="0"/>
                            <a:ext cx="2600325" cy="4410075"/>
                          </a:xfrm>
                          <a:prstGeom prst="rect">
                            <a:avLst/>
                          </a:prstGeom>
                          <a:noFill/>
                          <a:ln>
                            <a:noFill/>
                          </a:ln>
                        </pic:spPr>
                      </pic:pic>
                    </a:graphicData>
                  </a:graphic>
                </wp:inline>
              </w:drawing>
            </w:r>
          </w:p>
          <w:p w14:paraId="15FD0D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auto"/>
                <w:kern w:val="0"/>
                <w:sz w:val="20"/>
                <w:szCs w:val="20"/>
                <w:highlight w:val="none"/>
                <w:lang w:val="en-US" w:eastAsia="zh-CN" w:bidi="ar"/>
              </w:rPr>
            </w:pPr>
            <w:r>
              <w:rPr>
                <w:rFonts w:hint="eastAsia" w:ascii="宋体" w:hAnsi="宋体" w:eastAsia="宋体" w:cs="宋体"/>
                <w:b/>
                <w:bCs/>
                <w:color w:val="auto"/>
                <w:kern w:val="0"/>
                <w:sz w:val="20"/>
                <w:szCs w:val="20"/>
                <w:highlight w:val="none"/>
                <w:lang w:val="en-US" w:eastAsia="zh-CN" w:bidi="ar"/>
              </w:rPr>
              <w:t>图4-1 港池和回旋水域施工期悬浮物最大影响范围包络线图</w:t>
            </w:r>
          </w:p>
          <w:p w14:paraId="0CAF0547">
            <w:pPr>
              <w:pStyle w:val="19"/>
              <w:spacing w:line="360" w:lineRule="auto"/>
              <w:ind w:firstLine="562" w:firstLineChars="200"/>
              <w:rPr>
                <w:rFonts w:hint="eastAsia"/>
                <w:color w:val="auto"/>
                <w:kern w:val="0"/>
                <w:sz w:val="24"/>
                <w:highlight w:val="none"/>
              </w:rPr>
            </w:pPr>
            <w:r>
              <w:rPr>
                <w:rFonts w:hint="eastAsia"/>
                <w:b/>
                <w:bCs/>
                <w:color w:val="auto"/>
                <w:sz w:val="28"/>
                <w:szCs w:val="28"/>
                <w:highlight w:val="none"/>
                <w:lang w:val="en-US" w:eastAsia="zh-CN"/>
              </w:rPr>
              <w:t>4.1.3</w:t>
            </w:r>
            <w:r>
              <w:rPr>
                <w:rFonts w:hint="eastAsia"/>
                <w:b/>
                <w:bCs/>
                <w:color w:val="auto"/>
                <w:sz w:val="28"/>
                <w:szCs w:val="28"/>
                <w:highlight w:val="none"/>
              </w:rPr>
              <w:t>声环境影响分析</w:t>
            </w:r>
          </w:p>
          <w:p w14:paraId="085E377D">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鉴于施工噪声的复杂性及其影响的区域性和阶段性，根据《建筑施工场界环境噪声排放标准》（GB12523-2011），计算出不同施工阶段施工设备的噪声污染范围，以便施工单位在施工时结合实际情况采取适当的噪声污染防治措施。</w:t>
            </w:r>
          </w:p>
          <w:p w14:paraId="1B84D204">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本项目施工期噪声主要来自施工船舶产生的噪声</w:t>
            </w:r>
            <w:r>
              <w:rPr>
                <w:rFonts w:hint="eastAsia"/>
                <w:color w:val="auto"/>
                <w:sz w:val="24"/>
                <w:highlight w:val="none"/>
                <w:lang w:val="en-US" w:eastAsia="zh-CN"/>
              </w:rPr>
              <w:t>，施工噪声可近似点声源，即固定声源。其影响预测模型为：</w:t>
            </w:r>
          </w:p>
          <w:p w14:paraId="48D978FA">
            <w:pPr>
              <w:keepNext w:val="0"/>
              <w:keepLines w:val="0"/>
              <w:widowControl/>
              <w:suppressLineNumbers w:val="0"/>
              <w:jc w:val="center"/>
              <w:rPr>
                <w:color w:val="auto"/>
                <w:highlight w:val="none"/>
              </w:rPr>
            </w:pPr>
            <w:r>
              <w:rPr>
                <w:rFonts w:hint="default" w:ascii="Times New Roman" w:hAnsi="Times New Roman" w:eastAsia="宋体" w:cs="Times New Roman"/>
                <w:color w:val="auto"/>
                <w:kern w:val="0"/>
                <w:sz w:val="24"/>
                <w:szCs w:val="24"/>
                <w:highlight w:val="none"/>
                <w:lang w:val="en-US" w:eastAsia="zh-CN" w:bidi="ar"/>
              </w:rPr>
              <w:t>L</w:t>
            </w:r>
            <w:r>
              <w:rPr>
                <w:rFonts w:hint="eastAsia" w:ascii="Times New Roman" w:hAnsi="Times New Roman" w:eastAsia="宋体" w:cs="Times New Roman"/>
                <w:color w:val="auto"/>
                <w:kern w:val="0"/>
                <w:sz w:val="24"/>
                <w:szCs w:val="24"/>
                <w:highlight w:val="none"/>
                <w:vertAlign w:val="subscript"/>
                <w:lang w:val="en-US" w:eastAsia="zh-CN" w:bidi="ar"/>
              </w:rPr>
              <w:t>p</w:t>
            </w:r>
            <w:r>
              <w:rPr>
                <w:rFonts w:hint="default" w:ascii="Times New Roman" w:hAnsi="Times New Roman" w:eastAsia="宋体" w:cs="Times New Roman"/>
                <w:color w:val="auto"/>
                <w:kern w:val="0"/>
                <w:sz w:val="24"/>
                <w:szCs w:val="24"/>
                <w:highlight w:val="none"/>
                <w:lang w:val="en-US" w:eastAsia="zh-CN" w:bidi="ar"/>
              </w:rPr>
              <w:t>=L</w:t>
            </w:r>
            <w:r>
              <w:rPr>
                <w:rFonts w:hint="eastAsia" w:ascii="Times New Roman" w:hAnsi="Times New Roman" w:eastAsia="宋体" w:cs="Times New Roman"/>
                <w:color w:val="auto"/>
                <w:kern w:val="0"/>
                <w:sz w:val="24"/>
                <w:szCs w:val="24"/>
                <w:highlight w:val="none"/>
                <w:vertAlign w:val="subscript"/>
                <w:lang w:val="en-US" w:eastAsia="zh-CN" w:bidi="ar"/>
              </w:rPr>
              <w:t>p</w:t>
            </w:r>
            <w:r>
              <w:rPr>
                <w:rFonts w:hint="default" w:ascii="Times New Roman" w:hAnsi="Times New Roman" w:eastAsia="宋体" w:cs="Times New Roman"/>
                <w:color w:val="auto"/>
                <w:kern w:val="0"/>
                <w:sz w:val="16"/>
                <w:szCs w:val="16"/>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-20lg</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R/R</w:t>
            </w:r>
            <w:r>
              <w:rPr>
                <w:rFonts w:hint="default" w:ascii="Times New Roman" w:hAnsi="Times New Roman" w:eastAsia="宋体" w:cs="Times New Roman"/>
                <w:color w:val="auto"/>
                <w:kern w:val="0"/>
                <w:sz w:val="16"/>
                <w:szCs w:val="16"/>
                <w:highlight w:val="none"/>
                <w:lang w:val="en-US" w:eastAsia="zh-CN" w:bidi="ar"/>
              </w:rPr>
              <w:t>0</w:t>
            </w:r>
            <w:r>
              <w:rPr>
                <w:rFonts w:hint="eastAsia" w:ascii="宋体" w:hAnsi="宋体" w:eastAsia="宋体" w:cs="宋体"/>
                <w:color w:val="auto"/>
                <w:kern w:val="0"/>
                <w:sz w:val="24"/>
                <w:szCs w:val="24"/>
                <w:highlight w:val="none"/>
                <w:lang w:val="en-US" w:eastAsia="zh-CN" w:bidi="ar"/>
              </w:rPr>
              <w:t>）</w:t>
            </w:r>
          </w:p>
          <w:p w14:paraId="10ABFFB6">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式中：</w:t>
            </w:r>
          </w:p>
          <w:p w14:paraId="258D48F5">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L</w:t>
            </w:r>
            <w:r>
              <w:rPr>
                <w:rFonts w:hint="eastAsia" w:ascii="Times New Roman" w:hAnsi="Times New Roman" w:eastAsia="宋体" w:cs="Times New Roman"/>
                <w:color w:val="auto"/>
                <w:sz w:val="24"/>
                <w:highlight w:val="none"/>
                <w:vertAlign w:val="subscript"/>
                <w:lang w:val="en-US" w:eastAsia="zh-CN"/>
              </w:rPr>
              <w:t>p</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 xml:space="preserve">距声源 </w:t>
            </w:r>
            <w:r>
              <w:rPr>
                <w:rFonts w:hint="default" w:ascii="Times New Roman" w:hAnsi="Times New Roman" w:eastAsia="宋体" w:cs="Times New Roman"/>
                <w:color w:val="auto"/>
                <w:sz w:val="24"/>
                <w:highlight w:val="none"/>
                <w:lang w:val="en-US" w:eastAsia="zh-CN"/>
              </w:rPr>
              <w:t xml:space="preserve">R </w:t>
            </w:r>
            <w:r>
              <w:rPr>
                <w:rFonts w:hint="eastAsia" w:ascii="Times New Roman" w:hAnsi="Times New Roman" w:eastAsia="宋体" w:cs="Times New Roman"/>
                <w:color w:val="auto"/>
                <w:sz w:val="24"/>
                <w:highlight w:val="none"/>
                <w:lang w:val="en-US" w:eastAsia="zh-CN"/>
              </w:rPr>
              <w:t>处的噪声预测值，</w:t>
            </w:r>
            <w:r>
              <w:rPr>
                <w:rFonts w:hint="default" w:ascii="Times New Roman" w:hAnsi="Times New Roman" w:eastAsia="宋体" w:cs="Times New Roman"/>
                <w:color w:val="auto"/>
                <w:sz w:val="24"/>
                <w:highlight w:val="none"/>
                <w:lang w:val="en-US" w:eastAsia="zh-CN"/>
              </w:rPr>
              <w:t>dB</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p>
          <w:p w14:paraId="40FEB385">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L</w:t>
            </w:r>
            <w:r>
              <w:rPr>
                <w:rFonts w:hint="eastAsia" w:ascii="Times New Roman" w:hAnsi="Times New Roman" w:eastAsia="宋体" w:cs="Times New Roman"/>
                <w:color w:val="auto"/>
                <w:sz w:val="24"/>
                <w:highlight w:val="none"/>
                <w:vertAlign w:val="subscript"/>
                <w:lang w:val="en-US" w:eastAsia="zh-CN"/>
              </w:rPr>
              <w:t>p</w:t>
            </w:r>
            <w:r>
              <w:rPr>
                <w:rFonts w:hint="default" w:ascii="Times New Roman" w:hAnsi="Times New Roman" w:eastAsia="宋体" w:cs="Times New Roman"/>
                <w:color w:val="auto"/>
                <w:sz w:val="24"/>
                <w:highlight w:val="none"/>
                <w:vertAlign w:val="subscript"/>
                <w:lang w:val="en-US" w:eastAsia="zh-CN"/>
              </w:rPr>
              <w:t>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距声源参考距离</w:t>
            </w: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vertAlign w:val="subscript"/>
                <w:lang w:val="en-US" w:eastAsia="zh-CN"/>
              </w:rPr>
              <w:t>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处的参考声级，</w:t>
            </w:r>
            <w:r>
              <w:rPr>
                <w:rFonts w:hint="default" w:ascii="Times New Roman" w:hAnsi="Times New Roman" w:eastAsia="宋体" w:cs="Times New Roman"/>
                <w:color w:val="auto"/>
                <w:sz w:val="24"/>
                <w:highlight w:val="none"/>
                <w:lang w:val="en-US" w:eastAsia="zh-CN"/>
              </w:rPr>
              <w:t>dB</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p>
          <w:p w14:paraId="008D53F4">
            <w:pPr>
              <w:spacing w:line="360" w:lineRule="auto"/>
              <w:ind w:firstLine="480" w:firstLineChars="200"/>
              <w:rPr>
                <w:rFonts w:hint="eastAsia"/>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施工场地场界噪声执行《建筑施工场界环境噪声排放标准》</w:t>
            </w:r>
            <w:r>
              <w:rPr>
                <w:rFonts w:hint="default" w:ascii="Times New Roman" w:hAnsi="Times New Roman" w:eastAsia="宋体" w:cs="Times New Roman"/>
                <w:color w:val="auto"/>
                <w:sz w:val="24"/>
                <w:highlight w:val="none"/>
                <w:lang w:val="en-US" w:eastAsia="zh-CN"/>
              </w:rPr>
              <w:t>(GB12523-2011)</w:t>
            </w:r>
            <w:r>
              <w:rPr>
                <w:rFonts w:hint="eastAsia" w:ascii="Times New Roman" w:hAnsi="Times New Roman" w:eastAsia="宋体" w:cs="Times New Roman"/>
                <w:color w:val="auto"/>
                <w:sz w:val="24"/>
                <w:highlight w:val="none"/>
                <w:lang w:val="en-US" w:eastAsia="zh-CN"/>
              </w:rPr>
              <w:t>，施工噪声衰减至《建筑施工场界环境噪声排放标准》的距离见下表。</w:t>
            </w:r>
          </w:p>
          <w:p w14:paraId="4D07A002">
            <w:pPr>
              <w:keepNext w:val="0"/>
              <w:keepLines w:val="0"/>
              <w:widowControl/>
              <w:suppressLineNumbers w:val="0"/>
              <w:jc w:val="center"/>
              <w:rPr>
                <w:rFonts w:hint="default" w:ascii="宋体" w:hAnsi="宋体" w:eastAsia="宋体" w:cs="宋体"/>
                <w:b/>
                <w:bCs/>
                <w:color w:val="auto"/>
                <w:kern w:val="0"/>
                <w:sz w:val="20"/>
                <w:szCs w:val="20"/>
                <w:highlight w:val="none"/>
                <w:lang w:val="en-US" w:eastAsia="zh-CN" w:bidi="ar"/>
              </w:rPr>
            </w:pPr>
            <w:r>
              <w:rPr>
                <w:rFonts w:hint="eastAsia" w:ascii="宋体" w:hAnsi="宋体" w:eastAsia="宋体" w:cs="宋体"/>
                <w:b/>
                <w:bCs/>
                <w:color w:val="auto"/>
                <w:kern w:val="0"/>
                <w:sz w:val="20"/>
                <w:szCs w:val="20"/>
                <w:highlight w:val="none"/>
                <w:lang w:val="en-US" w:eastAsia="zh-CN" w:bidi="ar"/>
              </w:rPr>
              <w:t>表4.1-4工程施工期主要施工机械噪声随距离的衰减情况表单位： dB（A）</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713"/>
              <w:gridCol w:w="758"/>
              <w:gridCol w:w="636"/>
              <w:gridCol w:w="636"/>
              <w:gridCol w:w="636"/>
              <w:gridCol w:w="636"/>
              <w:gridCol w:w="636"/>
              <w:gridCol w:w="748"/>
              <w:gridCol w:w="749"/>
              <w:gridCol w:w="796"/>
            </w:tblGrid>
            <w:tr w14:paraId="0525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Merge w:val="restart"/>
                  <w:noWrap w:val="0"/>
                  <w:vAlign w:val="center"/>
                </w:tcPr>
                <w:p w14:paraId="7AE2BD99">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序号</w:t>
                  </w:r>
                </w:p>
              </w:tc>
              <w:tc>
                <w:tcPr>
                  <w:tcW w:w="1012" w:type="pct"/>
                  <w:vMerge w:val="restart"/>
                  <w:noWrap w:val="0"/>
                  <w:vAlign w:val="center"/>
                </w:tcPr>
                <w:p w14:paraId="315C8C96">
                  <w:pPr>
                    <w:adjustRightInd w:val="0"/>
                    <w:snapToGrid w:val="0"/>
                    <w:jc w:val="center"/>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设备名称</w:t>
                  </w:r>
                </w:p>
              </w:tc>
              <w:tc>
                <w:tcPr>
                  <w:tcW w:w="3682" w:type="pct"/>
                  <w:gridSpan w:val="9"/>
                  <w:noWrap w:val="0"/>
                  <w:vAlign w:val="center"/>
                </w:tcPr>
                <w:p w14:paraId="644747E2">
                  <w:pPr>
                    <w:adjustRightInd w:val="0"/>
                    <w:snapToGrid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不同距离处的噪声值</w:t>
                  </w:r>
                </w:p>
              </w:tc>
            </w:tr>
            <w:tr w14:paraId="6003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Merge w:val="continue"/>
                  <w:noWrap w:val="0"/>
                  <w:vAlign w:val="center"/>
                </w:tcPr>
                <w:p w14:paraId="31EF00A3">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p>
              </w:tc>
              <w:tc>
                <w:tcPr>
                  <w:tcW w:w="1012" w:type="pct"/>
                  <w:vMerge w:val="continue"/>
                  <w:noWrap w:val="0"/>
                  <w:vAlign w:val="center"/>
                </w:tcPr>
                <w:p w14:paraId="44CA9182">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p>
              </w:tc>
              <w:tc>
                <w:tcPr>
                  <w:tcW w:w="448" w:type="pct"/>
                  <w:noWrap w:val="0"/>
                  <w:vAlign w:val="center"/>
                </w:tcPr>
                <w:p w14:paraId="3DCFD4E8">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10m</w:t>
                  </w:r>
                </w:p>
              </w:tc>
              <w:tc>
                <w:tcPr>
                  <w:tcW w:w="376" w:type="pct"/>
                  <w:noWrap w:val="0"/>
                  <w:vAlign w:val="center"/>
                </w:tcPr>
                <w:p w14:paraId="54F51237">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20m</w:t>
                  </w:r>
                </w:p>
              </w:tc>
              <w:tc>
                <w:tcPr>
                  <w:tcW w:w="376" w:type="pct"/>
                  <w:noWrap w:val="0"/>
                  <w:vAlign w:val="center"/>
                </w:tcPr>
                <w:p w14:paraId="56ECE0DC">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40m</w:t>
                  </w:r>
                </w:p>
              </w:tc>
              <w:tc>
                <w:tcPr>
                  <w:tcW w:w="376" w:type="pct"/>
                  <w:noWrap w:val="0"/>
                  <w:vAlign w:val="center"/>
                </w:tcPr>
                <w:p w14:paraId="05C28FA2">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50m</w:t>
                  </w:r>
                </w:p>
              </w:tc>
              <w:tc>
                <w:tcPr>
                  <w:tcW w:w="376" w:type="pct"/>
                  <w:noWrap w:val="0"/>
                  <w:vAlign w:val="center"/>
                </w:tcPr>
                <w:p w14:paraId="3BEDE43A">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60m</w:t>
                  </w:r>
                </w:p>
              </w:tc>
              <w:tc>
                <w:tcPr>
                  <w:tcW w:w="376" w:type="pct"/>
                  <w:noWrap w:val="0"/>
                  <w:vAlign w:val="center"/>
                </w:tcPr>
                <w:p w14:paraId="640A5721">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80m</w:t>
                  </w:r>
                </w:p>
              </w:tc>
              <w:tc>
                <w:tcPr>
                  <w:tcW w:w="442" w:type="pct"/>
                  <w:noWrap w:val="0"/>
                  <w:vAlign w:val="center"/>
                </w:tcPr>
                <w:p w14:paraId="4CBE734E">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100m</w:t>
                  </w:r>
                </w:p>
              </w:tc>
              <w:tc>
                <w:tcPr>
                  <w:tcW w:w="442" w:type="pct"/>
                  <w:noWrap w:val="0"/>
                  <w:vAlign w:val="center"/>
                </w:tcPr>
                <w:p w14:paraId="47BCAB05">
                  <w:pPr>
                    <w:adjustRightInd w:val="0"/>
                    <w:snapToGrid w:val="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150m</w:t>
                  </w:r>
                </w:p>
              </w:tc>
              <w:tc>
                <w:tcPr>
                  <w:tcW w:w="468" w:type="pct"/>
                  <w:noWrap w:val="0"/>
                  <w:vAlign w:val="center"/>
                </w:tcPr>
                <w:p w14:paraId="1B4D1BF1">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200m</w:t>
                  </w:r>
                </w:p>
              </w:tc>
            </w:tr>
            <w:tr w14:paraId="5DB9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noWrap w:val="0"/>
                  <w:vAlign w:val="center"/>
                </w:tcPr>
                <w:p w14:paraId="0FBA1DC4">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1012" w:type="pct"/>
                  <w:noWrap w:val="0"/>
                  <w:vAlign w:val="center"/>
                </w:tcPr>
                <w:p w14:paraId="1B3A8C58">
                  <w:pPr>
                    <w:adjustRightInd w:val="0"/>
                    <w:snapToGrid w:val="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挖泥船</w:t>
                  </w:r>
                </w:p>
              </w:tc>
              <w:tc>
                <w:tcPr>
                  <w:tcW w:w="448" w:type="pct"/>
                  <w:noWrap w:val="0"/>
                  <w:vAlign w:val="center"/>
                </w:tcPr>
                <w:p w14:paraId="0E61C5E9">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376" w:type="pct"/>
                  <w:noWrap w:val="0"/>
                  <w:vAlign w:val="center"/>
                </w:tcPr>
                <w:p w14:paraId="521E8888">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376" w:type="pct"/>
                  <w:noWrap w:val="0"/>
                  <w:vAlign w:val="center"/>
                </w:tcPr>
                <w:p w14:paraId="324E3426">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376" w:type="pct"/>
                  <w:noWrap w:val="0"/>
                  <w:vAlign w:val="center"/>
                </w:tcPr>
                <w:p w14:paraId="674612B2">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68</w:t>
                  </w:r>
                </w:p>
              </w:tc>
              <w:tc>
                <w:tcPr>
                  <w:tcW w:w="376" w:type="pct"/>
                  <w:noWrap w:val="0"/>
                  <w:vAlign w:val="center"/>
                </w:tcPr>
                <w:p w14:paraId="0710D4B3">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66</w:t>
                  </w:r>
                </w:p>
              </w:tc>
              <w:tc>
                <w:tcPr>
                  <w:tcW w:w="376" w:type="pct"/>
                  <w:noWrap w:val="0"/>
                  <w:vAlign w:val="center"/>
                </w:tcPr>
                <w:p w14:paraId="2381C9DD">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64</w:t>
                  </w:r>
                </w:p>
              </w:tc>
              <w:tc>
                <w:tcPr>
                  <w:tcW w:w="442" w:type="pct"/>
                  <w:noWrap w:val="0"/>
                  <w:vAlign w:val="center"/>
                </w:tcPr>
                <w:p w14:paraId="10E6AB57">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62</w:t>
                  </w:r>
                </w:p>
              </w:tc>
              <w:tc>
                <w:tcPr>
                  <w:tcW w:w="442" w:type="pct"/>
                  <w:noWrap w:val="0"/>
                  <w:vAlign w:val="center"/>
                </w:tcPr>
                <w:p w14:paraId="428EF4E2">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59</w:t>
                  </w:r>
                </w:p>
              </w:tc>
              <w:tc>
                <w:tcPr>
                  <w:tcW w:w="468" w:type="pct"/>
                  <w:noWrap w:val="0"/>
                  <w:vAlign w:val="center"/>
                </w:tcPr>
                <w:p w14:paraId="59029D86">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56</w:t>
                  </w:r>
                </w:p>
              </w:tc>
            </w:tr>
            <w:tr w14:paraId="649A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04" w:type="pct"/>
                  <w:noWrap w:val="0"/>
                  <w:vAlign w:val="center"/>
                </w:tcPr>
                <w:p w14:paraId="1D20C6D8">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1012" w:type="pct"/>
                  <w:noWrap w:val="0"/>
                  <w:vAlign w:val="center"/>
                </w:tcPr>
                <w:p w14:paraId="123CBC83">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一般施工船舶</w:t>
                  </w:r>
                </w:p>
              </w:tc>
              <w:tc>
                <w:tcPr>
                  <w:tcW w:w="448" w:type="pct"/>
                  <w:noWrap w:val="0"/>
                  <w:vAlign w:val="center"/>
                </w:tcPr>
                <w:p w14:paraId="697B9B6F">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70</w:t>
                  </w:r>
                </w:p>
              </w:tc>
              <w:tc>
                <w:tcPr>
                  <w:tcW w:w="376" w:type="pct"/>
                  <w:noWrap w:val="0"/>
                  <w:vAlign w:val="center"/>
                </w:tcPr>
                <w:p w14:paraId="6CC0DA94">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64</w:t>
                  </w:r>
                </w:p>
              </w:tc>
              <w:tc>
                <w:tcPr>
                  <w:tcW w:w="376" w:type="pct"/>
                  <w:noWrap w:val="0"/>
                  <w:vAlign w:val="center"/>
                </w:tcPr>
                <w:p w14:paraId="7E28B188">
                  <w:pPr>
                    <w:adjustRightInd w:val="0"/>
                    <w:snapToGrid w:val="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58</w:t>
                  </w:r>
                </w:p>
              </w:tc>
              <w:tc>
                <w:tcPr>
                  <w:tcW w:w="376" w:type="pct"/>
                  <w:noWrap w:val="0"/>
                  <w:vAlign w:val="center"/>
                </w:tcPr>
                <w:p w14:paraId="3C706F6C">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56</w:t>
                  </w:r>
                </w:p>
              </w:tc>
              <w:tc>
                <w:tcPr>
                  <w:tcW w:w="376" w:type="pct"/>
                  <w:noWrap w:val="0"/>
                  <w:vAlign w:val="center"/>
                </w:tcPr>
                <w:p w14:paraId="08E3A2F3">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55</w:t>
                  </w:r>
                </w:p>
              </w:tc>
              <w:tc>
                <w:tcPr>
                  <w:tcW w:w="376" w:type="pct"/>
                  <w:noWrap w:val="0"/>
                  <w:vAlign w:val="center"/>
                </w:tcPr>
                <w:p w14:paraId="0FF99E7D">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52</w:t>
                  </w:r>
                </w:p>
              </w:tc>
              <w:tc>
                <w:tcPr>
                  <w:tcW w:w="442" w:type="pct"/>
                  <w:noWrap w:val="0"/>
                  <w:vAlign w:val="center"/>
                </w:tcPr>
                <w:p w14:paraId="4F4FAA60">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c>
                <w:tcPr>
                  <w:tcW w:w="442" w:type="pct"/>
                  <w:noWrap w:val="0"/>
                  <w:vAlign w:val="center"/>
                </w:tcPr>
                <w:p w14:paraId="5BB67681">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47</w:t>
                  </w:r>
                </w:p>
              </w:tc>
              <w:tc>
                <w:tcPr>
                  <w:tcW w:w="468" w:type="pct"/>
                  <w:noWrap w:val="0"/>
                  <w:vAlign w:val="center"/>
                </w:tcPr>
                <w:p w14:paraId="7619F894">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44</w:t>
                  </w:r>
                </w:p>
              </w:tc>
            </w:tr>
          </w:tbl>
          <w:p w14:paraId="131E719C">
            <w:pPr>
              <w:keepNext w:val="0"/>
              <w:keepLines w:val="0"/>
              <w:widowControl/>
              <w:suppressLineNumbers w:val="0"/>
              <w:jc w:val="center"/>
              <w:rPr>
                <w:rFonts w:hint="eastAsia" w:ascii="宋体" w:hAnsi="宋体" w:eastAsia="宋体" w:cs="宋体"/>
                <w:b/>
                <w:bCs/>
                <w:color w:val="auto"/>
                <w:kern w:val="0"/>
                <w:sz w:val="20"/>
                <w:szCs w:val="20"/>
                <w:highlight w:val="none"/>
                <w:lang w:val="en-US" w:eastAsia="zh-CN" w:bidi="ar"/>
              </w:rPr>
            </w:pPr>
          </w:p>
          <w:p w14:paraId="5E6CD03B">
            <w:pPr>
              <w:keepNext w:val="0"/>
              <w:keepLines w:val="0"/>
              <w:widowControl/>
              <w:suppressLineNumbers w:val="0"/>
              <w:jc w:val="center"/>
              <w:rPr>
                <w:rFonts w:hint="default" w:ascii="宋体" w:hAnsi="宋体" w:eastAsia="宋体" w:cs="宋体"/>
                <w:b/>
                <w:bCs/>
                <w:color w:val="auto"/>
                <w:kern w:val="0"/>
                <w:sz w:val="20"/>
                <w:szCs w:val="20"/>
                <w:highlight w:val="none"/>
                <w:lang w:val="en-US" w:eastAsia="zh-CN" w:bidi="ar"/>
              </w:rPr>
            </w:pPr>
            <w:r>
              <w:rPr>
                <w:rFonts w:hint="eastAsia" w:ascii="宋体" w:hAnsi="宋体" w:eastAsia="宋体" w:cs="宋体"/>
                <w:b/>
                <w:bCs/>
                <w:color w:val="auto"/>
                <w:kern w:val="0"/>
                <w:sz w:val="20"/>
                <w:szCs w:val="20"/>
                <w:highlight w:val="none"/>
                <w:lang w:val="en-US" w:eastAsia="zh-CN" w:bidi="ar"/>
              </w:rPr>
              <w:t>表4.1-5.施工船舶噪声预测结果： dB（A）</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978"/>
              <w:gridCol w:w="1822"/>
              <w:gridCol w:w="1977"/>
              <w:gridCol w:w="1923"/>
            </w:tblGrid>
            <w:tr w14:paraId="1CA1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vMerge w:val="restart"/>
                  <w:noWrap w:val="0"/>
                  <w:vAlign w:val="center"/>
                </w:tcPr>
                <w:p w14:paraId="0EDEF79F">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序号</w:t>
                  </w:r>
                </w:p>
              </w:tc>
              <w:tc>
                <w:tcPr>
                  <w:tcW w:w="1169" w:type="pct"/>
                  <w:vMerge w:val="restart"/>
                  <w:noWrap w:val="0"/>
                  <w:vAlign w:val="center"/>
                </w:tcPr>
                <w:p w14:paraId="5E5A8D63">
                  <w:pPr>
                    <w:adjustRightInd w:val="0"/>
                    <w:snapToGrid w:val="0"/>
                    <w:jc w:val="center"/>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设备名称</w:t>
                  </w:r>
                </w:p>
              </w:tc>
              <w:tc>
                <w:tcPr>
                  <w:tcW w:w="1077" w:type="pct"/>
                  <w:vMerge w:val="restart"/>
                  <w:noWrap w:val="0"/>
                  <w:vAlign w:val="center"/>
                </w:tcPr>
                <w:p w14:paraId="06A16EBB">
                  <w:pPr>
                    <w:adjustRightInd w:val="0"/>
                    <w:snapToGrid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 xml:space="preserve">最大噪声级 </w:t>
                  </w:r>
                </w:p>
                <w:p w14:paraId="25466CB4">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Lmax[dB(A)]</w:t>
                  </w:r>
                </w:p>
              </w:tc>
              <w:tc>
                <w:tcPr>
                  <w:tcW w:w="2304" w:type="pct"/>
                  <w:gridSpan w:val="2"/>
                  <w:noWrap w:val="0"/>
                  <w:vAlign w:val="center"/>
                </w:tcPr>
                <w:p w14:paraId="654AE92A">
                  <w:pPr>
                    <w:adjustRightInd w:val="0"/>
                    <w:snapToGrid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衰减至《建筑施工场界环境噪声排放标准》噪声值的距离(m)</w:t>
                  </w:r>
                </w:p>
              </w:tc>
            </w:tr>
            <w:tr w14:paraId="2B46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vMerge w:val="continue"/>
                  <w:noWrap w:val="0"/>
                  <w:vAlign w:val="center"/>
                </w:tcPr>
                <w:p w14:paraId="667EFB08">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p>
              </w:tc>
              <w:tc>
                <w:tcPr>
                  <w:tcW w:w="1169" w:type="pct"/>
                  <w:vMerge w:val="continue"/>
                  <w:noWrap w:val="0"/>
                  <w:vAlign w:val="center"/>
                </w:tcPr>
                <w:p w14:paraId="41B4512F">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p>
              </w:tc>
              <w:tc>
                <w:tcPr>
                  <w:tcW w:w="1077" w:type="pct"/>
                  <w:vMerge w:val="continue"/>
                  <w:noWrap w:val="0"/>
                  <w:vAlign w:val="center"/>
                </w:tcPr>
                <w:p w14:paraId="40EF8B1A">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p>
              </w:tc>
              <w:tc>
                <w:tcPr>
                  <w:tcW w:w="1168" w:type="pct"/>
                  <w:noWrap w:val="0"/>
                  <w:vAlign w:val="center"/>
                </w:tcPr>
                <w:p w14:paraId="171B4325">
                  <w:pPr>
                    <w:keepNext w:val="0"/>
                    <w:keepLines w:val="0"/>
                    <w:widowControl/>
                    <w:suppressLineNumbers w:val="0"/>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0"/>
                      <w:szCs w:val="20"/>
                      <w:highlight w:val="none"/>
                      <w:lang w:val="en-US" w:eastAsia="zh-CN" w:bidi="ar"/>
                    </w:rPr>
                    <w:t>70dB(A)</w:t>
                  </w:r>
                </w:p>
              </w:tc>
              <w:tc>
                <w:tcPr>
                  <w:tcW w:w="1136" w:type="pct"/>
                  <w:noWrap w:val="0"/>
                  <w:vAlign w:val="center"/>
                </w:tcPr>
                <w:p w14:paraId="2D369DF6">
                  <w:pPr>
                    <w:keepNext w:val="0"/>
                    <w:keepLines w:val="0"/>
                    <w:widowControl/>
                    <w:suppressLineNumbers w:val="0"/>
                    <w:adjustRightInd w:val="0"/>
                    <w:snapToGrid w:val="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0"/>
                      <w:sz w:val="20"/>
                      <w:szCs w:val="20"/>
                      <w:highlight w:val="none"/>
                      <w:lang w:val="en-US" w:eastAsia="zh-CN" w:bidi="ar"/>
                    </w:rPr>
                    <w:t>55</w:t>
                  </w:r>
                  <w:r>
                    <w:rPr>
                      <w:rFonts w:hint="default" w:ascii="Times New Roman" w:hAnsi="Times New Roman" w:eastAsia="宋体" w:cs="Times New Roman"/>
                      <w:b/>
                      <w:bCs/>
                      <w:color w:val="auto"/>
                      <w:kern w:val="0"/>
                      <w:sz w:val="20"/>
                      <w:szCs w:val="20"/>
                      <w:highlight w:val="none"/>
                      <w:lang w:val="en-US" w:eastAsia="zh-CN" w:bidi="ar"/>
                    </w:rPr>
                    <w:t>dB(A)</w:t>
                  </w:r>
                </w:p>
              </w:tc>
            </w:tr>
            <w:tr w14:paraId="1E3D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noWrap w:val="0"/>
                  <w:vAlign w:val="center"/>
                </w:tcPr>
                <w:p w14:paraId="1D071899">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1169" w:type="pct"/>
                  <w:noWrap w:val="0"/>
                  <w:vAlign w:val="center"/>
                </w:tcPr>
                <w:p w14:paraId="41745044">
                  <w:pPr>
                    <w:adjustRightInd w:val="0"/>
                    <w:snapToGrid w:val="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挖泥船</w:t>
                  </w:r>
                </w:p>
              </w:tc>
              <w:tc>
                <w:tcPr>
                  <w:tcW w:w="1077" w:type="pct"/>
                  <w:noWrap w:val="0"/>
                  <w:vAlign w:val="center"/>
                </w:tcPr>
                <w:p w14:paraId="068CDD0F">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68（50m处）</w:t>
                  </w:r>
                </w:p>
              </w:tc>
              <w:tc>
                <w:tcPr>
                  <w:tcW w:w="1168" w:type="pct"/>
                  <w:noWrap w:val="0"/>
                  <w:vAlign w:val="center"/>
                </w:tcPr>
                <w:p w14:paraId="61C1610C">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136" w:type="pct"/>
                  <w:noWrap w:val="0"/>
                  <w:vAlign w:val="center"/>
                </w:tcPr>
                <w:p w14:paraId="72C60778">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220</w:t>
                  </w:r>
                </w:p>
              </w:tc>
            </w:tr>
            <w:tr w14:paraId="63A2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noWrap w:val="0"/>
                  <w:vAlign w:val="center"/>
                </w:tcPr>
                <w:p w14:paraId="2CC8F79C">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1169" w:type="pct"/>
                  <w:noWrap w:val="0"/>
                  <w:vAlign w:val="center"/>
                </w:tcPr>
                <w:p w14:paraId="6B8E5C70">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一般施工船舶</w:t>
                  </w:r>
                </w:p>
              </w:tc>
              <w:tc>
                <w:tcPr>
                  <w:tcW w:w="1077" w:type="pct"/>
                  <w:noWrap w:val="0"/>
                  <w:vAlign w:val="center"/>
                </w:tcPr>
                <w:p w14:paraId="1D4968FA">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70（10m处）</w:t>
                  </w:r>
                </w:p>
              </w:tc>
              <w:tc>
                <w:tcPr>
                  <w:tcW w:w="1168" w:type="pct"/>
                  <w:noWrap w:val="0"/>
                  <w:vAlign w:val="center"/>
                </w:tcPr>
                <w:p w14:paraId="4835BB32">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136" w:type="pct"/>
                  <w:noWrap w:val="0"/>
                  <w:vAlign w:val="center"/>
                </w:tcPr>
                <w:p w14:paraId="33062BBD">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60</w:t>
                  </w:r>
                </w:p>
              </w:tc>
            </w:tr>
          </w:tbl>
          <w:p w14:paraId="7C4EB908">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从上表可知，最远在距施工场地220m处，船舶噪声强度已满足《建筑施工场界环境噪声排放标准》（GB12523-2011）的要求。项目施工船舶噪声影响范围主要为码头区域及附近海域，项目周边500m范围无学校、居民区等声环境敏感点，距声环境敏感点较远且项目施工船舶产生的噪声级不高，因此施工船舶噪声不会对周边居民产生影响，距声环境敏感点较远，施工噪声不会对环境敏感点造成影响。同时，通过加强施工作业管理，严格控制施工时间，待施工结束后，上述影响随即消失。</w:t>
            </w:r>
          </w:p>
          <w:p w14:paraId="1CA32450">
            <w:pPr>
              <w:pStyle w:val="19"/>
              <w:spacing w:line="360" w:lineRule="auto"/>
              <w:ind w:firstLine="562" w:firstLineChars="200"/>
              <w:rPr>
                <w:rFonts w:hint="eastAsia" w:ascii="宋体" w:hAnsi="Courier New" w:eastAsia="宋体" w:cs="Times New Roman"/>
                <w:b/>
                <w:bCs/>
                <w:color w:val="auto"/>
                <w:sz w:val="28"/>
                <w:szCs w:val="28"/>
                <w:highlight w:val="none"/>
                <w:lang w:val="en-US" w:eastAsia="zh-CN"/>
              </w:rPr>
            </w:pPr>
            <w:r>
              <w:rPr>
                <w:rFonts w:hint="eastAsia" w:ascii="宋体" w:hAnsi="Courier New" w:eastAsia="宋体" w:cs="Times New Roman"/>
                <w:b/>
                <w:bCs/>
                <w:color w:val="auto"/>
                <w:sz w:val="28"/>
                <w:szCs w:val="28"/>
                <w:highlight w:val="none"/>
                <w:lang w:val="en-US" w:eastAsia="zh-CN"/>
              </w:rPr>
              <w:t>4.1.4海洋生态环境影响</w:t>
            </w:r>
          </w:p>
          <w:p w14:paraId="27DFF9AF">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1、海洋沉积物环境影响分析</w:t>
            </w:r>
          </w:p>
          <w:p w14:paraId="5CF97AFD">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对海洋沉积物的环境影响主要为疏浚施工，项目疏浚施工产生的悬浮泥沙在水流和重力的作用下，在码头港池附近扩散和沉淀，从而改变附近底基沉积物的理化性质，悬浮泥沙对海洋沉积物的影响主要包括两个方面：一是粒度较大的泥沙被扰动悬浮到附近水体后，经过较短距离的扩散即沉降，其沉降范围位于疏浚区附近，这部分泥沙对施工区外的沉积物基本没有影响；二是粒度较小的泥沙进入水体而影响海水水质，并长时间悬浮于水体中，经过相对较长距离的扩散后再沉降，将改变周边区域的沉积物环境。因此，项目疏浚施工会对海洋沉积物 环境造成一定的干扰，但由于无外来污染物，悬浮泥沙主要为该海域天然沉积细砂混淤泥，由施工扰动产生的悬浮物再次沉降对本海区表层沉积物环境质量不会产生明显的影响，沉积物质量仍将基本保持现有水平。</w:t>
            </w:r>
          </w:p>
          <w:p w14:paraId="33BE2A22">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2、悬浮泥沙对海洋生态环境影响</w:t>
            </w:r>
          </w:p>
          <w:p w14:paraId="6B705466">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项目施工期产生的悬浮泥沙会导致疏浚区域附近海域悬浮物浓度局部、暂时性升高，导致局部范围内的水体浑浊度增加，减少透光率，造成部分鱼类回避并影响浮游植物的光合作用。 </w:t>
            </w:r>
          </w:p>
          <w:p w14:paraId="46A604EE">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悬浮泥沙对水生生物的影响主要是对鱼卵、仔稚鱼和幼体造成严重伤害，表现为影响胚胎发育、堵塞生物的腮部造成窒息死亡，悬浮物沉积造成水体缺氧而导致死亡等。待施工结束后，产生的影响也随之消失，海域生态环境可得到一定程度的恢复。 </w:t>
            </w:r>
          </w:p>
          <w:p w14:paraId="75527709">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①对浮游生物的影响 </w:t>
            </w:r>
          </w:p>
          <w:p w14:paraId="0D03E1AB">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悬浮泥沙对浮游生物的影响主要为施工过程中产生的悬浮泥沙导致水体浑浊度增大，透明度降低，不利于浮游植物的繁殖生长，此外还表现在对浮游动物的生长率、摄食率的影响等。本项目属于码头港池维护性疏浚，疏浚总量较小，悬浮泥沙排放的时间相对较短，疏浚施工产生的悬浮泥沙扩散主要是在码头港池附近，随着施工作业结束，悬浮泥沙的影响随之消失。</w:t>
            </w:r>
          </w:p>
          <w:p w14:paraId="28327BBF">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②对潮间带生物影响 </w:t>
            </w:r>
          </w:p>
          <w:p w14:paraId="639F55D1">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潮间带生物的栖居形式包括爬行、固着、埋栖、穴居、底游等类型，除底栖鱼类与虾蟹类运动较敏捷，其他门类通常不甚活跃或营固着生活。项目疏浚施工过程中除少量活动能力强的底栖鱼类与虾蟹类可逃往他处外，大多数栖息于该海域的潮间带生物由于来不及逃离，被施工机械击中而死亡或被填埋。本项目码头港池维护性疏浚规模较小，疏浚面积约为14.15h</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 xml:space="preserve">，施工结束后拟采用人工增殖放流等生态补偿措施可以使海洋生物资源得到有效的恢复和保护。 </w:t>
            </w:r>
          </w:p>
          <w:p w14:paraId="75925E8F">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③对渔业资源的影响 </w:t>
            </w:r>
          </w:p>
          <w:p w14:paraId="655062D3">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渔业资源主要包括游泳生物（主要为鱼、虾、蟹）和鱼卵仔鱼，随着工程实施悬浮泥沙浓度不断增加，并在水体中不断沉降和扩散，势必会造成对海域中鱼卵的覆盖，影响其正常发育 孵化的生理过程。而对于有游泳能力的仔鱼，则阻碍其正常的游动行为。另外，悬浮泥沙含量 增高导致浮游生物和底栖生物生物量减少，进而影响游泳生物和鱼类的饵料摄取。同时，水中 悬浮泥沙含量过高，会使鱼类的腮腺积聚泥沙微粒，严重损害腮部的滤水和呼吸功能，甚至导致鱼类窒息死亡。一般情况下，成鱼在浑浊水域（</w:t>
            </w:r>
            <w:r>
              <w:rPr>
                <w:rFonts w:hint="default" w:ascii="Times New Roman" w:hAnsi="Times New Roman" w:eastAsia="宋体" w:cs="Times New Roman"/>
                <w:color w:val="auto"/>
                <w:sz w:val="24"/>
                <w:highlight w:val="none"/>
                <w:lang w:val="en-US" w:eastAsia="zh-CN"/>
              </w:rPr>
              <w:t>SS</w:t>
            </w:r>
            <w:r>
              <w:rPr>
                <w:rFonts w:hint="eastAsia" w:ascii="Times New Roman" w:hAnsi="Times New Roman" w:eastAsia="宋体" w:cs="Times New Roman"/>
                <w:color w:val="auto"/>
                <w:sz w:val="24"/>
                <w:highlight w:val="none"/>
                <w:lang w:val="en-US" w:eastAsia="zh-CN"/>
              </w:rPr>
              <w:t>含量高于</w:t>
            </w:r>
            <w:r>
              <w:rPr>
                <w:rFonts w:hint="default" w:ascii="Times New Roman" w:hAnsi="Times New Roman" w:eastAsia="宋体" w:cs="Times New Roman"/>
                <w:color w:val="auto"/>
                <w:sz w:val="24"/>
                <w:highlight w:val="none"/>
                <w:lang w:val="en-US" w:eastAsia="zh-CN"/>
              </w:rPr>
              <w:t>70mg/L</w:t>
            </w:r>
            <w:r>
              <w:rPr>
                <w:rFonts w:hint="eastAsia" w:ascii="Times New Roman" w:hAnsi="Times New Roman" w:eastAsia="宋体" w:cs="Times New Roman"/>
                <w:color w:val="auto"/>
                <w:sz w:val="24"/>
                <w:highlight w:val="none"/>
                <w:lang w:val="en-US" w:eastAsia="zh-CN"/>
              </w:rPr>
              <w:t>）会做出回避反应，迅速逃离影响地带，待项目施工结束，海域影响减小时，鱼类又会洄游回来，所以对成鱼来说这种影响是暂时性的、小区域的，随着施工阶段的结束，海域将恢复正常。由于本项目属于码头 港池维护性疏浚，疏浚规模较小，悬浮泥沙排放的时间相对较短，疏浚施工产生的悬浮泥沙扩散主要是在码头港池附近，施工产生的悬浮泥沙对周边海域渔业资源产生的影响较小。</w:t>
            </w:r>
          </w:p>
          <w:p w14:paraId="576BE04F">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val="en-US" w:eastAsia="zh-CN"/>
              </w:rPr>
              <w:t>）海洋生物资源损失量分析</w:t>
            </w:r>
          </w:p>
          <w:p w14:paraId="212EE5BD">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①生物资源密度的选取</w:t>
            </w:r>
          </w:p>
          <w:p w14:paraId="0BDF28B6">
            <w:pPr>
              <w:spacing w:line="360" w:lineRule="auto"/>
              <w:ind w:firstLine="480" w:firstLineChars="200"/>
              <w:rPr>
                <w:rFonts w:hint="default"/>
                <w:color w:val="auto"/>
                <w:highlight w:val="none"/>
                <w:lang w:val="en-US" w:eastAsia="zh-CN"/>
              </w:rPr>
            </w:pPr>
            <w:r>
              <w:rPr>
                <w:rFonts w:hint="eastAsia" w:ascii="Times New Roman" w:hAnsi="Times New Roman" w:eastAsia="宋体" w:cs="Times New Roman"/>
                <w:color w:val="auto"/>
                <w:sz w:val="24"/>
                <w:highlight w:val="none"/>
                <w:lang w:val="en-US" w:eastAsia="zh-CN"/>
              </w:rPr>
              <w:t>本次评价引用《钦州港正新散杂货码头扩建项目环境影响报告书》中秋季2024年9月、10月海洋环境质量监测数据，本次生物损失量以2024年9月、10月调查生物资源密度作为本底计算参数。</w:t>
            </w:r>
          </w:p>
          <w:p w14:paraId="21A68514">
            <w:pPr>
              <w:keepNext w:val="0"/>
              <w:keepLines w:val="0"/>
              <w:widowControl/>
              <w:suppressLineNumbers w:val="0"/>
              <w:jc w:val="center"/>
              <w:rPr>
                <w:rFonts w:hint="eastAsia" w:ascii="宋体" w:hAnsi="宋体" w:eastAsia="宋体" w:cs="宋体"/>
                <w:b/>
                <w:bCs/>
                <w:color w:val="auto"/>
                <w:kern w:val="0"/>
                <w:sz w:val="20"/>
                <w:szCs w:val="20"/>
                <w:highlight w:val="none"/>
                <w:lang w:val="en-US" w:eastAsia="zh-CN" w:bidi="ar"/>
              </w:rPr>
            </w:pPr>
            <w:r>
              <w:rPr>
                <w:rFonts w:hint="eastAsia" w:ascii="宋体" w:hAnsi="宋体" w:eastAsia="宋体" w:cs="宋体"/>
                <w:b/>
                <w:bCs/>
                <w:color w:val="auto"/>
                <w:kern w:val="0"/>
                <w:sz w:val="20"/>
                <w:szCs w:val="20"/>
                <w:highlight w:val="none"/>
                <w:lang w:val="en-US" w:eastAsia="zh-CN" w:bidi="ar"/>
              </w:rPr>
              <w:t>表4.1-6   项目生物资源密度取值一览表</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022"/>
              <w:gridCol w:w="1608"/>
              <w:gridCol w:w="1540"/>
              <w:gridCol w:w="1070"/>
              <w:gridCol w:w="1247"/>
            </w:tblGrid>
            <w:tr w14:paraId="1933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489" w:type="dxa"/>
                  <w:noWrap w:val="0"/>
                  <w:vAlign w:val="center"/>
                </w:tcPr>
                <w:p w14:paraId="2A122DF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类别</w:t>
                  </w:r>
                </w:p>
              </w:tc>
              <w:tc>
                <w:tcPr>
                  <w:tcW w:w="1022" w:type="dxa"/>
                  <w:noWrap w:val="0"/>
                  <w:vAlign w:val="center"/>
                </w:tcPr>
                <w:p w14:paraId="1F155FB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底栖生物</w:t>
                  </w:r>
                </w:p>
              </w:tc>
              <w:tc>
                <w:tcPr>
                  <w:tcW w:w="1608" w:type="dxa"/>
                  <w:noWrap w:val="0"/>
                  <w:vAlign w:val="center"/>
                </w:tcPr>
                <w:p w14:paraId="09059B9F">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浮游植物</w:t>
                  </w:r>
                </w:p>
              </w:tc>
              <w:tc>
                <w:tcPr>
                  <w:tcW w:w="1540" w:type="dxa"/>
                  <w:noWrap w:val="0"/>
                  <w:vAlign w:val="center"/>
                </w:tcPr>
                <w:p w14:paraId="7D1FEF27">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浮游动物</w:t>
                  </w:r>
                </w:p>
              </w:tc>
              <w:tc>
                <w:tcPr>
                  <w:tcW w:w="1070" w:type="dxa"/>
                  <w:noWrap w:val="0"/>
                  <w:vAlign w:val="center"/>
                </w:tcPr>
                <w:p w14:paraId="19626F85">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鱼卵</w:t>
                  </w:r>
                </w:p>
              </w:tc>
              <w:tc>
                <w:tcPr>
                  <w:tcW w:w="1247" w:type="dxa"/>
                  <w:noWrap w:val="0"/>
                  <w:vAlign w:val="center"/>
                </w:tcPr>
                <w:p w14:paraId="4CE5BA4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仔稚鱼</w:t>
                  </w:r>
                </w:p>
              </w:tc>
            </w:tr>
            <w:tr w14:paraId="208F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noWrap w:val="0"/>
                  <w:vAlign w:val="center"/>
                </w:tcPr>
                <w:p w14:paraId="546D0C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生物资源密度或生物量</w:t>
                  </w:r>
                </w:p>
              </w:tc>
              <w:tc>
                <w:tcPr>
                  <w:tcW w:w="1022" w:type="dxa"/>
                  <w:noWrap w:val="0"/>
                  <w:vAlign w:val="center"/>
                </w:tcPr>
                <w:p w14:paraId="2D78B72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1.73</w:t>
                  </w:r>
                  <w:r>
                    <w:rPr>
                      <w:rFonts w:hint="default" w:ascii="Times New Roman" w:hAnsi="Times New Roman" w:eastAsia="宋体" w:cs="Times New Roman"/>
                      <w:b w:val="0"/>
                      <w:bCs w:val="0"/>
                      <w:color w:val="auto"/>
                      <w:sz w:val="21"/>
                      <w:szCs w:val="21"/>
                      <w:highlight w:val="none"/>
                      <w:lang w:val="en-US" w:eastAsia="zh-CN"/>
                    </w:rPr>
                    <w:t>g/m</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1608" w:type="dxa"/>
                  <w:noWrap w:val="0"/>
                  <w:vAlign w:val="center"/>
                </w:tcPr>
                <w:p w14:paraId="137B096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密度</w:t>
                  </w:r>
                </w:p>
                <w:p w14:paraId="76EAB95A">
                  <w:pPr>
                    <w:pStyle w:val="9"/>
                    <w:ind w:left="0" w:leftChars="0" w:firstLine="0" w:firstLineChars="0"/>
                    <w:jc w:val="both"/>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4.37</w:t>
                  </w:r>
                  <w:r>
                    <w:rPr>
                      <w:rFonts w:hint="default" w:ascii="Times New Roman" w:hAnsi="Times New Roman" w:eastAsia="宋体" w:cs="Times New Roman"/>
                      <w:color w:val="auto"/>
                      <w:sz w:val="21"/>
                      <w:szCs w:val="21"/>
                      <w:highlight w:val="none"/>
                      <w:shd w:val="clear" w:color="auto" w:fill="auto"/>
                    </w:rPr>
                    <w:t>×10</w:t>
                  </w:r>
                  <w:r>
                    <w:rPr>
                      <w:rFonts w:hint="default" w:ascii="Times New Roman" w:hAnsi="Times New Roman" w:eastAsia="宋体" w:cs="Times New Roman"/>
                      <w:color w:val="auto"/>
                      <w:sz w:val="21"/>
                      <w:szCs w:val="21"/>
                      <w:highlight w:val="none"/>
                      <w:shd w:val="clear" w:color="auto" w:fill="auto"/>
                      <w:vertAlign w:val="superscript"/>
                      <w:lang w:val="en-US" w:eastAsia="zh-CN"/>
                    </w:rPr>
                    <w:t>6</w:t>
                  </w:r>
                  <w:r>
                    <w:rPr>
                      <w:rFonts w:hint="default" w:ascii="Times New Roman" w:hAnsi="Times New Roman" w:eastAsia="宋体" w:cs="Times New Roman"/>
                      <w:color w:val="auto"/>
                      <w:sz w:val="21"/>
                      <w:szCs w:val="21"/>
                      <w:highlight w:val="none"/>
                      <w:shd w:val="clear" w:color="auto" w:fill="auto"/>
                      <w:lang w:val="en-US" w:eastAsia="zh-CN"/>
                    </w:rPr>
                    <w:t>个/m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p>
              </w:tc>
              <w:tc>
                <w:tcPr>
                  <w:tcW w:w="1540" w:type="dxa"/>
                  <w:noWrap w:val="0"/>
                  <w:vAlign w:val="center"/>
                </w:tcPr>
                <w:p w14:paraId="20240DC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生物量为</w:t>
                  </w:r>
                  <w:r>
                    <w:rPr>
                      <w:rFonts w:hint="default" w:ascii="Times New Roman" w:hAnsi="Times New Roman" w:eastAsia="宋体" w:cs="Times New Roman"/>
                      <w:color w:val="auto"/>
                      <w:sz w:val="21"/>
                      <w:szCs w:val="21"/>
                      <w:highlight w:val="none"/>
                      <w:lang w:val="en-US" w:eastAsia="zh-CN"/>
                    </w:rPr>
                    <w:t>207.7</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1070" w:type="dxa"/>
                  <w:noWrap w:val="0"/>
                  <w:vAlign w:val="center"/>
                </w:tcPr>
                <w:p w14:paraId="665DD83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密度</w:t>
                  </w:r>
                </w:p>
                <w:p w14:paraId="477F01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0.064 ind/m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1247" w:type="dxa"/>
                  <w:noWrap w:val="0"/>
                  <w:vAlign w:val="center"/>
                </w:tcPr>
                <w:p w14:paraId="071F41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密度</w:t>
                  </w:r>
                </w:p>
                <w:p w14:paraId="3D6029F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0.162ind/m</w:t>
                  </w:r>
                  <w:r>
                    <w:rPr>
                      <w:rFonts w:hint="default" w:ascii="Times New Roman" w:hAnsi="Times New Roman" w:eastAsia="宋体" w:cs="Times New Roman"/>
                      <w:b w:val="0"/>
                      <w:bCs w:val="0"/>
                      <w:color w:val="auto"/>
                      <w:sz w:val="21"/>
                      <w:szCs w:val="21"/>
                      <w:highlight w:val="none"/>
                      <w:vertAlign w:val="superscript"/>
                      <w:lang w:val="en-US" w:eastAsia="zh-CN"/>
                    </w:rPr>
                    <w:t>3</w:t>
                  </w:r>
                </w:p>
              </w:tc>
            </w:tr>
          </w:tbl>
          <w:p w14:paraId="22A300A7">
            <w:pPr>
              <w:pStyle w:val="19"/>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②港池疏浚占用海域造成海洋生物损失</w:t>
            </w:r>
          </w:p>
          <w:p w14:paraId="0E8E13EE">
            <w:pPr>
              <w:pStyle w:val="19"/>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工程用海范围内的海洋生物资源损失量计算公式参见如下：</w:t>
            </w:r>
          </w:p>
          <w:p w14:paraId="18007139">
            <w:pPr>
              <w:ind w:firstLine="480"/>
              <w:jc w:val="center"/>
              <w:rPr>
                <w:color w:val="auto"/>
                <w:szCs w:val="24"/>
                <w:highlight w:val="none"/>
              </w:rPr>
            </w:pPr>
            <w:r>
              <w:rPr>
                <w:color w:val="auto"/>
                <w:highlight w:val="none"/>
              </w:rPr>
              <w:drawing>
                <wp:inline distT="0" distB="0" distL="114300" distR="114300">
                  <wp:extent cx="1151890" cy="372745"/>
                  <wp:effectExtent l="0" t="0" r="10160" b="8255"/>
                  <wp:docPr id="5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1"/>
                          <pic:cNvPicPr>
                            <a:picLocks noChangeAspect="1"/>
                          </pic:cNvPicPr>
                        </pic:nvPicPr>
                        <pic:blipFill>
                          <a:blip r:embed="rId49"/>
                          <a:stretch>
                            <a:fillRect/>
                          </a:stretch>
                        </pic:blipFill>
                        <pic:spPr>
                          <a:xfrm>
                            <a:off x="0" y="0"/>
                            <a:ext cx="1151890" cy="372745"/>
                          </a:xfrm>
                          <a:prstGeom prst="rect">
                            <a:avLst/>
                          </a:prstGeom>
                          <a:noFill/>
                          <a:ln>
                            <a:noFill/>
                          </a:ln>
                        </pic:spPr>
                      </pic:pic>
                    </a:graphicData>
                  </a:graphic>
                </wp:inline>
              </w:drawing>
            </w:r>
          </w:p>
          <w:p w14:paraId="048356F2">
            <w:pPr>
              <w:pStyle w:val="19"/>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eastAsia" w:ascii="Times New Roman" w:hAnsi="Times New Roman" w:eastAsia="宋体" w:cs="Times New Roman"/>
                <w:color w:val="auto"/>
                <w:sz w:val="24"/>
                <w:szCs w:val="24"/>
                <w:highlight w:val="none"/>
                <w:lang w:val="en-US" w:eastAsia="zh-CN"/>
              </w:rPr>
              <w:t>：</w:t>
            </w:r>
          </w:p>
          <w:p w14:paraId="4B295876">
            <w:pPr>
              <w:pStyle w:val="19"/>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Wi—第i种类生物资源受损量，单位为尾（尾）、个（个）、千克（kg）；</w:t>
            </w:r>
          </w:p>
          <w:p w14:paraId="6CE12BD8">
            <w:pPr>
              <w:pStyle w:val="19"/>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Di—评估区域内第i种类生物资源密度，单位尾（个）/km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]、尾（个）/km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、kg/km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p w14:paraId="268287AF">
            <w:pPr>
              <w:pStyle w:val="19"/>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Si—第i种类生物占用的渔业水域面积或体积，单位为km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或km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。疏浚过程造成底栖生物损失。本工程疏浚面积</w:t>
            </w:r>
            <w:r>
              <w:rPr>
                <w:rFonts w:hint="eastAsia" w:ascii="Times New Roman" w:hAnsi="Times New Roman" w:eastAsia="宋体" w:cs="Times New Roman"/>
                <w:color w:val="auto"/>
                <w:sz w:val="24"/>
                <w:szCs w:val="24"/>
                <w:highlight w:val="none"/>
                <w:lang w:val="en-US" w:eastAsia="zh-CN"/>
              </w:rPr>
              <w:t>约0.14k</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，疏浚过程中该海域底栖生物几乎100%死亡，底栖生物的生物量</w:t>
            </w:r>
            <w:r>
              <w:rPr>
                <w:rFonts w:hint="eastAsia" w:ascii="Times New Roman" w:hAnsi="Times New Roman" w:eastAsia="宋体" w:cs="Times New Roman"/>
                <w:color w:val="auto"/>
                <w:sz w:val="24"/>
                <w:szCs w:val="24"/>
                <w:highlight w:val="none"/>
                <w:lang w:val="en-US" w:eastAsia="zh-CN"/>
              </w:rPr>
              <w:t>采用秋季监测站点30#（海水水质+沉积物+生态（无潮间带）监测点）的底栖生物生物量1.73</w:t>
            </w:r>
            <w:r>
              <w:rPr>
                <w:rFonts w:hint="default" w:ascii="Times New Roman" w:hAnsi="Times New Roman" w:eastAsia="宋体" w:cs="Times New Roman"/>
                <w:color w:val="auto"/>
                <w:sz w:val="24"/>
                <w:szCs w:val="24"/>
                <w:highlight w:val="none"/>
                <w:lang w:val="en-US" w:eastAsia="zh-CN"/>
              </w:rPr>
              <w:t>g/m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，疏浚造成的底栖生物平均损失量为</w:t>
            </w:r>
            <w:r>
              <w:rPr>
                <w:rFonts w:hint="eastAsia" w:ascii="Times New Roman" w:hAnsi="Times New Roman" w:eastAsia="宋体" w:cs="Times New Roman"/>
                <w:color w:val="auto"/>
                <w:sz w:val="24"/>
                <w:szCs w:val="24"/>
                <w:highlight w:val="none"/>
                <w:lang w:val="en-US" w:eastAsia="zh-CN"/>
              </w:rPr>
              <w:t>0.245t</w:t>
            </w:r>
            <w:r>
              <w:rPr>
                <w:rFonts w:hint="default" w:ascii="Times New Roman" w:hAnsi="Times New Roman" w:eastAsia="宋体" w:cs="Times New Roman"/>
                <w:color w:val="auto"/>
                <w:sz w:val="24"/>
                <w:szCs w:val="24"/>
                <w:highlight w:val="none"/>
                <w:lang w:val="en-US" w:eastAsia="zh-CN"/>
              </w:rPr>
              <w:t>。</w:t>
            </w:r>
          </w:p>
          <w:p w14:paraId="08B61291">
            <w:pPr>
              <w:pStyle w:val="19"/>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③疏浚悬浮物造成的生物损失量</w:t>
            </w:r>
          </w:p>
          <w:p w14:paraId="34C1E071">
            <w:pPr>
              <w:pStyle w:val="201"/>
              <w:ind w:firstLine="442"/>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A.计算公式</w:t>
            </w:r>
          </w:p>
          <w:p w14:paraId="41DF50F5">
            <w:pPr>
              <w:pStyle w:val="201"/>
              <w:rPr>
                <w:color w:val="auto"/>
                <w:highlight w:val="none"/>
              </w:rPr>
            </w:pPr>
            <w:r>
              <w:rPr>
                <w:rFonts w:hint="eastAsia" w:ascii="Times New Roman" w:hAnsi="Times New Roman" w:eastAsia="宋体" w:cs="Times New Roman"/>
                <w:color w:val="auto"/>
                <w:sz w:val="24"/>
                <w:szCs w:val="24"/>
                <w:highlight w:val="none"/>
                <w:lang w:val="en-US" w:eastAsia="zh-CN"/>
              </w:rPr>
              <w:t>疏浚施工为移动源，</w:t>
            </w:r>
            <w:r>
              <w:rPr>
                <w:rFonts w:hint="default" w:ascii="Times New Roman" w:hAnsi="Times New Roman" w:eastAsia="宋体" w:cs="Times New Roman"/>
                <w:color w:val="auto"/>
                <w:sz w:val="24"/>
                <w:szCs w:val="24"/>
                <w:highlight w:val="none"/>
                <w:lang w:val="en-US" w:eastAsia="zh-CN"/>
              </w:rPr>
              <w:t>疏浚产生的悬浮泥沙浓度增量区域存在时间少于15d，故界定为一次性损害。</w:t>
            </w:r>
            <w:r>
              <w:rPr>
                <w:rFonts w:hint="eastAsia" w:ascii="Times New Roman" w:hAnsi="Times New Roman" w:eastAsia="宋体" w:cs="Times New Roman"/>
                <w:color w:val="auto"/>
                <w:sz w:val="24"/>
                <w:szCs w:val="24"/>
                <w:highlight w:val="none"/>
                <w:lang w:val="en-US" w:eastAsia="zh-CN"/>
              </w:rPr>
              <w:t>生物资源</w:t>
            </w:r>
            <w:r>
              <w:rPr>
                <w:rFonts w:hint="eastAsia"/>
                <w:color w:val="auto"/>
                <w:szCs w:val="24"/>
                <w:highlight w:val="none"/>
                <w:lang w:eastAsia="zh-CN"/>
              </w:rPr>
              <w:t>损失量按照</w:t>
            </w:r>
            <w:r>
              <w:rPr>
                <w:rFonts w:hint="eastAsia"/>
                <w:color w:val="auto"/>
                <w:highlight w:val="none"/>
              </w:rPr>
              <w:t>《建设项目对海洋生物资源影响评价技术规程》中的公式进行计算，公式如下：</w:t>
            </w:r>
          </w:p>
          <w:p w14:paraId="0BAE91B5">
            <w:pPr>
              <w:pStyle w:val="43"/>
              <w:ind w:firstLine="221"/>
              <w:jc w:val="center"/>
              <w:rPr>
                <w:color w:val="auto"/>
                <w:highlight w:val="none"/>
              </w:rPr>
            </w:pPr>
            <w:r>
              <w:rPr>
                <w:color w:val="auto"/>
                <w:position w:val="-32"/>
                <w:highlight w:val="none"/>
              </w:rPr>
              <w:object>
                <v:shape id="_x0000_i1028" o:spt="75" type="#_x0000_t75" style="height:36pt;width:108pt;" o:ole="t" filled="f" o:preferrelative="t" stroked="f" coordsize="21600,21600">
                  <v:path/>
                  <v:fill on="f" focussize="0,0"/>
                  <v:stroke on="f"/>
                  <v:imagedata r:id="rId51" o:title=""/>
                  <o:lock v:ext="edit" aspectratio="t"/>
                  <w10:wrap type="none"/>
                  <w10:anchorlock/>
                </v:shape>
                <o:OLEObject Type="Embed" ProgID="Equation.DSMT4" ShapeID="_x0000_i1028" DrawAspect="Content" ObjectID="_1468075728" r:id="rId50">
                  <o:LockedField>false</o:LockedField>
                </o:OLEObject>
              </w:object>
            </w:r>
          </w:p>
          <w:p w14:paraId="4C2B293D">
            <w:pPr>
              <w:pStyle w:val="201"/>
              <w:ind w:firstLine="442"/>
              <w:rPr>
                <w:color w:val="auto"/>
                <w:highlight w:val="none"/>
              </w:rPr>
            </w:pPr>
            <w:r>
              <w:rPr>
                <w:rFonts w:hint="eastAsia"/>
                <w:color w:val="auto"/>
                <w:highlight w:val="none"/>
              </w:rPr>
              <w:t>上述公式中：</w:t>
            </w:r>
          </w:p>
          <w:p w14:paraId="01C7E07F">
            <w:pPr>
              <w:pStyle w:val="201"/>
              <w:ind w:firstLine="442"/>
              <w:rPr>
                <w:color w:val="auto"/>
                <w:highlight w:val="none"/>
              </w:rPr>
            </w:pPr>
            <w:r>
              <w:rPr>
                <w:rFonts w:hint="eastAsia"/>
                <w:color w:val="auto"/>
                <w:highlight w:val="none"/>
              </w:rPr>
              <w:t>Wi</w:t>
            </w:r>
            <w:r>
              <w:rPr>
                <w:color w:val="auto"/>
                <w:highlight w:val="none"/>
              </w:rPr>
              <w:t>—</w:t>
            </w:r>
            <w:r>
              <w:rPr>
                <w:rFonts w:hint="eastAsia"/>
                <w:color w:val="auto"/>
                <w:highlight w:val="none"/>
              </w:rPr>
              <w:t>第i种类生物资源一次性平均受损量，单位为尾、个、千克；</w:t>
            </w:r>
          </w:p>
          <w:p w14:paraId="5D997DC1">
            <w:pPr>
              <w:pStyle w:val="201"/>
              <w:ind w:firstLine="442"/>
              <w:rPr>
                <w:color w:val="auto"/>
                <w:highlight w:val="none"/>
              </w:rPr>
            </w:pPr>
            <w:r>
              <w:rPr>
                <w:rFonts w:hint="eastAsia"/>
                <w:color w:val="auto"/>
                <w:highlight w:val="none"/>
              </w:rPr>
              <w:t>Dij</w:t>
            </w:r>
            <w:r>
              <w:rPr>
                <w:color w:val="auto"/>
                <w:highlight w:val="none"/>
              </w:rPr>
              <w:t>—某一污染物第</w:t>
            </w:r>
            <w:r>
              <w:rPr>
                <w:rFonts w:hint="eastAsia"/>
                <w:color w:val="auto"/>
                <w:highlight w:val="none"/>
              </w:rPr>
              <w:t>j类浓度增量区第i种类生物资源密度，单位为尾（个）每平方千米[尾（个）/</w:t>
            </w:r>
            <w:r>
              <w:rPr>
                <w:color w:val="auto"/>
                <w:highlight w:val="none"/>
              </w:rPr>
              <w:t>km</w:t>
            </w:r>
            <w:r>
              <w:rPr>
                <w:color w:val="auto"/>
                <w:highlight w:val="none"/>
                <w:vertAlign w:val="superscript"/>
              </w:rPr>
              <w:t>2</w:t>
            </w:r>
            <w:r>
              <w:rPr>
                <w:rFonts w:hint="eastAsia"/>
                <w:color w:val="auto"/>
                <w:highlight w:val="none"/>
              </w:rPr>
              <w:t>]、尾（个）每立方千米[尾（个）/</w:t>
            </w:r>
            <w:r>
              <w:rPr>
                <w:color w:val="auto"/>
                <w:highlight w:val="none"/>
              </w:rPr>
              <w:t>km</w:t>
            </w:r>
            <w:r>
              <w:rPr>
                <w:rFonts w:hint="eastAsia"/>
                <w:color w:val="auto"/>
                <w:highlight w:val="none"/>
                <w:vertAlign w:val="superscript"/>
              </w:rPr>
              <w:t>3</w:t>
            </w:r>
            <w:r>
              <w:rPr>
                <w:rFonts w:hint="eastAsia"/>
                <w:color w:val="auto"/>
                <w:highlight w:val="none"/>
              </w:rPr>
              <w:t>]、千克每平方千米（</w:t>
            </w:r>
            <w:r>
              <w:rPr>
                <w:color w:val="auto"/>
                <w:highlight w:val="none"/>
              </w:rPr>
              <w:t>kg</w:t>
            </w:r>
            <w:r>
              <w:rPr>
                <w:rFonts w:hint="eastAsia"/>
                <w:color w:val="auto"/>
                <w:highlight w:val="none"/>
              </w:rPr>
              <w:t>/</w:t>
            </w:r>
            <w:r>
              <w:rPr>
                <w:color w:val="auto"/>
                <w:highlight w:val="none"/>
              </w:rPr>
              <w:t>km</w:t>
            </w:r>
            <w:r>
              <w:rPr>
                <w:rFonts w:hint="eastAsia"/>
                <w:color w:val="auto"/>
                <w:highlight w:val="none"/>
                <w:vertAlign w:val="superscript"/>
              </w:rPr>
              <w:t>2</w:t>
            </w:r>
            <w:r>
              <w:rPr>
                <w:rFonts w:hint="eastAsia"/>
                <w:color w:val="auto"/>
                <w:highlight w:val="none"/>
              </w:rPr>
              <w:t>）；</w:t>
            </w:r>
          </w:p>
          <w:p w14:paraId="1DC89F73">
            <w:pPr>
              <w:pStyle w:val="201"/>
              <w:ind w:firstLine="442"/>
              <w:rPr>
                <w:color w:val="auto"/>
                <w:highlight w:val="none"/>
              </w:rPr>
            </w:pPr>
            <w:r>
              <w:rPr>
                <w:rFonts w:hint="eastAsia"/>
                <w:color w:val="auto"/>
                <w:highlight w:val="none"/>
              </w:rPr>
              <w:t>S</w:t>
            </w:r>
            <w:r>
              <w:rPr>
                <w:rFonts w:hint="eastAsia"/>
                <w:color w:val="auto"/>
                <w:highlight w:val="none"/>
                <w:vertAlign w:val="subscript"/>
              </w:rPr>
              <w:t>j</w:t>
            </w:r>
            <w:r>
              <w:rPr>
                <w:color w:val="auto"/>
                <w:highlight w:val="none"/>
              </w:rPr>
              <w:t>—某一污染物第</w:t>
            </w:r>
            <w:r>
              <w:rPr>
                <w:rFonts w:hint="eastAsia"/>
                <w:color w:val="auto"/>
                <w:highlight w:val="none"/>
              </w:rPr>
              <w:t>j类浓度增量区面积，单位为平方千米（km</w:t>
            </w:r>
            <w:r>
              <w:rPr>
                <w:rFonts w:hint="eastAsia"/>
                <w:color w:val="auto"/>
                <w:highlight w:val="none"/>
                <w:vertAlign w:val="superscript"/>
              </w:rPr>
              <w:t>2</w:t>
            </w:r>
            <w:r>
              <w:rPr>
                <w:rFonts w:hint="eastAsia"/>
                <w:color w:val="auto"/>
                <w:highlight w:val="none"/>
              </w:rPr>
              <w:t>）；</w:t>
            </w:r>
          </w:p>
          <w:p w14:paraId="51E86B76">
            <w:pPr>
              <w:pStyle w:val="201"/>
              <w:ind w:firstLine="442"/>
              <w:rPr>
                <w:color w:val="auto"/>
                <w:highlight w:val="none"/>
              </w:rPr>
            </w:pPr>
            <w:r>
              <w:rPr>
                <w:rFonts w:hint="eastAsia"/>
                <w:color w:val="auto"/>
                <w:highlight w:val="none"/>
              </w:rPr>
              <w:t>K</w:t>
            </w:r>
            <w:r>
              <w:rPr>
                <w:rFonts w:hint="eastAsia"/>
                <w:color w:val="auto"/>
                <w:highlight w:val="none"/>
                <w:vertAlign w:val="subscript"/>
              </w:rPr>
              <w:t>ij</w:t>
            </w:r>
            <w:r>
              <w:rPr>
                <w:color w:val="auto"/>
                <w:highlight w:val="none"/>
              </w:rPr>
              <w:t>—某一污染物第</w:t>
            </w:r>
            <w:r>
              <w:rPr>
                <w:rFonts w:hint="eastAsia"/>
                <w:color w:val="auto"/>
                <w:highlight w:val="none"/>
              </w:rPr>
              <w:t>j类浓度增量区第i种类生物资源损失率，生物资源损失率详见下表；</w:t>
            </w:r>
          </w:p>
          <w:p w14:paraId="2EA61092">
            <w:pPr>
              <w:pStyle w:val="201"/>
              <w:ind w:firstLine="442"/>
              <w:rPr>
                <w:color w:val="auto"/>
                <w:highlight w:val="none"/>
              </w:rPr>
            </w:pPr>
            <w:r>
              <w:rPr>
                <w:color w:val="auto"/>
                <w:highlight w:val="none"/>
              </w:rPr>
              <w:t>n—某一污染物浓度增量分区总数</w:t>
            </w:r>
            <w:r>
              <w:rPr>
                <w:rFonts w:hint="eastAsia"/>
                <w:color w:val="auto"/>
                <w:highlight w:val="none"/>
              </w:rPr>
              <w:t>；</w:t>
            </w:r>
          </w:p>
          <w:p w14:paraId="1747AD7E">
            <w:pPr>
              <w:pStyle w:val="201"/>
              <w:numPr>
                <w:ilvl w:val="0"/>
                <w:numId w:val="18"/>
              </w:numPr>
              <w:ind w:firstLine="442"/>
              <w:rPr>
                <w:rFonts w:hint="eastAsia"/>
                <w:color w:val="auto"/>
                <w:highlight w:val="none"/>
                <w:lang w:val="en-US" w:eastAsia="zh-CN"/>
              </w:rPr>
            </w:pPr>
            <w:r>
              <w:rPr>
                <w:rFonts w:hint="eastAsia"/>
                <w:color w:val="auto"/>
                <w:highlight w:val="none"/>
                <w:lang w:val="en-US" w:eastAsia="zh-CN"/>
              </w:rPr>
              <w:t>计算参数</w:t>
            </w:r>
          </w:p>
          <w:p w14:paraId="6AF533A5">
            <w:pPr>
              <w:keepNext/>
              <w:keepLines/>
              <w:widowControl w:val="0"/>
              <w:numPr>
                <w:ilvl w:val="0"/>
                <w:numId w:val="0"/>
              </w:numPr>
              <w:tabs>
                <w:tab w:val="left" w:pos="0"/>
              </w:tabs>
              <w:bidi w:val="0"/>
              <w:adjustRightInd w:val="0"/>
              <w:snapToGrid w:val="0"/>
              <w:spacing w:line="360" w:lineRule="auto"/>
              <w:ind w:leftChars="0"/>
              <w:jc w:val="center"/>
              <w:outlineLvl w:val="4"/>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表4.1-7污染物对各类生物损失率</w:t>
            </w:r>
          </w:p>
          <w:tbl>
            <w:tblPr>
              <w:tblStyle w:val="45"/>
              <w:tblW w:w="5000" w:type="pct"/>
              <w:tblInd w:w="1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690"/>
              <w:gridCol w:w="1691"/>
              <w:gridCol w:w="1691"/>
              <w:gridCol w:w="1692"/>
              <w:gridCol w:w="1697"/>
            </w:tblGrid>
            <w:tr w14:paraId="630930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999" w:type="pct"/>
                  <w:vMerge w:val="restart"/>
                  <w:noWrap w:val="0"/>
                  <w:vAlign w:val="center"/>
                </w:tcPr>
                <w:p w14:paraId="6D21C9E7">
                  <w:pPr>
                    <w:pStyle w:val="220"/>
                    <w:rPr>
                      <w:b/>
                      <w:bCs/>
                      <w:color w:val="auto"/>
                      <w:highlight w:val="none"/>
                    </w:rPr>
                  </w:pPr>
                  <w:r>
                    <w:rPr>
                      <w:b/>
                      <w:bCs/>
                      <w:color w:val="auto"/>
                      <w:highlight w:val="none"/>
                    </w:rPr>
                    <w:t>污染物i的超标倍数（</w:t>
                  </w:r>
                  <w:r>
                    <w:rPr>
                      <w:rFonts w:hint="eastAsia"/>
                      <w:b/>
                      <w:bCs/>
                      <w:color w:val="auto"/>
                      <w:highlight w:val="none"/>
                    </w:rPr>
                    <w:t>B</w:t>
                  </w:r>
                  <w:r>
                    <w:rPr>
                      <w:rFonts w:hint="eastAsia"/>
                      <w:b/>
                      <w:bCs/>
                      <w:color w:val="auto"/>
                      <w:highlight w:val="none"/>
                      <w:vertAlign w:val="subscript"/>
                    </w:rPr>
                    <w:t>i</w:t>
                  </w:r>
                  <w:r>
                    <w:rPr>
                      <w:b/>
                      <w:bCs/>
                      <w:color w:val="auto"/>
                      <w:highlight w:val="none"/>
                    </w:rPr>
                    <w:t>）</w:t>
                  </w:r>
                </w:p>
              </w:tc>
              <w:tc>
                <w:tcPr>
                  <w:tcW w:w="4000" w:type="pct"/>
                  <w:gridSpan w:val="4"/>
                  <w:noWrap w:val="0"/>
                  <w:vAlign w:val="center"/>
                </w:tcPr>
                <w:p w14:paraId="2075428A">
                  <w:pPr>
                    <w:pStyle w:val="220"/>
                    <w:rPr>
                      <w:b/>
                      <w:bCs/>
                      <w:color w:val="auto"/>
                      <w:highlight w:val="none"/>
                    </w:rPr>
                  </w:pPr>
                  <w:r>
                    <w:rPr>
                      <w:b/>
                      <w:bCs/>
                      <w:color w:val="auto"/>
                      <w:highlight w:val="none"/>
                    </w:rPr>
                    <w:t>各类生物损失率（</w:t>
                  </w:r>
                  <w:r>
                    <w:rPr>
                      <w:rFonts w:hint="eastAsia"/>
                      <w:b/>
                      <w:bCs/>
                      <w:color w:val="auto"/>
                      <w:highlight w:val="none"/>
                    </w:rPr>
                    <w:t>%</w:t>
                  </w:r>
                  <w:r>
                    <w:rPr>
                      <w:b/>
                      <w:bCs/>
                      <w:color w:val="auto"/>
                      <w:highlight w:val="none"/>
                    </w:rPr>
                    <w:t>）</w:t>
                  </w:r>
                </w:p>
              </w:tc>
            </w:tr>
            <w:tr w14:paraId="49DC2F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999" w:type="pct"/>
                  <w:vMerge w:val="continue"/>
                  <w:noWrap w:val="0"/>
                  <w:vAlign w:val="center"/>
                </w:tcPr>
                <w:p w14:paraId="2209288D">
                  <w:pPr>
                    <w:pStyle w:val="220"/>
                    <w:rPr>
                      <w:b/>
                      <w:bCs/>
                      <w:color w:val="auto"/>
                      <w:highlight w:val="none"/>
                    </w:rPr>
                  </w:pPr>
                </w:p>
              </w:tc>
              <w:tc>
                <w:tcPr>
                  <w:tcW w:w="999" w:type="pct"/>
                  <w:noWrap w:val="0"/>
                  <w:vAlign w:val="center"/>
                </w:tcPr>
                <w:p w14:paraId="2F7C3203">
                  <w:pPr>
                    <w:pStyle w:val="220"/>
                    <w:rPr>
                      <w:rFonts w:hint="eastAsia" w:eastAsia="宋体"/>
                      <w:b/>
                      <w:bCs/>
                      <w:color w:val="auto"/>
                      <w:highlight w:val="none"/>
                      <w:lang w:eastAsia="zh-CN"/>
                    </w:rPr>
                  </w:pPr>
                  <w:r>
                    <w:rPr>
                      <w:rFonts w:hint="eastAsia"/>
                      <w:b/>
                      <w:bCs/>
                      <w:color w:val="auto"/>
                      <w:highlight w:val="none"/>
                    </w:rPr>
                    <w:t>鱼卵和</w:t>
                  </w:r>
                  <w:r>
                    <w:rPr>
                      <w:rFonts w:hint="eastAsia"/>
                      <w:b/>
                      <w:bCs/>
                      <w:color w:val="auto"/>
                      <w:highlight w:val="none"/>
                      <w:lang w:eastAsia="zh-CN"/>
                    </w:rPr>
                    <w:t>仔稚鱼</w:t>
                  </w:r>
                </w:p>
              </w:tc>
              <w:tc>
                <w:tcPr>
                  <w:tcW w:w="999" w:type="pct"/>
                  <w:noWrap w:val="0"/>
                  <w:vAlign w:val="center"/>
                </w:tcPr>
                <w:p w14:paraId="2EC97794">
                  <w:pPr>
                    <w:pStyle w:val="220"/>
                    <w:rPr>
                      <w:b/>
                      <w:bCs/>
                      <w:color w:val="auto"/>
                      <w:highlight w:val="none"/>
                    </w:rPr>
                  </w:pPr>
                  <w:r>
                    <w:rPr>
                      <w:rFonts w:hint="eastAsia"/>
                      <w:b/>
                      <w:bCs/>
                      <w:color w:val="auto"/>
                      <w:highlight w:val="none"/>
                    </w:rPr>
                    <w:t>成体</w:t>
                  </w:r>
                </w:p>
              </w:tc>
              <w:tc>
                <w:tcPr>
                  <w:tcW w:w="1000" w:type="pct"/>
                  <w:noWrap w:val="0"/>
                  <w:vAlign w:val="center"/>
                </w:tcPr>
                <w:p w14:paraId="1B6C75EB">
                  <w:pPr>
                    <w:pStyle w:val="220"/>
                    <w:rPr>
                      <w:b/>
                      <w:bCs/>
                      <w:color w:val="auto"/>
                      <w:highlight w:val="none"/>
                    </w:rPr>
                  </w:pPr>
                  <w:r>
                    <w:rPr>
                      <w:rFonts w:hint="eastAsia"/>
                      <w:b/>
                      <w:bCs/>
                      <w:color w:val="auto"/>
                      <w:highlight w:val="none"/>
                    </w:rPr>
                    <w:t>浮游动物</w:t>
                  </w:r>
                </w:p>
              </w:tc>
              <w:tc>
                <w:tcPr>
                  <w:tcW w:w="1000" w:type="pct"/>
                  <w:noWrap w:val="0"/>
                  <w:vAlign w:val="center"/>
                </w:tcPr>
                <w:p w14:paraId="1B7E9A5B">
                  <w:pPr>
                    <w:pStyle w:val="220"/>
                    <w:rPr>
                      <w:b/>
                      <w:bCs/>
                      <w:color w:val="auto"/>
                      <w:highlight w:val="none"/>
                    </w:rPr>
                  </w:pPr>
                  <w:r>
                    <w:rPr>
                      <w:rFonts w:hint="eastAsia"/>
                      <w:b/>
                      <w:bCs/>
                      <w:color w:val="auto"/>
                      <w:highlight w:val="none"/>
                    </w:rPr>
                    <w:t>浮游植物</w:t>
                  </w:r>
                </w:p>
              </w:tc>
            </w:tr>
            <w:tr w14:paraId="138E93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999" w:type="pct"/>
                  <w:noWrap w:val="0"/>
                  <w:vAlign w:val="center"/>
                </w:tcPr>
                <w:p w14:paraId="40A1D2DD">
                  <w:pPr>
                    <w:pStyle w:val="220"/>
                    <w:rPr>
                      <w:color w:val="auto"/>
                      <w:highlight w:val="none"/>
                    </w:rPr>
                  </w:pPr>
                  <w:r>
                    <w:rPr>
                      <w:rFonts w:hint="eastAsia"/>
                      <w:color w:val="auto"/>
                      <w:highlight w:val="none"/>
                    </w:rPr>
                    <w:t>B</w:t>
                  </w:r>
                  <w:r>
                    <w:rPr>
                      <w:rFonts w:hint="eastAsia"/>
                      <w:color w:val="auto"/>
                      <w:highlight w:val="none"/>
                      <w:vertAlign w:val="subscript"/>
                    </w:rPr>
                    <w:t>i</w:t>
                  </w:r>
                  <w:r>
                    <w:rPr>
                      <w:rFonts w:hint="eastAsia"/>
                      <w:color w:val="auto"/>
                      <w:highlight w:val="none"/>
                    </w:rPr>
                    <w:t>≤1倍</w:t>
                  </w:r>
                </w:p>
              </w:tc>
              <w:tc>
                <w:tcPr>
                  <w:tcW w:w="999" w:type="pct"/>
                  <w:noWrap w:val="0"/>
                  <w:vAlign w:val="center"/>
                </w:tcPr>
                <w:p w14:paraId="5A3EE712">
                  <w:pPr>
                    <w:pStyle w:val="220"/>
                    <w:rPr>
                      <w:color w:val="auto"/>
                      <w:highlight w:val="none"/>
                    </w:rPr>
                  </w:pPr>
                  <w:r>
                    <w:rPr>
                      <w:rFonts w:hint="eastAsia"/>
                      <w:color w:val="auto"/>
                      <w:highlight w:val="none"/>
                    </w:rPr>
                    <w:t>5</w:t>
                  </w:r>
                </w:p>
              </w:tc>
              <w:tc>
                <w:tcPr>
                  <w:tcW w:w="999" w:type="pct"/>
                  <w:noWrap w:val="0"/>
                  <w:vAlign w:val="center"/>
                </w:tcPr>
                <w:p w14:paraId="6DE4C397">
                  <w:pPr>
                    <w:pStyle w:val="220"/>
                    <w:rPr>
                      <w:color w:val="auto"/>
                      <w:highlight w:val="none"/>
                    </w:rPr>
                  </w:pPr>
                  <w:r>
                    <w:rPr>
                      <w:rFonts w:hint="eastAsia"/>
                      <w:color w:val="auto"/>
                      <w:highlight w:val="none"/>
                    </w:rPr>
                    <w:t>＜1</w:t>
                  </w:r>
                </w:p>
              </w:tc>
              <w:tc>
                <w:tcPr>
                  <w:tcW w:w="1000" w:type="pct"/>
                  <w:noWrap w:val="0"/>
                  <w:vAlign w:val="center"/>
                </w:tcPr>
                <w:p w14:paraId="456FB8B1">
                  <w:pPr>
                    <w:pStyle w:val="220"/>
                    <w:rPr>
                      <w:color w:val="auto"/>
                      <w:highlight w:val="none"/>
                    </w:rPr>
                  </w:pPr>
                  <w:r>
                    <w:rPr>
                      <w:rFonts w:hint="eastAsia"/>
                      <w:color w:val="auto"/>
                      <w:highlight w:val="none"/>
                    </w:rPr>
                    <w:t>5</w:t>
                  </w:r>
                </w:p>
              </w:tc>
              <w:tc>
                <w:tcPr>
                  <w:tcW w:w="1000" w:type="pct"/>
                  <w:noWrap w:val="0"/>
                  <w:vAlign w:val="center"/>
                </w:tcPr>
                <w:p w14:paraId="725AEEDE">
                  <w:pPr>
                    <w:pStyle w:val="220"/>
                    <w:rPr>
                      <w:color w:val="auto"/>
                      <w:highlight w:val="none"/>
                    </w:rPr>
                  </w:pPr>
                  <w:r>
                    <w:rPr>
                      <w:rFonts w:hint="eastAsia"/>
                      <w:color w:val="auto"/>
                      <w:highlight w:val="none"/>
                    </w:rPr>
                    <w:t>5</w:t>
                  </w:r>
                </w:p>
              </w:tc>
            </w:tr>
            <w:tr w14:paraId="054ED8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999" w:type="pct"/>
                  <w:noWrap w:val="0"/>
                  <w:vAlign w:val="center"/>
                </w:tcPr>
                <w:p w14:paraId="2E2D896D">
                  <w:pPr>
                    <w:pStyle w:val="220"/>
                    <w:rPr>
                      <w:color w:val="auto"/>
                      <w:highlight w:val="none"/>
                    </w:rPr>
                  </w:pPr>
                  <w:r>
                    <w:rPr>
                      <w:rFonts w:hint="eastAsia"/>
                      <w:color w:val="auto"/>
                      <w:highlight w:val="none"/>
                    </w:rPr>
                    <w:t>1＜B</w:t>
                  </w:r>
                  <w:r>
                    <w:rPr>
                      <w:rFonts w:hint="eastAsia"/>
                      <w:color w:val="auto"/>
                      <w:highlight w:val="none"/>
                      <w:vertAlign w:val="subscript"/>
                    </w:rPr>
                    <w:t>i</w:t>
                  </w:r>
                  <w:r>
                    <w:rPr>
                      <w:rFonts w:hint="eastAsia"/>
                      <w:color w:val="auto"/>
                      <w:highlight w:val="none"/>
                    </w:rPr>
                    <w:t>≤4倍</w:t>
                  </w:r>
                </w:p>
              </w:tc>
              <w:tc>
                <w:tcPr>
                  <w:tcW w:w="999" w:type="pct"/>
                  <w:noWrap w:val="0"/>
                  <w:vAlign w:val="center"/>
                </w:tcPr>
                <w:p w14:paraId="14AB7BBE">
                  <w:pPr>
                    <w:pStyle w:val="220"/>
                    <w:rPr>
                      <w:color w:val="auto"/>
                      <w:highlight w:val="none"/>
                    </w:rPr>
                  </w:pPr>
                  <w:r>
                    <w:rPr>
                      <w:rFonts w:hint="eastAsia"/>
                      <w:color w:val="auto"/>
                      <w:highlight w:val="none"/>
                    </w:rPr>
                    <w:t>5~30</w:t>
                  </w:r>
                </w:p>
              </w:tc>
              <w:tc>
                <w:tcPr>
                  <w:tcW w:w="999" w:type="pct"/>
                  <w:noWrap w:val="0"/>
                  <w:vAlign w:val="center"/>
                </w:tcPr>
                <w:p w14:paraId="2912255A">
                  <w:pPr>
                    <w:pStyle w:val="220"/>
                    <w:rPr>
                      <w:color w:val="auto"/>
                      <w:highlight w:val="none"/>
                    </w:rPr>
                  </w:pPr>
                  <w:r>
                    <w:rPr>
                      <w:rFonts w:hint="eastAsia"/>
                      <w:color w:val="auto"/>
                      <w:highlight w:val="none"/>
                    </w:rPr>
                    <w:t>1~10</w:t>
                  </w:r>
                </w:p>
              </w:tc>
              <w:tc>
                <w:tcPr>
                  <w:tcW w:w="1000" w:type="pct"/>
                  <w:noWrap w:val="0"/>
                  <w:vAlign w:val="center"/>
                </w:tcPr>
                <w:p w14:paraId="206A64DB">
                  <w:pPr>
                    <w:pStyle w:val="220"/>
                    <w:rPr>
                      <w:color w:val="auto"/>
                      <w:highlight w:val="none"/>
                    </w:rPr>
                  </w:pPr>
                  <w:r>
                    <w:rPr>
                      <w:rFonts w:hint="eastAsia"/>
                      <w:color w:val="auto"/>
                      <w:highlight w:val="none"/>
                    </w:rPr>
                    <w:t>10~30</w:t>
                  </w:r>
                </w:p>
              </w:tc>
              <w:tc>
                <w:tcPr>
                  <w:tcW w:w="1000" w:type="pct"/>
                  <w:noWrap w:val="0"/>
                  <w:vAlign w:val="center"/>
                </w:tcPr>
                <w:p w14:paraId="2B7803C7">
                  <w:pPr>
                    <w:pStyle w:val="220"/>
                    <w:rPr>
                      <w:color w:val="auto"/>
                      <w:highlight w:val="none"/>
                    </w:rPr>
                  </w:pPr>
                  <w:r>
                    <w:rPr>
                      <w:rFonts w:hint="eastAsia"/>
                      <w:color w:val="auto"/>
                      <w:highlight w:val="none"/>
                    </w:rPr>
                    <w:t>10~30</w:t>
                  </w:r>
                </w:p>
              </w:tc>
            </w:tr>
            <w:tr w14:paraId="50F0FC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999" w:type="pct"/>
                  <w:noWrap w:val="0"/>
                  <w:vAlign w:val="center"/>
                </w:tcPr>
                <w:p w14:paraId="0D49D1E7">
                  <w:pPr>
                    <w:pStyle w:val="220"/>
                    <w:rPr>
                      <w:color w:val="auto"/>
                      <w:highlight w:val="none"/>
                    </w:rPr>
                  </w:pPr>
                  <w:r>
                    <w:rPr>
                      <w:rFonts w:hint="eastAsia"/>
                      <w:color w:val="auto"/>
                      <w:highlight w:val="none"/>
                    </w:rPr>
                    <w:t>4＜B</w:t>
                  </w:r>
                  <w:r>
                    <w:rPr>
                      <w:rFonts w:hint="eastAsia"/>
                      <w:color w:val="auto"/>
                      <w:highlight w:val="none"/>
                      <w:vertAlign w:val="subscript"/>
                    </w:rPr>
                    <w:t>i</w:t>
                  </w:r>
                  <w:r>
                    <w:rPr>
                      <w:rFonts w:hint="eastAsia"/>
                      <w:color w:val="auto"/>
                      <w:highlight w:val="none"/>
                    </w:rPr>
                    <w:t>≤9倍</w:t>
                  </w:r>
                </w:p>
              </w:tc>
              <w:tc>
                <w:tcPr>
                  <w:tcW w:w="999" w:type="pct"/>
                  <w:noWrap w:val="0"/>
                  <w:vAlign w:val="center"/>
                </w:tcPr>
                <w:p w14:paraId="6D37133D">
                  <w:pPr>
                    <w:pStyle w:val="220"/>
                    <w:rPr>
                      <w:color w:val="auto"/>
                      <w:highlight w:val="none"/>
                    </w:rPr>
                  </w:pPr>
                  <w:r>
                    <w:rPr>
                      <w:rFonts w:hint="eastAsia"/>
                      <w:color w:val="auto"/>
                      <w:highlight w:val="none"/>
                    </w:rPr>
                    <w:t>30~50</w:t>
                  </w:r>
                </w:p>
              </w:tc>
              <w:tc>
                <w:tcPr>
                  <w:tcW w:w="999" w:type="pct"/>
                  <w:noWrap w:val="0"/>
                  <w:vAlign w:val="center"/>
                </w:tcPr>
                <w:p w14:paraId="1BD15D62">
                  <w:pPr>
                    <w:pStyle w:val="220"/>
                    <w:rPr>
                      <w:color w:val="auto"/>
                      <w:highlight w:val="none"/>
                    </w:rPr>
                  </w:pPr>
                  <w:r>
                    <w:rPr>
                      <w:rFonts w:hint="eastAsia"/>
                      <w:color w:val="auto"/>
                      <w:highlight w:val="none"/>
                    </w:rPr>
                    <w:t>10~20</w:t>
                  </w:r>
                </w:p>
              </w:tc>
              <w:tc>
                <w:tcPr>
                  <w:tcW w:w="1000" w:type="pct"/>
                  <w:noWrap w:val="0"/>
                  <w:vAlign w:val="center"/>
                </w:tcPr>
                <w:p w14:paraId="4BA9B3FA">
                  <w:pPr>
                    <w:pStyle w:val="220"/>
                    <w:rPr>
                      <w:color w:val="auto"/>
                      <w:highlight w:val="none"/>
                    </w:rPr>
                  </w:pPr>
                  <w:r>
                    <w:rPr>
                      <w:rFonts w:hint="eastAsia"/>
                      <w:color w:val="auto"/>
                      <w:highlight w:val="none"/>
                    </w:rPr>
                    <w:t>30~50</w:t>
                  </w:r>
                </w:p>
              </w:tc>
              <w:tc>
                <w:tcPr>
                  <w:tcW w:w="1000" w:type="pct"/>
                  <w:noWrap w:val="0"/>
                  <w:vAlign w:val="center"/>
                </w:tcPr>
                <w:p w14:paraId="4908A597">
                  <w:pPr>
                    <w:pStyle w:val="220"/>
                    <w:rPr>
                      <w:color w:val="auto"/>
                      <w:highlight w:val="none"/>
                    </w:rPr>
                  </w:pPr>
                  <w:r>
                    <w:rPr>
                      <w:rFonts w:hint="eastAsia"/>
                      <w:color w:val="auto"/>
                      <w:highlight w:val="none"/>
                    </w:rPr>
                    <w:t>30~50</w:t>
                  </w:r>
                </w:p>
              </w:tc>
            </w:tr>
            <w:tr w14:paraId="79CF12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999" w:type="pct"/>
                  <w:noWrap w:val="0"/>
                  <w:vAlign w:val="center"/>
                </w:tcPr>
                <w:p w14:paraId="4096ADD6">
                  <w:pPr>
                    <w:pStyle w:val="220"/>
                    <w:rPr>
                      <w:color w:val="auto"/>
                      <w:highlight w:val="none"/>
                    </w:rPr>
                  </w:pPr>
                  <w:r>
                    <w:rPr>
                      <w:rFonts w:hint="eastAsia"/>
                      <w:color w:val="auto"/>
                      <w:highlight w:val="none"/>
                    </w:rPr>
                    <w:t>B</w:t>
                  </w:r>
                  <w:r>
                    <w:rPr>
                      <w:rFonts w:hint="eastAsia"/>
                      <w:color w:val="auto"/>
                      <w:highlight w:val="none"/>
                      <w:vertAlign w:val="subscript"/>
                    </w:rPr>
                    <w:t>i</w:t>
                  </w:r>
                  <w:r>
                    <w:rPr>
                      <w:rFonts w:hint="eastAsia"/>
                      <w:color w:val="auto"/>
                      <w:highlight w:val="none"/>
                    </w:rPr>
                    <w:t>≥9倍</w:t>
                  </w:r>
                </w:p>
              </w:tc>
              <w:tc>
                <w:tcPr>
                  <w:tcW w:w="999" w:type="pct"/>
                  <w:noWrap w:val="0"/>
                  <w:vAlign w:val="center"/>
                </w:tcPr>
                <w:p w14:paraId="15ECD8C7">
                  <w:pPr>
                    <w:pStyle w:val="220"/>
                    <w:rPr>
                      <w:color w:val="auto"/>
                      <w:highlight w:val="none"/>
                    </w:rPr>
                  </w:pPr>
                  <w:r>
                    <w:rPr>
                      <w:rFonts w:hint="eastAsia"/>
                      <w:color w:val="auto"/>
                      <w:highlight w:val="none"/>
                    </w:rPr>
                    <w:t>≥50</w:t>
                  </w:r>
                </w:p>
              </w:tc>
              <w:tc>
                <w:tcPr>
                  <w:tcW w:w="999" w:type="pct"/>
                  <w:noWrap w:val="0"/>
                  <w:vAlign w:val="center"/>
                </w:tcPr>
                <w:p w14:paraId="3234D806">
                  <w:pPr>
                    <w:pStyle w:val="220"/>
                    <w:rPr>
                      <w:color w:val="auto"/>
                      <w:highlight w:val="none"/>
                    </w:rPr>
                  </w:pPr>
                  <w:r>
                    <w:rPr>
                      <w:rFonts w:hint="eastAsia"/>
                      <w:color w:val="auto"/>
                      <w:highlight w:val="none"/>
                    </w:rPr>
                    <w:t>≥20</w:t>
                  </w:r>
                </w:p>
              </w:tc>
              <w:tc>
                <w:tcPr>
                  <w:tcW w:w="1000" w:type="pct"/>
                  <w:noWrap w:val="0"/>
                  <w:vAlign w:val="center"/>
                </w:tcPr>
                <w:p w14:paraId="77461C65">
                  <w:pPr>
                    <w:pStyle w:val="220"/>
                    <w:rPr>
                      <w:color w:val="auto"/>
                      <w:highlight w:val="none"/>
                    </w:rPr>
                  </w:pPr>
                  <w:r>
                    <w:rPr>
                      <w:rFonts w:hint="eastAsia"/>
                      <w:color w:val="auto"/>
                      <w:highlight w:val="none"/>
                    </w:rPr>
                    <w:t>≥50</w:t>
                  </w:r>
                </w:p>
              </w:tc>
              <w:tc>
                <w:tcPr>
                  <w:tcW w:w="1000" w:type="pct"/>
                  <w:noWrap w:val="0"/>
                  <w:vAlign w:val="center"/>
                </w:tcPr>
                <w:p w14:paraId="3435674A">
                  <w:pPr>
                    <w:pStyle w:val="220"/>
                    <w:rPr>
                      <w:color w:val="auto"/>
                      <w:highlight w:val="none"/>
                    </w:rPr>
                  </w:pPr>
                  <w:r>
                    <w:rPr>
                      <w:rFonts w:hint="eastAsia"/>
                      <w:color w:val="auto"/>
                      <w:highlight w:val="none"/>
                    </w:rPr>
                    <w:t>≥50</w:t>
                  </w:r>
                </w:p>
              </w:tc>
            </w:tr>
            <w:tr w14:paraId="4A724C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000" w:type="pct"/>
                  <w:gridSpan w:val="5"/>
                  <w:noWrap w:val="0"/>
                  <w:vAlign w:val="center"/>
                </w:tcPr>
                <w:p w14:paraId="7035BF1D">
                  <w:pPr>
                    <w:pStyle w:val="220"/>
                    <w:rPr>
                      <w:color w:val="auto"/>
                      <w:highlight w:val="none"/>
                    </w:rPr>
                  </w:pPr>
                  <w:r>
                    <w:rPr>
                      <w:color w:val="auto"/>
                      <w:highlight w:val="none"/>
                    </w:rPr>
                    <w:t>注：本表列出污染物i的超标倍数（B</w:t>
                  </w:r>
                  <w:r>
                    <w:rPr>
                      <w:color w:val="auto"/>
                      <w:highlight w:val="none"/>
                      <w:vertAlign w:val="subscript"/>
                    </w:rPr>
                    <w:t>i</w:t>
                  </w:r>
                  <w:r>
                    <w:rPr>
                      <w:color w:val="auto"/>
                      <w:highlight w:val="none"/>
                    </w:rPr>
                    <w:t>）是指超《渔业水质标准》的倍数。</w:t>
                  </w:r>
                </w:p>
              </w:tc>
            </w:tr>
          </w:tbl>
          <w:p w14:paraId="510DB9DB">
            <w:pPr>
              <w:pStyle w:val="218"/>
              <w:numPr>
                <w:ilvl w:val="0"/>
                <w:numId w:val="0"/>
              </w:numPr>
              <w:tabs>
                <w:tab w:val="left" w:pos="0"/>
              </w:tabs>
              <w:ind w:left="442"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表4.1-8 疏浚物影响面积汇总表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7"/>
              <w:gridCol w:w="1671"/>
              <w:gridCol w:w="1671"/>
              <w:gridCol w:w="1351"/>
              <w:gridCol w:w="1268"/>
            </w:tblGrid>
            <w:tr w14:paraId="0D8C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noWrap w:val="0"/>
                  <w:vAlign w:val="top"/>
                </w:tcPr>
                <w:p w14:paraId="226C7046">
                  <w:pPr>
                    <w:pStyle w:val="218"/>
                    <w:numPr>
                      <w:ilvl w:val="0"/>
                      <w:numId w:val="0"/>
                    </w:numPr>
                    <w:tabs>
                      <w:tab w:val="left" w:pos="0"/>
                    </w:tabs>
                    <w:jc w:val="center"/>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sz w:val="21"/>
                      <w:szCs w:val="21"/>
                      <w:highlight w:val="none"/>
                    </w:rPr>
                    <w:t>污染物i的超标倍数（B</w:t>
                  </w:r>
                  <w:r>
                    <w:rPr>
                      <w:rFonts w:hint="eastAsia" w:ascii="宋体" w:hAnsi="宋体" w:eastAsia="宋体" w:cs="宋体"/>
                      <w:b/>
                      <w:bCs/>
                      <w:color w:val="auto"/>
                      <w:sz w:val="21"/>
                      <w:szCs w:val="21"/>
                      <w:highlight w:val="none"/>
                      <w:vertAlign w:val="subscript"/>
                    </w:rPr>
                    <w:t>i</w:t>
                  </w:r>
                  <w:r>
                    <w:rPr>
                      <w:rFonts w:hint="eastAsia" w:ascii="宋体" w:hAnsi="宋体" w:eastAsia="宋体" w:cs="宋体"/>
                      <w:b/>
                      <w:bCs/>
                      <w:color w:val="auto"/>
                      <w:sz w:val="21"/>
                      <w:szCs w:val="21"/>
                      <w:highlight w:val="none"/>
                    </w:rPr>
                    <w:t>）</w:t>
                  </w:r>
                </w:p>
              </w:tc>
              <w:tc>
                <w:tcPr>
                  <w:tcW w:w="987" w:type="pct"/>
                  <w:noWrap w:val="0"/>
                  <w:vAlign w:val="top"/>
                </w:tcPr>
                <w:p w14:paraId="3922E4BC">
                  <w:pPr>
                    <w:pStyle w:val="218"/>
                    <w:numPr>
                      <w:ilvl w:val="0"/>
                      <w:numId w:val="0"/>
                    </w:numPr>
                    <w:tabs>
                      <w:tab w:val="left" w:pos="0"/>
                    </w:tabs>
                    <w:jc w:val="center"/>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浓度范围mg/L</w:t>
                  </w:r>
                </w:p>
              </w:tc>
              <w:tc>
                <w:tcPr>
                  <w:tcW w:w="987" w:type="pct"/>
                  <w:noWrap w:val="0"/>
                  <w:vAlign w:val="center"/>
                </w:tcPr>
                <w:p w14:paraId="20E9D306">
                  <w:pPr>
                    <w:keepNext w:val="0"/>
                    <w:keepLines w:val="0"/>
                    <w:widowControl/>
                    <w:suppressLineNumbers w:val="0"/>
                    <w:jc w:val="center"/>
                    <w:textAlignment w:val="center"/>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超标面积km</w:t>
                  </w:r>
                  <w:r>
                    <w:rPr>
                      <w:rFonts w:hint="eastAsia" w:ascii="宋体" w:hAnsi="宋体" w:eastAsia="宋体" w:cs="宋体"/>
                      <w:b/>
                      <w:bCs/>
                      <w:i w:val="0"/>
                      <w:iCs w:val="0"/>
                      <w:color w:val="auto"/>
                      <w:kern w:val="0"/>
                      <w:sz w:val="21"/>
                      <w:szCs w:val="21"/>
                      <w:highlight w:val="none"/>
                      <w:u w:val="none"/>
                      <w:vertAlign w:val="superscript"/>
                      <w:lang w:val="en-US" w:eastAsia="zh-CN" w:bidi="ar"/>
                    </w:rPr>
                    <w:t>2</w:t>
                  </w:r>
                </w:p>
              </w:tc>
              <w:tc>
                <w:tcPr>
                  <w:tcW w:w="798" w:type="pct"/>
                  <w:noWrap w:val="0"/>
                  <w:vAlign w:val="center"/>
                </w:tcPr>
                <w:p w14:paraId="45D27F1D">
                  <w:pPr>
                    <w:keepNext w:val="0"/>
                    <w:keepLines w:val="0"/>
                    <w:widowControl/>
                    <w:suppressLineNumbers w:val="0"/>
                    <w:jc w:val="center"/>
                    <w:textAlignment w:val="center"/>
                    <w:rPr>
                      <w:rFonts w:hint="eastAsia" w:ascii="宋体" w:hAnsi="宋体" w:eastAsia="宋体" w:cs="宋体"/>
                      <w:b/>
                      <w:bCs/>
                      <w:color w:val="auto"/>
                      <w:kern w:val="2"/>
                      <w:sz w:val="21"/>
                      <w:szCs w:val="21"/>
                      <w:highlight w:val="none"/>
                      <w:vertAlign w:val="baseline"/>
                      <w:lang w:val="en-US" w:eastAsia="zh-CN" w:bidi="ar-SA"/>
                    </w:rPr>
                  </w:pPr>
                  <w:r>
                    <w:rPr>
                      <w:rStyle w:val="225"/>
                      <w:rFonts w:hint="eastAsia" w:ascii="宋体" w:hAnsi="宋体" w:eastAsia="宋体" w:cs="宋体"/>
                      <w:b/>
                      <w:bCs/>
                      <w:color w:val="auto"/>
                      <w:sz w:val="21"/>
                      <w:szCs w:val="21"/>
                      <w:highlight w:val="none"/>
                      <w:lang w:val="en-US" w:eastAsia="zh-CN" w:bidi="ar"/>
                    </w:rPr>
                    <w:t>平均水深</w:t>
                  </w:r>
                  <w:r>
                    <w:rPr>
                      <w:rStyle w:val="226"/>
                      <w:rFonts w:hint="eastAsia" w:ascii="宋体" w:hAnsi="宋体" w:eastAsia="宋体" w:cs="宋体"/>
                      <w:b/>
                      <w:bCs/>
                      <w:color w:val="auto"/>
                      <w:sz w:val="21"/>
                      <w:szCs w:val="21"/>
                      <w:highlight w:val="none"/>
                      <w:lang w:val="en-US" w:eastAsia="zh-CN" w:bidi="ar"/>
                    </w:rPr>
                    <w:t>m</w:t>
                  </w:r>
                </w:p>
              </w:tc>
              <w:tc>
                <w:tcPr>
                  <w:tcW w:w="749" w:type="pct"/>
                  <w:noWrap w:val="0"/>
                  <w:vAlign w:val="center"/>
                </w:tcPr>
                <w:p w14:paraId="4105ABA5">
                  <w:pPr>
                    <w:keepNext w:val="0"/>
                    <w:keepLines w:val="0"/>
                    <w:widowControl/>
                    <w:suppressLineNumbers w:val="0"/>
                    <w:jc w:val="center"/>
                    <w:textAlignment w:val="center"/>
                    <w:rPr>
                      <w:rFonts w:hint="eastAsia" w:ascii="宋体" w:hAnsi="宋体" w:eastAsia="宋体" w:cs="宋体"/>
                      <w:b/>
                      <w:bCs/>
                      <w:color w:val="auto"/>
                      <w:kern w:val="2"/>
                      <w:sz w:val="21"/>
                      <w:szCs w:val="21"/>
                      <w:highlight w:val="none"/>
                      <w:vertAlign w:val="baseline"/>
                      <w:lang w:val="en-US" w:eastAsia="zh-CN" w:bidi="ar-SA"/>
                    </w:rPr>
                  </w:pPr>
                  <w:r>
                    <w:rPr>
                      <w:rStyle w:val="225"/>
                      <w:rFonts w:hint="eastAsia" w:ascii="宋体" w:hAnsi="宋体" w:eastAsia="宋体" w:cs="宋体"/>
                      <w:b/>
                      <w:bCs/>
                      <w:color w:val="auto"/>
                      <w:sz w:val="21"/>
                      <w:szCs w:val="21"/>
                      <w:highlight w:val="none"/>
                      <w:lang w:val="en-US" w:eastAsia="zh-CN" w:bidi="ar"/>
                    </w:rPr>
                    <w:t>超标体积</w:t>
                  </w:r>
                  <w:r>
                    <w:rPr>
                      <w:rStyle w:val="226"/>
                      <w:rFonts w:hint="eastAsia" w:ascii="宋体" w:hAnsi="宋体" w:eastAsia="宋体" w:cs="宋体"/>
                      <w:b/>
                      <w:bCs/>
                      <w:color w:val="auto"/>
                      <w:sz w:val="21"/>
                      <w:szCs w:val="21"/>
                      <w:highlight w:val="none"/>
                      <w:lang w:val="en-US" w:eastAsia="zh-CN" w:bidi="ar"/>
                    </w:rPr>
                    <w:t>m</w:t>
                  </w:r>
                  <w:r>
                    <w:rPr>
                      <w:rStyle w:val="226"/>
                      <w:rFonts w:hint="eastAsia" w:ascii="宋体" w:hAnsi="宋体" w:eastAsia="宋体" w:cs="宋体"/>
                      <w:b/>
                      <w:bCs/>
                      <w:color w:val="auto"/>
                      <w:sz w:val="21"/>
                      <w:szCs w:val="21"/>
                      <w:highlight w:val="none"/>
                      <w:vertAlign w:val="superscript"/>
                      <w:lang w:val="en-US" w:eastAsia="zh-CN" w:bidi="ar"/>
                    </w:rPr>
                    <w:t>3</w:t>
                  </w:r>
                </w:p>
              </w:tc>
            </w:tr>
            <w:tr w14:paraId="7550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noWrap w:val="0"/>
                  <w:vAlign w:val="center"/>
                </w:tcPr>
                <w:p w14:paraId="190DCEAA">
                  <w:pPr>
                    <w:pStyle w:val="220"/>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u w:val="none"/>
                    </w:rPr>
                    <w:t>B</w:t>
                  </w:r>
                  <w:r>
                    <w:rPr>
                      <w:rFonts w:hint="default" w:ascii="Times New Roman" w:hAnsi="Times New Roman" w:eastAsia="宋体" w:cs="Times New Roman"/>
                      <w:i/>
                      <w:iCs/>
                      <w:color w:val="auto"/>
                      <w:sz w:val="21"/>
                      <w:szCs w:val="21"/>
                      <w:highlight w:val="none"/>
                      <w:u w:val="none"/>
                      <w:vertAlign w:val="subscript"/>
                    </w:rPr>
                    <w:t>i</w:t>
                  </w:r>
                  <w:r>
                    <w:rPr>
                      <w:rFonts w:hint="default" w:ascii="Times New Roman" w:hAnsi="Times New Roman" w:eastAsia="宋体" w:cs="Times New Roman"/>
                      <w:color w:val="auto"/>
                      <w:sz w:val="21"/>
                      <w:szCs w:val="21"/>
                      <w:highlight w:val="none"/>
                      <w:u w:val="none"/>
                    </w:rPr>
                    <w:t>≤1倍</w:t>
                  </w:r>
                </w:p>
              </w:tc>
              <w:tc>
                <w:tcPr>
                  <w:tcW w:w="987" w:type="pct"/>
                  <w:noWrap w:val="0"/>
                  <w:vAlign w:val="top"/>
                </w:tcPr>
                <w:p w14:paraId="256F3EB4">
                  <w:pPr>
                    <w:pStyle w:val="2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10~20</w:t>
                  </w:r>
                </w:p>
              </w:tc>
              <w:tc>
                <w:tcPr>
                  <w:tcW w:w="987" w:type="pct"/>
                  <w:noWrap w:val="0"/>
                  <w:vAlign w:val="center"/>
                </w:tcPr>
                <w:p w14:paraId="39B88F89">
                  <w:pPr>
                    <w:pStyle w:val="22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1.0680</w:t>
                  </w:r>
                </w:p>
              </w:tc>
              <w:tc>
                <w:tcPr>
                  <w:tcW w:w="798" w:type="pct"/>
                  <w:noWrap w:val="0"/>
                  <w:vAlign w:val="center"/>
                </w:tcPr>
                <w:p w14:paraId="7A63DF1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14.4</w:t>
                  </w:r>
                </w:p>
              </w:tc>
              <w:tc>
                <w:tcPr>
                  <w:tcW w:w="1196" w:type="dxa"/>
                  <w:noWrap w:val="0"/>
                  <w:vAlign w:val="center"/>
                </w:tcPr>
                <w:p w14:paraId="335DBABA">
                  <w:pPr>
                    <w:pStyle w:val="2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15379200 </w:t>
                  </w:r>
                </w:p>
              </w:tc>
            </w:tr>
            <w:tr w14:paraId="799B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noWrap w:val="0"/>
                  <w:vAlign w:val="center"/>
                </w:tcPr>
                <w:p w14:paraId="094E5C5A">
                  <w:pPr>
                    <w:pStyle w:val="220"/>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u w:val="none"/>
                    </w:rPr>
                    <w:t>1＜</w:t>
                  </w:r>
                  <w:r>
                    <w:rPr>
                      <w:rFonts w:hint="default" w:ascii="Times New Roman" w:hAnsi="Times New Roman" w:eastAsia="宋体" w:cs="Times New Roman"/>
                      <w:i/>
                      <w:iCs/>
                      <w:color w:val="auto"/>
                      <w:sz w:val="21"/>
                      <w:szCs w:val="21"/>
                      <w:highlight w:val="none"/>
                      <w:u w:val="none"/>
                    </w:rPr>
                    <w:t>B</w:t>
                  </w:r>
                  <w:r>
                    <w:rPr>
                      <w:rFonts w:hint="default" w:ascii="Times New Roman" w:hAnsi="Times New Roman" w:eastAsia="宋体" w:cs="Times New Roman"/>
                      <w:i/>
                      <w:iCs/>
                      <w:color w:val="auto"/>
                      <w:sz w:val="21"/>
                      <w:szCs w:val="21"/>
                      <w:highlight w:val="none"/>
                      <w:u w:val="none"/>
                      <w:vertAlign w:val="subscript"/>
                    </w:rPr>
                    <w:t>i</w:t>
                  </w:r>
                  <w:r>
                    <w:rPr>
                      <w:rFonts w:hint="default" w:ascii="Times New Roman" w:hAnsi="Times New Roman" w:eastAsia="宋体" w:cs="Times New Roman"/>
                      <w:color w:val="auto"/>
                      <w:sz w:val="21"/>
                      <w:szCs w:val="21"/>
                      <w:highlight w:val="none"/>
                      <w:u w:val="none"/>
                    </w:rPr>
                    <w:t>≤4倍</w:t>
                  </w:r>
                </w:p>
              </w:tc>
              <w:tc>
                <w:tcPr>
                  <w:tcW w:w="987" w:type="pct"/>
                  <w:noWrap w:val="0"/>
                  <w:vAlign w:val="top"/>
                </w:tcPr>
                <w:p w14:paraId="084EBE07">
                  <w:pPr>
                    <w:pStyle w:val="2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20~50</w:t>
                  </w:r>
                </w:p>
              </w:tc>
              <w:tc>
                <w:tcPr>
                  <w:tcW w:w="987" w:type="pct"/>
                  <w:noWrap w:val="0"/>
                  <w:vAlign w:val="center"/>
                </w:tcPr>
                <w:p w14:paraId="52C60C74">
                  <w:pPr>
                    <w:pStyle w:val="22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0.2217</w:t>
                  </w:r>
                </w:p>
              </w:tc>
              <w:tc>
                <w:tcPr>
                  <w:tcW w:w="798" w:type="pct"/>
                  <w:noWrap w:val="0"/>
                  <w:vAlign w:val="center"/>
                </w:tcPr>
                <w:p w14:paraId="7569386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14.4</w:t>
                  </w:r>
                </w:p>
              </w:tc>
              <w:tc>
                <w:tcPr>
                  <w:tcW w:w="1196" w:type="dxa"/>
                  <w:noWrap w:val="0"/>
                  <w:vAlign w:val="center"/>
                </w:tcPr>
                <w:p w14:paraId="2DC283F9">
                  <w:pPr>
                    <w:pStyle w:val="2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3192480 </w:t>
                  </w:r>
                </w:p>
              </w:tc>
            </w:tr>
            <w:tr w14:paraId="5AC3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noWrap w:val="0"/>
                  <w:vAlign w:val="center"/>
                </w:tcPr>
                <w:p w14:paraId="1D9257F5">
                  <w:pPr>
                    <w:pStyle w:val="220"/>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u w:val="none"/>
                    </w:rPr>
                    <w:t>4＜</w:t>
                  </w:r>
                  <w:r>
                    <w:rPr>
                      <w:rFonts w:hint="default" w:ascii="Times New Roman" w:hAnsi="Times New Roman" w:eastAsia="宋体" w:cs="Times New Roman"/>
                      <w:i/>
                      <w:iCs/>
                      <w:color w:val="auto"/>
                      <w:sz w:val="21"/>
                      <w:szCs w:val="21"/>
                      <w:highlight w:val="none"/>
                      <w:u w:val="none"/>
                    </w:rPr>
                    <w:t>B</w:t>
                  </w:r>
                  <w:r>
                    <w:rPr>
                      <w:rFonts w:hint="default" w:ascii="Times New Roman" w:hAnsi="Times New Roman" w:eastAsia="宋体" w:cs="Times New Roman"/>
                      <w:i/>
                      <w:iCs/>
                      <w:color w:val="auto"/>
                      <w:sz w:val="21"/>
                      <w:szCs w:val="21"/>
                      <w:highlight w:val="none"/>
                      <w:u w:val="none"/>
                      <w:vertAlign w:val="subscript"/>
                    </w:rPr>
                    <w:t>i</w:t>
                  </w:r>
                  <w:r>
                    <w:rPr>
                      <w:rFonts w:hint="default" w:ascii="Times New Roman" w:hAnsi="Times New Roman" w:eastAsia="宋体" w:cs="Times New Roman"/>
                      <w:color w:val="auto"/>
                      <w:sz w:val="21"/>
                      <w:szCs w:val="21"/>
                      <w:highlight w:val="none"/>
                      <w:u w:val="none"/>
                    </w:rPr>
                    <w:t>≤9倍</w:t>
                  </w:r>
                </w:p>
              </w:tc>
              <w:tc>
                <w:tcPr>
                  <w:tcW w:w="987" w:type="pct"/>
                  <w:noWrap w:val="0"/>
                  <w:vAlign w:val="top"/>
                </w:tcPr>
                <w:p w14:paraId="2DC0539A">
                  <w:pPr>
                    <w:pStyle w:val="2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50~100</w:t>
                  </w:r>
                </w:p>
              </w:tc>
              <w:tc>
                <w:tcPr>
                  <w:tcW w:w="987" w:type="pct"/>
                  <w:noWrap w:val="0"/>
                  <w:vAlign w:val="center"/>
                </w:tcPr>
                <w:p w14:paraId="5F7F93B7">
                  <w:pPr>
                    <w:pStyle w:val="22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0.0321</w:t>
                  </w:r>
                </w:p>
              </w:tc>
              <w:tc>
                <w:tcPr>
                  <w:tcW w:w="798" w:type="pct"/>
                  <w:noWrap w:val="0"/>
                  <w:vAlign w:val="center"/>
                </w:tcPr>
                <w:p w14:paraId="752F3EF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14.4</w:t>
                  </w:r>
                </w:p>
              </w:tc>
              <w:tc>
                <w:tcPr>
                  <w:tcW w:w="1196" w:type="dxa"/>
                  <w:noWrap w:val="0"/>
                  <w:vAlign w:val="center"/>
                </w:tcPr>
                <w:p w14:paraId="135C45D4">
                  <w:pPr>
                    <w:pStyle w:val="2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461534 </w:t>
                  </w:r>
                </w:p>
              </w:tc>
            </w:tr>
            <w:tr w14:paraId="1367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noWrap w:val="0"/>
                  <w:vAlign w:val="center"/>
                </w:tcPr>
                <w:p w14:paraId="6743D45E">
                  <w:pPr>
                    <w:pStyle w:val="220"/>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u w:val="none"/>
                    </w:rPr>
                    <w:t>B</w:t>
                  </w:r>
                  <w:r>
                    <w:rPr>
                      <w:rFonts w:hint="default" w:ascii="Times New Roman" w:hAnsi="Times New Roman" w:eastAsia="宋体" w:cs="Times New Roman"/>
                      <w:i/>
                      <w:iCs/>
                      <w:color w:val="auto"/>
                      <w:sz w:val="21"/>
                      <w:szCs w:val="21"/>
                      <w:highlight w:val="none"/>
                      <w:u w:val="none"/>
                      <w:vertAlign w:val="subscript"/>
                    </w:rPr>
                    <w:t>i</w:t>
                  </w:r>
                  <w:r>
                    <w:rPr>
                      <w:rFonts w:hint="default" w:ascii="Times New Roman" w:hAnsi="Times New Roman" w:eastAsia="宋体" w:cs="Times New Roman"/>
                      <w:color w:val="auto"/>
                      <w:sz w:val="21"/>
                      <w:szCs w:val="21"/>
                      <w:highlight w:val="none"/>
                      <w:u w:val="none"/>
                    </w:rPr>
                    <w:t>＞9倍</w:t>
                  </w:r>
                </w:p>
              </w:tc>
              <w:tc>
                <w:tcPr>
                  <w:tcW w:w="987" w:type="pct"/>
                  <w:noWrap w:val="0"/>
                  <w:vAlign w:val="top"/>
                </w:tcPr>
                <w:p w14:paraId="7EE5A18A">
                  <w:pPr>
                    <w:pStyle w:val="2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987" w:type="pct"/>
                  <w:noWrap w:val="0"/>
                  <w:vAlign w:val="center"/>
                </w:tcPr>
                <w:p w14:paraId="75FE6D4C">
                  <w:pPr>
                    <w:pStyle w:val="22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0.1415</w:t>
                  </w:r>
                </w:p>
              </w:tc>
              <w:tc>
                <w:tcPr>
                  <w:tcW w:w="798" w:type="pct"/>
                  <w:noWrap w:val="0"/>
                  <w:vAlign w:val="center"/>
                </w:tcPr>
                <w:p w14:paraId="1439755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14.4</w:t>
                  </w:r>
                </w:p>
              </w:tc>
              <w:tc>
                <w:tcPr>
                  <w:tcW w:w="1196" w:type="dxa"/>
                  <w:noWrap w:val="0"/>
                  <w:vAlign w:val="center"/>
                </w:tcPr>
                <w:p w14:paraId="61918E6A">
                  <w:pPr>
                    <w:pStyle w:val="2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2037120 </w:t>
                  </w:r>
                </w:p>
              </w:tc>
            </w:tr>
          </w:tbl>
          <w:p w14:paraId="6BF00C98">
            <w:pPr>
              <w:pStyle w:val="218"/>
              <w:numPr>
                <w:ilvl w:val="0"/>
                <w:numId w:val="0"/>
              </w:numPr>
              <w:tabs>
                <w:tab w:val="left" w:pos="0"/>
              </w:tabs>
              <w:ind w:left="442" w:leftChars="0"/>
              <w:jc w:val="center"/>
              <w:rPr>
                <w:rFonts w:hint="eastAsia" w:ascii="Times New Roman" w:hAnsi="Times New Roman" w:eastAsia="宋体" w:cs="Times New Roman"/>
                <w:b/>
                <w:bCs/>
                <w:color w:val="auto"/>
                <w:kern w:val="2"/>
                <w:sz w:val="21"/>
                <w:szCs w:val="21"/>
                <w:highlight w:val="none"/>
                <w:lang w:val="en-US" w:eastAsia="zh-CN" w:bidi="ar-SA"/>
              </w:rPr>
            </w:pPr>
          </w:p>
          <w:p w14:paraId="6FB99D7A">
            <w:pPr>
              <w:pStyle w:val="218"/>
              <w:numPr>
                <w:ilvl w:val="0"/>
                <w:numId w:val="0"/>
              </w:numPr>
              <w:tabs>
                <w:tab w:val="left" w:pos="0"/>
              </w:tabs>
              <w:ind w:left="442"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表4.1-9 施工悬浮物造成的海洋资源损失量</w:t>
            </w:r>
          </w:p>
          <w:tbl>
            <w:tblPr>
              <w:tblStyle w:val="45"/>
              <w:tblW w:w="4998" w:type="pct"/>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60"/>
              <w:gridCol w:w="1520"/>
              <w:gridCol w:w="1484"/>
              <w:gridCol w:w="1024"/>
              <w:gridCol w:w="2189"/>
              <w:gridCol w:w="1681"/>
            </w:tblGrid>
            <w:tr w14:paraId="614569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31" w:type="pct"/>
                  <w:noWrap w:val="0"/>
                  <w:vAlign w:val="center"/>
                </w:tcPr>
                <w:p w14:paraId="5BFD102E">
                  <w:pPr>
                    <w:pStyle w:val="220"/>
                    <w:rPr>
                      <w:rFonts w:hint="default" w:eastAsia="宋体"/>
                      <w:b/>
                      <w:bCs/>
                      <w:color w:val="auto"/>
                      <w:highlight w:val="none"/>
                      <w:u w:val="none"/>
                      <w:lang w:val="en-US" w:eastAsia="zh-CN"/>
                    </w:rPr>
                  </w:pPr>
                  <w:r>
                    <w:rPr>
                      <w:rFonts w:hint="eastAsia"/>
                      <w:b/>
                      <w:bCs/>
                      <w:color w:val="auto"/>
                      <w:highlight w:val="none"/>
                      <w:u w:val="none"/>
                      <w:lang w:val="en-US" w:eastAsia="zh-CN"/>
                    </w:rPr>
                    <w:t>资源</w:t>
                  </w:r>
                </w:p>
              </w:tc>
              <w:tc>
                <w:tcPr>
                  <w:tcW w:w="898" w:type="pct"/>
                  <w:noWrap w:val="0"/>
                  <w:vAlign w:val="center"/>
                </w:tcPr>
                <w:p w14:paraId="13F1032B">
                  <w:pPr>
                    <w:pStyle w:val="220"/>
                    <w:rPr>
                      <w:b/>
                      <w:bCs/>
                      <w:color w:val="auto"/>
                      <w:highlight w:val="none"/>
                      <w:u w:val="none"/>
                    </w:rPr>
                  </w:pPr>
                  <w:r>
                    <w:rPr>
                      <w:b/>
                      <w:bCs/>
                      <w:color w:val="auto"/>
                      <w:highlight w:val="none"/>
                      <w:u w:val="none"/>
                    </w:rPr>
                    <w:t>M</w:t>
                  </w:r>
                </w:p>
              </w:tc>
              <w:tc>
                <w:tcPr>
                  <w:tcW w:w="877" w:type="pct"/>
                  <w:noWrap w:val="0"/>
                  <w:vAlign w:val="center"/>
                </w:tcPr>
                <w:p w14:paraId="79948566">
                  <w:pPr>
                    <w:pStyle w:val="220"/>
                    <w:rPr>
                      <w:rFonts w:hint="default" w:eastAsia="宋体"/>
                      <w:b/>
                      <w:bCs/>
                      <w:color w:val="auto"/>
                      <w:highlight w:val="none"/>
                      <w:u w:val="none"/>
                      <w:lang w:val="en-US" w:eastAsia="zh-CN"/>
                    </w:rPr>
                  </w:pPr>
                  <w:r>
                    <w:rPr>
                      <w:rFonts w:hint="eastAsia"/>
                      <w:b/>
                      <w:bCs/>
                      <w:color w:val="auto"/>
                      <w:highlight w:val="none"/>
                      <w:u w:val="none"/>
                      <w:lang w:eastAsia="zh-CN"/>
                    </w:rPr>
                    <w:t>密度</w:t>
                  </w:r>
                  <w:r>
                    <w:rPr>
                      <w:rFonts w:hint="eastAsia"/>
                      <w:b/>
                      <w:bCs/>
                      <w:color w:val="auto"/>
                      <w:highlight w:val="none"/>
                      <w:u w:val="none"/>
                      <w:lang w:val="en-US" w:eastAsia="zh-CN"/>
                    </w:rPr>
                    <w:t>/生物量</w:t>
                  </w:r>
                </w:p>
              </w:tc>
              <w:tc>
                <w:tcPr>
                  <w:tcW w:w="605" w:type="pct"/>
                  <w:noWrap w:val="0"/>
                  <w:vAlign w:val="center"/>
                </w:tcPr>
                <w:p w14:paraId="282097F8">
                  <w:pPr>
                    <w:pStyle w:val="220"/>
                    <w:rPr>
                      <w:b/>
                      <w:bCs/>
                      <w:color w:val="auto"/>
                      <w:highlight w:val="none"/>
                      <w:u w:val="none"/>
                    </w:rPr>
                  </w:pPr>
                  <w:r>
                    <w:rPr>
                      <w:b/>
                      <w:bCs/>
                      <w:color w:val="auto"/>
                      <w:highlight w:val="none"/>
                      <w:u w:val="none"/>
                    </w:rPr>
                    <w:t>损失率（%</w:t>
                  </w:r>
                  <w:r>
                    <w:rPr>
                      <w:rFonts w:hint="eastAsia" w:ascii="宋体" w:hAnsi="宋体"/>
                      <w:b/>
                      <w:bCs/>
                      <w:color w:val="auto"/>
                      <w:highlight w:val="none"/>
                      <w:u w:val="none"/>
                    </w:rPr>
                    <w:t>）</w:t>
                  </w:r>
                </w:p>
              </w:tc>
              <w:tc>
                <w:tcPr>
                  <w:tcW w:w="1293" w:type="pct"/>
                  <w:noWrap w:val="0"/>
                  <w:vAlign w:val="center"/>
                </w:tcPr>
                <w:p w14:paraId="1429AE51">
                  <w:pPr>
                    <w:pStyle w:val="220"/>
                    <w:rPr>
                      <w:b/>
                      <w:bCs/>
                      <w:color w:val="auto"/>
                      <w:highlight w:val="none"/>
                      <w:u w:val="none"/>
                    </w:rPr>
                  </w:pPr>
                  <w:r>
                    <w:rPr>
                      <w:b/>
                      <w:bCs/>
                      <w:color w:val="auto"/>
                      <w:highlight w:val="none"/>
                      <w:u w:val="none"/>
                    </w:rPr>
                    <w:t>损失量</w:t>
                  </w:r>
                </w:p>
              </w:tc>
              <w:tc>
                <w:tcPr>
                  <w:tcW w:w="993" w:type="pct"/>
                  <w:noWrap w:val="0"/>
                  <w:vAlign w:val="center"/>
                </w:tcPr>
                <w:p w14:paraId="1B4325B2">
                  <w:pPr>
                    <w:pStyle w:val="220"/>
                    <w:rPr>
                      <w:rFonts w:hint="eastAsia" w:eastAsia="宋体"/>
                      <w:b/>
                      <w:bCs/>
                      <w:color w:val="auto"/>
                      <w:highlight w:val="none"/>
                      <w:u w:val="none"/>
                      <w:lang w:eastAsia="zh-CN"/>
                    </w:rPr>
                  </w:pPr>
                  <w:r>
                    <w:rPr>
                      <w:rFonts w:hint="eastAsia"/>
                      <w:b/>
                      <w:bCs/>
                      <w:color w:val="auto"/>
                      <w:highlight w:val="none"/>
                      <w:u w:val="none"/>
                      <w:lang w:eastAsia="zh-CN"/>
                    </w:rPr>
                    <w:t>小计</w:t>
                  </w:r>
                </w:p>
              </w:tc>
            </w:tr>
            <w:tr w14:paraId="2D9E83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31" w:type="pct"/>
                  <w:vMerge w:val="restart"/>
                  <w:noWrap w:val="0"/>
                  <w:vAlign w:val="center"/>
                </w:tcPr>
                <w:p w14:paraId="791ABD39">
                  <w:pPr>
                    <w:pStyle w:val="220"/>
                    <w:jc w:val="both"/>
                    <w:rPr>
                      <w:rFonts w:hint="eastAsia" w:eastAsia="宋体"/>
                      <w:color w:val="auto"/>
                      <w:highlight w:val="none"/>
                      <w:u w:val="none"/>
                      <w:lang w:eastAsia="zh-CN"/>
                    </w:rPr>
                  </w:pPr>
                  <w:r>
                    <w:rPr>
                      <w:rFonts w:hint="eastAsia"/>
                      <w:color w:val="auto"/>
                      <w:highlight w:val="none"/>
                      <w:u w:val="none"/>
                      <w:lang w:eastAsia="zh-CN"/>
                    </w:rPr>
                    <w:t>浮游植物</w:t>
                  </w:r>
                </w:p>
              </w:tc>
              <w:tc>
                <w:tcPr>
                  <w:tcW w:w="898" w:type="pct"/>
                  <w:noWrap w:val="0"/>
                  <w:vAlign w:val="center"/>
                </w:tcPr>
                <w:p w14:paraId="4B739522">
                  <w:pPr>
                    <w:pStyle w:val="220"/>
                    <w:rPr>
                      <w:color w:val="auto"/>
                      <w:highlight w:val="none"/>
                      <w:u w:val="none"/>
                    </w:rPr>
                  </w:pPr>
                  <w:r>
                    <w:rPr>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1</w:t>
                  </w:r>
                  <w:r>
                    <w:rPr>
                      <w:rFonts w:hint="eastAsia" w:ascii="宋体" w:hAnsi="宋体"/>
                      <w:color w:val="auto"/>
                      <w:highlight w:val="none"/>
                      <w:u w:val="none"/>
                    </w:rPr>
                    <w:t>倍</w:t>
                  </w:r>
                </w:p>
              </w:tc>
              <w:tc>
                <w:tcPr>
                  <w:tcW w:w="877" w:type="pct"/>
                  <w:vMerge w:val="restart"/>
                  <w:noWrap w:val="0"/>
                  <w:vAlign w:val="center"/>
                </w:tcPr>
                <w:p w14:paraId="2A8E5BDD">
                  <w:pPr>
                    <w:pStyle w:val="220"/>
                    <w:rPr>
                      <w:color w:val="auto"/>
                      <w:highlight w:val="none"/>
                      <w:u w:val="none"/>
                    </w:rPr>
                  </w:pPr>
                  <w:r>
                    <w:rPr>
                      <w:rFonts w:hint="default" w:ascii="Times New Roman" w:hAnsi="Times New Roman" w:eastAsia="宋体" w:cs="Times New Roman"/>
                      <w:color w:val="auto"/>
                      <w:sz w:val="21"/>
                      <w:szCs w:val="21"/>
                      <w:highlight w:val="none"/>
                      <w:shd w:val="clear" w:color="auto" w:fill="auto"/>
                      <w:lang w:val="en-US" w:eastAsia="zh-CN"/>
                    </w:rPr>
                    <w:t>4.37</w:t>
                  </w:r>
                  <w:r>
                    <w:rPr>
                      <w:rFonts w:hint="default" w:ascii="Times New Roman" w:hAnsi="Times New Roman" w:eastAsia="宋体" w:cs="Times New Roman"/>
                      <w:color w:val="auto"/>
                      <w:sz w:val="21"/>
                      <w:szCs w:val="21"/>
                      <w:highlight w:val="none"/>
                      <w:shd w:val="clear" w:color="auto" w:fill="auto"/>
                    </w:rPr>
                    <w:t>×10</w:t>
                  </w:r>
                  <w:r>
                    <w:rPr>
                      <w:rFonts w:hint="default" w:ascii="Times New Roman" w:hAnsi="Times New Roman" w:eastAsia="宋体" w:cs="Times New Roman"/>
                      <w:color w:val="auto"/>
                      <w:sz w:val="21"/>
                      <w:szCs w:val="21"/>
                      <w:highlight w:val="none"/>
                      <w:shd w:val="clear" w:color="auto" w:fill="auto"/>
                      <w:vertAlign w:val="superscript"/>
                      <w:lang w:val="en-US" w:eastAsia="zh-CN"/>
                    </w:rPr>
                    <w:t>6</w:t>
                  </w:r>
                  <w:r>
                    <w:rPr>
                      <w:rFonts w:hint="default" w:ascii="Times New Roman" w:hAnsi="Times New Roman" w:eastAsia="宋体" w:cs="Times New Roman"/>
                      <w:color w:val="auto"/>
                      <w:sz w:val="21"/>
                      <w:szCs w:val="21"/>
                      <w:highlight w:val="none"/>
                      <w:shd w:val="clear" w:color="auto" w:fill="auto"/>
                      <w:lang w:val="en-US" w:eastAsia="zh-CN"/>
                    </w:rPr>
                    <w:t>个/m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p>
              </w:tc>
              <w:tc>
                <w:tcPr>
                  <w:tcW w:w="605" w:type="pct"/>
                  <w:noWrap w:val="0"/>
                  <w:vAlign w:val="center"/>
                </w:tcPr>
                <w:p w14:paraId="5F6C2C0D">
                  <w:pPr>
                    <w:pStyle w:val="220"/>
                    <w:rPr>
                      <w:rFonts w:ascii="Times New Roman" w:hAnsi="Times New Roman" w:eastAsia="宋体" w:cs="Times New Roman"/>
                      <w:color w:val="auto"/>
                      <w:highlight w:val="none"/>
                      <w:u w:val="none"/>
                    </w:rPr>
                  </w:pPr>
                  <w:r>
                    <w:rPr>
                      <w:rFonts w:ascii="Times New Roman" w:hAnsi="Times New Roman" w:eastAsia="宋体" w:cs="Times New Roman"/>
                      <w:color w:val="auto"/>
                      <w:highlight w:val="none"/>
                      <w:u w:val="none"/>
                    </w:rPr>
                    <w:t>5</w:t>
                  </w:r>
                </w:p>
              </w:tc>
              <w:tc>
                <w:tcPr>
                  <w:tcW w:w="1293" w:type="pct"/>
                  <w:noWrap w:val="0"/>
                  <w:vAlign w:val="center"/>
                </w:tcPr>
                <w:p w14:paraId="3648F751">
                  <w:pPr>
                    <w:keepNext w:val="0"/>
                    <w:keepLines w:val="0"/>
                    <w:widowControl/>
                    <w:suppressLineNumbers w:val="0"/>
                    <w:jc w:val="center"/>
                    <w:textAlignment w:val="center"/>
                    <w:rPr>
                      <w:rFonts w:ascii="Times New Roman" w:hAnsi="Times New Roman" w:eastAsia="宋体" w:cs="Times New Roman"/>
                      <w:color w:val="auto"/>
                      <w:highlight w:val="none"/>
                      <w:u w:val="none"/>
                    </w:rPr>
                  </w:pPr>
                  <w:r>
                    <w:rPr>
                      <w:rFonts w:hint="eastAsia" w:ascii="Times New Roman" w:hAnsi="Times New Roman" w:eastAsia="等线" w:cs="Times New Roman"/>
                      <w:i w:val="0"/>
                      <w:iCs w:val="0"/>
                      <w:color w:val="auto"/>
                      <w:kern w:val="0"/>
                      <w:sz w:val="21"/>
                      <w:szCs w:val="21"/>
                      <w:highlight w:val="none"/>
                      <w:u w:val="none"/>
                      <w:lang w:val="en-US" w:eastAsia="zh-CN" w:bidi="ar"/>
                    </w:rPr>
                    <w:t>3.37</w:t>
                  </w:r>
                  <w:r>
                    <w:rPr>
                      <w:rFonts w:hint="default" w:ascii="Times New Roman" w:hAnsi="Times New Roman" w:eastAsia="宋体" w:cs="Times New Roman"/>
                      <w:color w:val="auto"/>
                      <w:sz w:val="21"/>
                      <w:szCs w:val="21"/>
                      <w:highlight w:val="none"/>
                      <w:shd w:val="clear" w:color="auto" w:fill="auto"/>
                    </w:rPr>
                    <w:t>×10</w:t>
                  </w:r>
                  <w:r>
                    <w:rPr>
                      <w:rFonts w:hint="eastAsia" w:ascii="Times New Roman" w:hAnsi="Times New Roman" w:eastAsia="宋体" w:cs="Times New Roman"/>
                      <w:color w:val="auto"/>
                      <w:sz w:val="21"/>
                      <w:szCs w:val="21"/>
                      <w:highlight w:val="none"/>
                      <w:shd w:val="clear" w:color="auto" w:fill="auto"/>
                      <w:vertAlign w:val="superscript"/>
                      <w:lang w:val="en-US" w:eastAsia="zh-CN"/>
                    </w:rPr>
                    <w:t>12</w:t>
                  </w:r>
                  <w:r>
                    <w:rPr>
                      <w:rFonts w:hint="default" w:ascii="Times New Roman" w:hAnsi="Times New Roman" w:eastAsia="宋体" w:cs="Times New Roman"/>
                      <w:color w:val="auto"/>
                      <w:sz w:val="21"/>
                      <w:szCs w:val="21"/>
                      <w:highlight w:val="none"/>
                      <w:shd w:val="clear" w:color="auto" w:fill="auto"/>
                      <w:lang w:val="en-US" w:eastAsia="zh-CN"/>
                    </w:rPr>
                    <w:t>个</w:t>
                  </w:r>
                </w:p>
              </w:tc>
              <w:tc>
                <w:tcPr>
                  <w:tcW w:w="993" w:type="pct"/>
                  <w:vMerge w:val="restart"/>
                  <w:noWrap w:val="0"/>
                  <w:vAlign w:val="center"/>
                </w:tcPr>
                <w:p w14:paraId="0FE93CB1">
                  <w:pPr>
                    <w:keepNext w:val="0"/>
                    <w:keepLines w:val="0"/>
                    <w:widowControl/>
                    <w:suppressLineNumbers w:val="0"/>
                    <w:jc w:val="right"/>
                    <w:textAlignment w:val="center"/>
                    <w:rPr>
                      <w:rFonts w:ascii="等线" w:hAnsi="等线" w:eastAsia="等线" w:cs="等线"/>
                      <w:i w:val="0"/>
                      <w:iCs w:val="0"/>
                      <w:color w:val="auto"/>
                      <w:kern w:val="2"/>
                      <w:sz w:val="22"/>
                      <w:szCs w:val="22"/>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11.44</w:t>
                  </w:r>
                  <w:r>
                    <w:rPr>
                      <w:rFonts w:hint="default" w:ascii="Times New Roman" w:hAnsi="Times New Roman" w:eastAsia="宋体" w:cs="Times New Roman"/>
                      <w:color w:val="auto"/>
                      <w:sz w:val="21"/>
                      <w:szCs w:val="21"/>
                      <w:highlight w:val="none"/>
                      <w:shd w:val="clear" w:color="auto" w:fill="auto"/>
                    </w:rPr>
                    <w:t>×10</w:t>
                  </w:r>
                  <w:r>
                    <w:rPr>
                      <w:rFonts w:hint="eastAsia" w:ascii="Times New Roman" w:hAnsi="Times New Roman" w:eastAsia="宋体" w:cs="Times New Roman"/>
                      <w:color w:val="auto"/>
                      <w:sz w:val="21"/>
                      <w:szCs w:val="21"/>
                      <w:highlight w:val="none"/>
                      <w:shd w:val="clear" w:color="auto" w:fill="auto"/>
                      <w:vertAlign w:val="superscript"/>
                      <w:lang w:val="en-US" w:eastAsia="zh-CN"/>
                    </w:rPr>
                    <w:t>12</w:t>
                  </w:r>
                  <w:r>
                    <w:rPr>
                      <w:rFonts w:hint="default" w:ascii="Times New Roman" w:hAnsi="Times New Roman" w:eastAsia="宋体" w:cs="Times New Roman"/>
                      <w:color w:val="auto"/>
                      <w:sz w:val="21"/>
                      <w:szCs w:val="21"/>
                      <w:highlight w:val="none"/>
                      <w:shd w:val="clear" w:color="auto" w:fill="auto"/>
                      <w:lang w:val="en-US" w:eastAsia="zh-CN"/>
                    </w:rPr>
                    <w:t>个</w:t>
                  </w:r>
                  <w:r>
                    <w:rPr>
                      <w:rFonts w:hint="default" w:ascii="等线" w:hAnsi="等线" w:eastAsia="等线" w:cs="等线"/>
                      <w:i w:val="0"/>
                      <w:iCs w:val="0"/>
                      <w:color w:val="auto"/>
                      <w:kern w:val="0"/>
                      <w:sz w:val="22"/>
                      <w:szCs w:val="22"/>
                      <w:highlight w:val="none"/>
                      <w:u w:val="none"/>
                      <w:lang w:val="en-US" w:eastAsia="zh-CN" w:bidi="ar"/>
                    </w:rPr>
                    <w:t xml:space="preserve"> </w:t>
                  </w:r>
                </w:p>
              </w:tc>
            </w:tr>
            <w:tr w14:paraId="40FCF0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4A6EB563">
                  <w:pPr>
                    <w:pStyle w:val="220"/>
                    <w:rPr>
                      <w:color w:val="auto"/>
                      <w:highlight w:val="none"/>
                      <w:u w:val="none"/>
                    </w:rPr>
                  </w:pPr>
                </w:p>
              </w:tc>
              <w:tc>
                <w:tcPr>
                  <w:tcW w:w="898" w:type="pct"/>
                  <w:noWrap w:val="0"/>
                  <w:vAlign w:val="center"/>
                </w:tcPr>
                <w:p w14:paraId="46E3D64E">
                  <w:pPr>
                    <w:pStyle w:val="220"/>
                    <w:rPr>
                      <w:color w:val="auto"/>
                      <w:highlight w:val="none"/>
                      <w:u w:val="none"/>
                    </w:rPr>
                  </w:pPr>
                  <w:r>
                    <w:rPr>
                      <w:color w:val="auto"/>
                      <w:highlight w:val="none"/>
                      <w:u w:val="none"/>
                    </w:rPr>
                    <w:t>1</w:t>
                  </w:r>
                  <w:r>
                    <w:rPr>
                      <w:rFonts w:hint="eastAsia" w:ascii="宋体" w:hAnsi="宋体"/>
                      <w:color w:val="auto"/>
                      <w:highlight w:val="none"/>
                      <w:u w:val="none"/>
                    </w:rPr>
                    <w:t>＜</w:t>
                  </w:r>
                  <w:r>
                    <w:rPr>
                      <w:i/>
                      <w:iCs/>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4</w:t>
                  </w:r>
                  <w:r>
                    <w:rPr>
                      <w:rFonts w:hint="eastAsia" w:ascii="宋体" w:hAnsi="宋体"/>
                      <w:color w:val="auto"/>
                      <w:highlight w:val="none"/>
                      <w:u w:val="none"/>
                    </w:rPr>
                    <w:t>倍</w:t>
                  </w:r>
                </w:p>
              </w:tc>
              <w:tc>
                <w:tcPr>
                  <w:tcW w:w="877" w:type="pct"/>
                  <w:vMerge w:val="continue"/>
                  <w:noWrap w:val="0"/>
                  <w:vAlign w:val="center"/>
                </w:tcPr>
                <w:p w14:paraId="1B2DB545">
                  <w:pPr>
                    <w:pStyle w:val="220"/>
                    <w:rPr>
                      <w:color w:val="auto"/>
                      <w:highlight w:val="none"/>
                      <w:u w:val="none"/>
                    </w:rPr>
                  </w:pPr>
                </w:p>
              </w:tc>
              <w:tc>
                <w:tcPr>
                  <w:tcW w:w="605" w:type="pct"/>
                  <w:noWrap w:val="0"/>
                  <w:vAlign w:val="center"/>
                </w:tcPr>
                <w:p w14:paraId="16FAD4FE">
                  <w:pPr>
                    <w:pStyle w:val="220"/>
                    <w:rPr>
                      <w:color w:val="auto"/>
                      <w:highlight w:val="none"/>
                      <w:u w:val="none"/>
                    </w:rPr>
                  </w:pPr>
                  <w:r>
                    <w:rPr>
                      <w:color w:val="auto"/>
                      <w:highlight w:val="none"/>
                      <w:u w:val="none"/>
                    </w:rPr>
                    <w:t>20</w:t>
                  </w:r>
                </w:p>
              </w:tc>
              <w:tc>
                <w:tcPr>
                  <w:tcW w:w="1293" w:type="pct"/>
                  <w:noWrap w:val="0"/>
                  <w:vAlign w:val="center"/>
                </w:tcPr>
                <w:p w14:paraId="32D50F7A">
                  <w:pPr>
                    <w:keepNext w:val="0"/>
                    <w:keepLines w:val="0"/>
                    <w:widowControl/>
                    <w:suppressLineNumbers w:val="0"/>
                    <w:jc w:val="center"/>
                    <w:textAlignment w:val="center"/>
                    <w:rPr>
                      <w:rFonts w:ascii="Times New Roman" w:hAnsi="Times New Roman" w:eastAsia="宋体" w:cs="Times New Roman"/>
                      <w:color w:val="auto"/>
                      <w:highlight w:val="none"/>
                      <w:u w:val="none"/>
                    </w:rPr>
                  </w:pPr>
                  <w:r>
                    <w:rPr>
                      <w:rFonts w:hint="eastAsia" w:ascii="Times New Roman" w:hAnsi="Times New Roman" w:eastAsia="等线" w:cs="Times New Roman"/>
                      <w:i w:val="0"/>
                      <w:iCs w:val="0"/>
                      <w:color w:val="auto"/>
                      <w:kern w:val="0"/>
                      <w:sz w:val="21"/>
                      <w:szCs w:val="21"/>
                      <w:highlight w:val="none"/>
                      <w:u w:val="none"/>
                      <w:lang w:val="en-US" w:eastAsia="zh-CN" w:bidi="ar"/>
                    </w:rPr>
                    <w:t>2.8</w:t>
                  </w:r>
                  <w:r>
                    <w:rPr>
                      <w:rFonts w:hint="default" w:ascii="Times New Roman" w:hAnsi="Times New Roman" w:eastAsia="宋体" w:cs="Times New Roman"/>
                      <w:color w:val="auto"/>
                      <w:sz w:val="21"/>
                      <w:szCs w:val="21"/>
                      <w:highlight w:val="none"/>
                      <w:shd w:val="clear" w:color="auto" w:fill="auto"/>
                    </w:rPr>
                    <w:t>×10</w:t>
                  </w:r>
                  <w:r>
                    <w:rPr>
                      <w:rFonts w:hint="eastAsia" w:ascii="Times New Roman" w:hAnsi="Times New Roman" w:eastAsia="宋体" w:cs="Times New Roman"/>
                      <w:color w:val="auto"/>
                      <w:sz w:val="21"/>
                      <w:szCs w:val="21"/>
                      <w:highlight w:val="none"/>
                      <w:shd w:val="clear" w:color="auto" w:fill="auto"/>
                      <w:vertAlign w:val="superscript"/>
                      <w:lang w:val="en-US" w:eastAsia="zh-CN"/>
                    </w:rPr>
                    <w:t>12</w:t>
                  </w:r>
                  <w:r>
                    <w:rPr>
                      <w:rFonts w:hint="default" w:ascii="Times New Roman" w:hAnsi="Times New Roman" w:eastAsia="宋体" w:cs="Times New Roman"/>
                      <w:color w:val="auto"/>
                      <w:sz w:val="21"/>
                      <w:szCs w:val="21"/>
                      <w:highlight w:val="none"/>
                      <w:shd w:val="clear" w:color="auto" w:fill="auto"/>
                      <w:lang w:val="en-US" w:eastAsia="zh-CN"/>
                    </w:rPr>
                    <w:t>个</w:t>
                  </w:r>
                </w:p>
              </w:tc>
              <w:tc>
                <w:tcPr>
                  <w:tcW w:w="993" w:type="pct"/>
                  <w:vMerge w:val="continue"/>
                  <w:noWrap w:val="0"/>
                  <w:vAlign w:val="center"/>
                </w:tcPr>
                <w:p w14:paraId="31B81FB7">
                  <w:pPr>
                    <w:jc w:val="center"/>
                    <w:rPr>
                      <w:rFonts w:eastAsia="等线"/>
                      <w:color w:val="auto"/>
                      <w:sz w:val="21"/>
                      <w:szCs w:val="21"/>
                      <w:highlight w:val="none"/>
                      <w:u w:val="none"/>
                    </w:rPr>
                  </w:pPr>
                </w:p>
              </w:tc>
            </w:tr>
            <w:tr w14:paraId="7BCC40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19138727">
                  <w:pPr>
                    <w:pStyle w:val="220"/>
                    <w:rPr>
                      <w:color w:val="auto"/>
                      <w:highlight w:val="none"/>
                      <w:u w:val="none"/>
                    </w:rPr>
                  </w:pPr>
                </w:p>
              </w:tc>
              <w:tc>
                <w:tcPr>
                  <w:tcW w:w="898" w:type="pct"/>
                  <w:noWrap w:val="0"/>
                  <w:vAlign w:val="center"/>
                </w:tcPr>
                <w:p w14:paraId="773EA2DC">
                  <w:pPr>
                    <w:pStyle w:val="220"/>
                    <w:rPr>
                      <w:color w:val="auto"/>
                      <w:highlight w:val="none"/>
                      <w:u w:val="none"/>
                    </w:rPr>
                  </w:pPr>
                  <w:r>
                    <w:rPr>
                      <w:color w:val="auto"/>
                      <w:highlight w:val="none"/>
                      <w:u w:val="none"/>
                    </w:rPr>
                    <w:t>4</w:t>
                  </w:r>
                  <w:r>
                    <w:rPr>
                      <w:rFonts w:hint="eastAsia" w:ascii="宋体" w:hAnsi="宋体"/>
                      <w:color w:val="auto"/>
                      <w:highlight w:val="none"/>
                      <w:u w:val="none"/>
                    </w:rPr>
                    <w:t>＜</w:t>
                  </w:r>
                  <w:r>
                    <w:rPr>
                      <w:i/>
                      <w:iCs/>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9</w:t>
                  </w:r>
                  <w:r>
                    <w:rPr>
                      <w:rFonts w:hint="eastAsia" w:ascii="宋体" w:hAnsi="宋体"/>
                      <w:color w:val="auto"/>
                      <w:highlight w:val="none"/>
                      <w:u w:val="none"/>
                    </w:rPr>
                    <w:t>倍</w:t>
                  </w:r>
                </w:p>
              </w:tc>
              <w:tc>
                <w:tcPr>
                  <w:tcW w:w="877" w:type="pct"/>
                  <w:vMerge w:val="continue"/>
                  <w:noWrap w:val="0"/>
                  <w:vAlign w:val="center"/>
                </w:tcPr>
                <w:p w14:paraId="599BD16B">
                  <w:pPr>
                    <w:pStyle w:val="220"/>
                    <w:rPr>
                      <w:color w:val="auto"/>
                      <w:highlight w:val="none"/>
                      <w:u w:val="none"/>
                    </w:rPr>
                  </w:pPr>
                </w:p>
              </w:tc>
              <w:tc>
                <w:tcPr>
                  <w:tcW w:w="605" w:type="pct"/>
                  <w:noWrap w:val="0"/>
                  <w:vAlign w:val="center"/>
                </w:tcPr>
                <w:p w14:paraId="5AB7DEF8">
                  <w:pPr>
                    <w:pStyle w:val="220"/>
                    <w:rPr>
                      <w:color w:val="auto"/>
                      <w:highlight w:val="none"/>
                      <w:u w:val="none"/>
                    </w:rPr>
                  </w:pPr>
                  <w:r>
                    <w:rPr>
                      <w:color w:val="auto"/>
                      <w:highlight w:val="none"/>
                      <w:u w:val="none"/>
                    </w:rPr>
                    <w:t>40</w:t>
                  </w:r>
                </w:p>
              </w:tc>
              <w:tc>
                <w:tcPr>
                  <w:tcW w:w="1293" w:type="pct"/>
                  <w:noWrap w:val="0"/>
                  <w:vAlign w:val="center"/>
                </w:tcPr>
                <w:p w14:paraId="5EB56069">
                  <w:pPr>
                    <w:keepNext w:val="0"/>
                    <w:keepLines w:val="0"/>
                    <w:widowControl/>
                    <w:suppressLineNumbers w:val="0"/>
                    <w:jc w:val="center"/>
                    <w:textAlignment w:val="center"/>
                    <w:rPr>
                      <w:rFonts w:ascii="Times New Roman" w:hAnsi="Times New Roman" w:eastAsia="宋体" w:cs="Times New Roman"/>
                      <w:color w:val="auto"/>
                      <w:highlight w:val="none"/>
                      <w:u w:val="none"/>
                    </w:rPr>
                  </w:pPr>
                  <w:r>
                    <w:rPr>
                      <w:rFonts w:hint="eastAsia" w:ascii="Times New Roman" w:hAnsi="Times New Roman" w:eastAsia="等线" w:cs="Times New Roman"/>
                      <w:i w:val="0"/>
                      <w:iCs w:val="0"/>
                      <w:color w:val="auto"/>
                      <w:kern w:val="0"/>
                      <w:sz w:val="21"/>
                      <w:szCs w:val="21"/>
                      <w:highlight w:val="none"/>
                      <w:u w:val="none"/>
                      <w:lang w:val="en-US" w:eastAsia="zh-CN" w:bidi="ar"/>
                    </w:rPr>
                    <w:t>0.81</w:t>
                  </w:r>
                  <w:r>
                    <w:rPr>
                      <w:rFonts w:hint="default" w:ascii="Times New Roman" w:hAnsi="Times New Roman" w:eastAsia="宋体" w:cs="Times New Roman"/>
                      <w:color w:val="auto"/>
                      <w:sz w:val="21"/>
                      <w:szCs w:val="21"/>
                      <w:highlight w:val="none"/>
                      <w:shd w:val="clear" w:color="auto" w:fill="auto"/>
                    </w:rPr>
                    <w:t>×10</w:t>
                  </w:r>
                  <w:r>
                    <w:rPr>
                      <w:rFonts w:hint="eastAsia" w:ascii="Times New Roman" w:hAnsi="Times New Roman" w:eastAsia="宋体" w:cs="Times New Roman"/>
                      <w:color w:val="auto"/>
                      <w:sz w:val="21"/>
                      <w:szCs w:val="21"/>
                      <w:highlight w:val="none"/>
                      <w:shd w:val="clear" w:color="auto" w:fill="auto"/>
                      <w:vertAlign w:val="superscript"/>
                      <w:lang w:val="en-US" w:eastAsia="zh-CN"/>
                    </w:rPr>
                    <w:t>12</w:t>
                  </w:r>
                  <w:r>
                    <w:rPr>
                      <w:rFonts w:hint="default" w:ascii="Times New Roman" w:hAnsi="Times New Roman" w:eastAsia="宋体" w:cs="Times New Roman"/>
                      <w:color w:val="auto"/>
                      <w:sz w:val="21"/>
                      <w:szCs w:val="21"/>
                      <w:highlight w:val="none"/>
                      <w:shd w:val="clear" w:color="auto" w:fill="auto"/>
                      <w:lang w:val="en-US" w:eastAsia="zh-CN"/>
                    </w:rPr>
                    <w:t>个</w:t>
                  </w:r>
                </w:p>
              </w:tc>
              <w:tc>
                <w:tcPr>
                  <w:tcW w:w="993" w:type="pct"/>
                  <w:vMerge w:val="continue"/>
                  <w:noWrap w:val="0"/>
                  <w:vAlign w:val="center"/>
                </w:tcPr>
                <w:p w14:paraId="3632EBA1">
                  <w:pPr>
                    <w:jc w:val="center"/>
                    <w:rPr>
                      <w:rFonts w:eastAsia="等线"/>
                      <w:color w:val="auto"/>
                      <w:sz w:val="21"/>
                      <w:szCs w:val="21"/>
                      <w:highlight w:val="none"/>
                      <w:u w:val="none"/>
                    </w:rPr>
                  </w:pPr>
                </w:p>
              </w:tc>
            </w:tr>
            <w:tr w14:paraId="213621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47AF7D4A">
                  <w:pPr>
                    <w:pStyle w:val="220"/>
                    <w:rPr>
                      <w:color w:val="auto"/>
                      <w:highlight w:val="none"/>
                      <w:u w:val="none"/>
                    </w:rPr>
                  </w:pPr>
                </w:p>
              </w:tc>
              <w:tc>
                <w:tcPr>
                  <w:tcW w:w="898" w:type="pct"/>
                  <w:noWrap w:val="0"/>
                  <w:vAlign w:val="center"/>
                </w:tcPr>
                <w:p w14:paraId="5B310284">
                  <w:pPr>
                    <w:pStyle w:val="220"/>
                    <w:rPr>
                      <w:color w:val="auto"/>
                      <w:highlight w:val="none"/>
                      <w:u w:val="none"/>
                    </w:rPr>
                  </w:pPr>
                  <w:r>
                    <w:rPr>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9</w:t>
                  </w:r>
                  <w:r>
                    <w:rPr>
                      <w:rFonts w:hint="eastAsia" w:ascii="宋体" w:hAnsi="宋体"/>
                      <w:color w:val="auto"/>
                      <w:highlight w:val="none"/>
                      <w:u w:val="none"/>
                    </w:rPr>
                    <w:t>倍</w:t>
                  </w:r>
                </w:p>
              </w:tc>
              <w:tc>
                <w:tcPr>
                  <w:tcW w:w="877" w:type="pct"/>
                  <w:vMerge w:val="continue"/>
                  <w:noWrap w:val="0"/>
                  <w:vAlign w:val="center"/>
                </w:tcPr>
                <w:p w14:paraId="6A158999">
                  <w:pPr>
                    <w:pStyle w:val="220"/>
                    <w:rPr>
                      <w:color w:val="auto"/>
                      <w:highlight w:val="none"/>
                      <w:u w:val="none"/>
                    </w:rPr>
                  </w:pPr>
                </w:p>
              </w:tc>
              <w:tc>
                <w:tcPr>
                  <w:tcW w:w="605" w:type="pct"/>
                  <w:noWrap w:val="0"/>
                  <w:vAlign w:val="center"/>
                </w:tcPr>
                <w:p w14:paraId="566DB481">
                  <w:pPr>
                    <w:pStyle w:val="220"/>
                    <w:rPr>
                      <w:color w:val="auto"/>
                      <w:highlight w:val="none"/>
                      <w:u w:val="none"/>
                    </w:rPr>
                  </w:pPr>
                  <w:r>
                    <w:rPr>
                      <w:color w:val="auto"/>
                      <w:highlight w:val="none"/>
                      <w:u w:val="none"/>
                    </w:rPr>
                    <w:t>50</w:t>
                  </w:r>
                </w:p>
              </w:tc>
              <w:tc>
                <w:tcPr>
                  <w:tcW w:w="1293" w:type="pct"/>
                  <w:noWrap w:val="0"/>
                  <w:vAlign w:val="center"/>
                </w:tcPr>
                <w:p w14:paraId="73B0EDDB">
                  <w:pPr>
                    <w:keepNext w:val="0"/>
                    <w:keepLines w:val="0"/>
                    <w:widowControl/>
                    <w:suppressLineNumbers w:val="0"/>
                    <w:jc w:val="center"/>
                    <w:textAlignment w:val="center"/>
                    <w:rPr>
                      <w:rFonts w:ascii="Times New Roman" w:hAnsi="Times New Roman" w:eastAsia="宋体" w:cs="Times New Roman"/>
                      <w:color w:val="auto"/>
                      <w:highlight w:val="none"/>
                      <w:u w:val="none"/>
                    </w:rPr>
                  </w:pPr>
                  <w:r>
                    <w:rPr>
                      <w:rFonts w:hint="eastAsia" w:ascii="Times New Roman" w:hAnsi="Times New Roman" w:eastAsia="等线" w:cs="Times New Roman"/>
                      <w:i w:val="0"/>
                      <w:iCs w:val="0"/>
                      <w:color w:val="auto"/>
                      <w:kern w:val="0"/>
                      <w:sz w:val="21"/>
                      <w:szCs w:val="21"/>
                      <w:highlight w:val="none"/>
                      <w:u w:val="none"/>
                      <w:lang w:val="en-US" w:eastAsia="zh-CN" w:bidi="ar"/>
                    </w:rPr>
                    <w:t>4.46</w:t>
                  </w:r>
                  <w:r>
                    <w:rPr>
                      <w:rFonts w:hint="default" w:ascii="Times New Roman" w:hAnsi="Times New Roman" w:eastAsia="宋体" w:cs="Times New Roman"/>
                      <w:color w:val="auto"/>
                      <w:sz w:val="21"/>
                      <w:szCs w:val="21"/>
                      <w:highlight w:val="none"/>
                      <w:shd w:val="clear" w:color="auto" w:fill="auto"/>
                    </w:rPr>
                    <w:t>×10</w:t>
                  </w:r>
                  <w:r>
                    <w:rPr>
                      <w:rFonts w:hint="eastAsia" w:ascii="Times New Roman" w:hAnsi="Times New Roman" w:eastAsia="宋体" w:cs="Times New Roman"/>
                      <w:color w:val="auto"/>
                      <w:sz w:val="21"/>
                      <w:szCs w:val="21"/>
                      <w:highlight w:val="none"/>
                      <w:shd w:val="clear" w:color="auto" w:fill="auto"/>
                      <w:vertAlign w:val="superscript"/>
                      <w:lang w:val="en-US" w:eastAsia="zh-CN"/>
                    </w:rPr>
                    <w:t>12</w:t>
                  </w:r>
                  <w:r>
                    <w:rPr>
                      <w:rFonts w:hint="default" w:ascii="Times New Roman" w:hAnsi="Times New Roman" w:eastAsia="宋体" w:cs="Times New Roman"/>
                      <w:color w:val="auto"/>
                      <w:sz w:val="21"/>
                      <w:szCs w:val="21"/>
                      <w:highlight w:val="none"/>
                      <w:shd w:val="clear" w:color="auto" w:fill="auto"/>
                      <w:lang w:val="en-US" w:eastAsia="zh-CN"/>
                    </w:rPr>
                    <w:t>个</w:t>
                  </w:r>
                </w:p>
              </w:tc>
              <w:tc>
                <w:tcPr>
                  <w:tcW w:w="993" w:type="pct"/>
                  <w:vMerge w:val="continue"/>
                  <w:noWrap w:val="0"/>
                  <w:vAlign w:val="center"/>
                </w:tcPr>
                <w:p w14:paraId="079903C5">
                  <w:pPr>
                    <w:jc w:val="center"/>
                    <w:rPr>
                      <w:rFonts w:eastAsia="等线"/>
                      <w:color w:val="auto"/>
                      <w:sz w:val="21"/>
                      <w:szCs w:val="21"/>
                      <w:highlight w:val="none"/>
                      <w:u w:val="none"/>
                    </w:rPr>
                  </w:pPr>
                </w:p>
              </w:tc>
            </w:tr>
            <w:tr w14:paraId="0AB04D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restart"/>
                  <w:noWrap w:val="0"/>
                  <w:vAlign w:val="center"/>
                </w:tcPr>
                <w:p w14:paraId="42E4F612">
                  <w:pPr>
                    <w:pStyle w:val="220"/>
                    <w:rPr>
                      <w:rFonts w:hint="eastAsia" w:eastAsia="宋体"/>
                      <w:color w:val="auto"/>
                      <w:highlight w:val="none"/>
                      <w:lang w:eastAsia="zh-CN"/>
                    </w:rPr>
                  </w:pPr>
                  <w:bookmarkStart w:id="46" w:name="RANGE!A29"/>
                  <w:r>
                    <w:rPr>
                      <w:rFonts w:hint="eastAsia"/>
                      <w:color w:val="auto"/>
                      <w:highlight w:val="none"/>
                      <w:lang w:eastAsia="zh-CN"/>
                    </w:rPr>
                    <w:t>浮游动物</w:t>
                  </w:r>
                </w:p>
              </w:tc>
              <w:tc>
                <w:tcPr>
                  <w:tcW w:w="898" w:type="pct"/>
                  <w:noWrap w:val="0"/>
                  <w:vAlign w:val="center"/>
                </w:tcPr>
                <w:p w14:paraId="60C07688">
                  <w:pPr>
                    <w:pStyle w:val="220"/>
                    <w:rPr>
                      <w:color w:val="auto"/>
                      <w:highlight w:val="none"/>
                    </w:rPr>
                  </w:pPr>
                  <w:r>
                    <w:rPr>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1</w:t>
                  </w:r>
                  <w:r>
                    <w:rPr>
                      <w:rFonts w:hint="eastAsia" w:ascii="宋体" w:hAnsi="宋体"/>
                      <w:color w:val="auto"/>
                      <w:highlight w:val="none"/>
                    </w:rPr>
                    <w:t>倍</w:t>
                  </w:r>
                  <w:bookmarkEnd w:id="46"/>
                </w:p>
              </w:tc>
              <w:tc>
                <w:tcPr>
                  <w:tcW w:w="877" w:type="pct"/>
                  <w:vMerge w:val="restart"/>
                  <w:noWrap w:val="0"/>
                  <w:vAlign w:val="center"/>
                </w:tcPr>
                <w:p w14:paraId="64321CBE">
                  <w:pPr>
                    <w:widowControl/>
                    <w:jc w:val="center"/>
                    <w:rPr>
                      <w:rFonts w:hint="eastAsia" w:eastAsia="等线"/>
                      <w:color w:val="auto"/>
                      <w:sz w:val="21"/>
                      <w:szCs w:val="21"/>
                      <w:highlight w:val="none"/>
                      <w:u w:val="none"/>
                    </w:rPr>
                  </w:pPr>
                  <w:r>
                    <w:rPr>
                      <w:rFonts w:hint="eastAsia" w:eastAsia="等线"/>
                      <w:color w:val="auto"/>
                      <w:sz w:val="21"/>
                      <w:szCs w:val="21"/>
                      <w:highlight w:val="none"/>
                      <w:u w:val="none"/>
                    </w:rPr>
                    <w:t>207.7</w:t>
                  </w:r>
                </w:p>
                <w:p w14:paraId="6596668A">
                  <w:pPr>
                    <w:widowControl/>
                    <w:jc w:val="center"/>
                    <w:rPr>
                      <w:rFonts w:eastAsia="等线"/>
                      <w:color w:val="auto"/>
                      <w:sz w:val="21"/>
                      <w:szCs w:val="21"/>
                      <w:highlight w:val="none"/>
                      <w:u w:val="single"/>
                    </w:rPr>
                  </w:pPr>
                  <w:r>
                    <w:rPr>
                      <w:rFonts w:hint="eastAsia" w:eastAsia="等线"/>
                      <w:color w:val="auto"/>
                      <w:sz w:val="21"/>
                      <w:szCs w:val="21"/>
                      <w:highlight w:val="none"/>
                      <w:u w:val="none"/>
                    </w:rPr>
                    <w:t>mg/m</w:t>
                  </w:r>
                  <w:r>
                    <w:rPr>
                      <w:rFonts w:hint="eastAsia" w:eastAsia="等线"/>
                      <w:color w:val="auto"/>
                      <w:sz w:val="21"/>
                      <w:szCs w:val="21"/>
                      <w:highlight w:val="none"/>
                      <w:u w:val="none"/>
                      <w:vertAlign w:val="superscript"/>
                    </w:rPr>
                    <w:t>3</w:t>
                  </w:r>
                </w:p>
              </w:tc>
              <w:tc>
                <w:tcPr>
                  <w:tcW w:w="605" w:type="pct"/>
                  <w:noWrap w:val="0"/>
                  <w:vAlign w:val="center"/>
                </w:tcPr>
                <w:p w14:paraId="3FDAF4F4">
                  <w:pPr>
                    <w:pStyle w:val="220"/>
                    <w:rPr>
                      <w:rFonts w:ascii="Times New Roman" w:hAnsi="Times New Roman" w:eastAsia="宋体" w:cs="Times New Roman"/>
                      <w:color w:val="auto"/>
                      <w:highlight w:val="none"/>
                      <w:u w:val="none"/>
                    </w:rPr>
                  </w:pPr>
                  <w:r>
                    <w:rPr>
                      <w:rFonts w:ascii="Times New Roman" w:hAnsi="Times New Roman" w:eastAsia="宋体" w:cs="Times New Roman"/>
                      <w:color w:val="auto"/>
                      <w:highlight w:val="none"/>
                      <w:u w:val="none"/>
                    </w:rPr>
                    <w:t>5</w:t>
                  </w:r>
                </w:p>
              </w:tc>
              <w:tc>
                <w:tcPr>
                  <w:tcW w:w="1293" w:type="pct"/>
                  <w:noWrap w:val="0"/>
                  <w:vAlign w:val="center"/>
                </w:tcPr>
                <w:p w14:paraId="40CCB6BF">
                  <w:pPr>
                    <w:keepNext w:val="0"/>
                    <w:keepLines w:val="0"/>
                    <w:widowControl/>
                    <w:suppressLineNumbers w:val="0"/>
                    <w:jc w:val="center"/>
                    <w:textAlignment w:val="center"/>
                    <w:rPr>
                      <w:rFonts w:hint="default" w:eastAsia="等线"/>
                      <w:color w:val="auto"/>
                      <w:sz w:val="21"/>
                      <w:szCs w:val="21"/>
                      <w:highlight w:val="none"/>
                      <w:u w:val="single"/>
                      <w:lang w:val="en-US"/>
                    </w:rPr>
                  </w:pPr>
                  <w:r>
                    <w:rPr>
                      <w:rFonts w:hint="eastAsia" w:ascii="Times New Roman" w:hAnsi="Times New Roman" w:eastAsia="等线" w:cs="Times New Roman"/>
                      <w:i w:val="0"/>
                      <w:iCs w:val="0"/>
                      <w:color w:val="auto"/>
                      <w:kern w:val="0"/>
                      <w:sz w:val="21"/>
                      <w:szCs w:val="21"/>
                      <w:highlight w:val="none"/>
                      <w:u w:val="none"/>
                      <w:lang w:val="en-US" w:eastAsia="zh-CN" w:bidi="ar"/>
                    </w:rPr>
                    <w:t>159.72kg</w:t>
                  </w:r>
                </w:p>
              </w:tc>
              <w:tc>
                <w:tcPr>
                  <w:tcW w:w="993" w:type="pct"/>
                  <w:vMerge w:val="restart"/>
                  <w:noWrap w:val="0"/>
                  <w:vAlign w:val="center"/>
                </w:tcPr>
                <w:p w14:paraId="1EF534C9">
                  <w:pPr>
                    <w:widowControl/>
                    <w:jc w:val="center"/>
                    <w:rPr>
                      <w:rFonts w:hint="default" w:eastAsia="等线"/>
                      <w:color w:val="auto"/>
                      <w:sz w:val="21"/>
                      <w:szCs w:val="21"/>
                      <w:highlight w:val="none"/>
                      <w:u w:val="single"/>
                      <w:lang w:val="en-US" w:eastAsia="zh-CN"/>
                    </w:rPr>
                  </w:pPr>
                  <w:r>
                    <w:rPr>
                      <w:rFonts w:hint="eastAsia" w:eastAsia="等线"/>
                      <w:color w:val="auto"/>
                      <w:sz w:val="21"/>
                      <w:szCs w:val="21"/>
                      <w:highlight w:val="none"/>
                      <w:u w:val="none"/>
                      <w:lang w:val="en-US" w:eastAsia="zh-CN"/>
                    </w:rPr>
                    <w:t>0.542t</w:t>
                  </w:r>
                </w:p>
              </w:tc>
            </w:tr>
            <w:tr w14:paraId="70AEF3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58E95C1B">
                  <w:pPr>
                    <w:pStyle w:val="220"/>
                    <w:rPr>
                      <w:color w:val="auto"/>
                      <w:highlight w:val="none"/>
                    </w:rPr>
                  </w:pPr>
                </w:p>
              </w:tc>
              <w:tc>
                <w:tcPr>
                  <w:tcW w:w="898" w:type="pct"/>
                  <w:noWrap w:val="0"/>
                  <w:vAlign w:val="center"/>
                </w:tcPr>
                <w:p w14:paraId="4743F230">
                  <w:pPr>
                    <w:pStyle w:val="220"/>
                    <w:rPr>
                      <w:color w:val="auto"/>
                      <w:highlight w:val="none"/>
                    </w:rPr>
                  </w:pPr>
                  <w:r>
                    <w:rPr>
                      <w:color w:val="auto"/>
                      <w:highlight w:val="none"/>
                    </w:rPr>
                    <w:t>1</w:t>
                  </w:r>
                  <w:r>
                    <w:rPr>
                      <w:rFonts w:hint="eastAsia" w:ascii="宋体" w:hAnsi="宋体"/>
                      <w:color w:val="auto"/>
                      <w:highlight w:val="none"/>
                    </w:rPr>
                    <w:t>＜</w:t>
                  </w:r>
                  <w:r>
                    <w:rPr>
                      <w:i/>
                      <w:iCs/>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4</w:t>
                  </w:r>
                  <w:r>
                    <w:rPr>
                      <w:rFonts w:hint="eastAsia" w:ascii="宋体" w:hAnsi="宋体"/>
                      <w:color w:val="auto"/>
                      <w:highlight w:val="none"/>
                    </w:rPr>
                    <w:t>倍</w:t>
                  </w:r>
                </w:p>
              </w:tc>
              <w:tc>
                <w:tcPr>
                  <w:tcW w:w="877" w:type="pct"/>
                  <w:vMerge w:val="continue"/>
                  <w:noWrap w:val="0"/>
                  <w:vAlign w:val="center"/>
                </w:tcPr>
                <w:p w14:paraId="3E1454F7">
                  <w:pPr>
                    <w:widowControl/>
                    <w:jc w:val="center"/>
                    <w:rPr>
                      <w:rFonts w:eastAsia="等线"/>
                      <w:color w:val="auto"/>
                      <w:sz w:val="21"/>
                      <w:szCs w:val="21"/>
                      <w:highlight w:val="none"/>
                      <w:u w:val="single"/>
                    </w:rPr>
                  </w:pPr>
                </w:p>
              </w:tc>
              <w:tc>
                <w:tcPr>
                  <w:tcW w:w="605" w:type="pct"/>
                  <w:noWrap w:val="0"/>
                  <w:vAlign w:val="center"/>
                </w:tcPr>
                <w:p w14:paraId="28FDC884">
                  <w:pPr>
                    <w:pStyle w:val="220"/>
                    <w:rPr>
                      <w:rFonts w:ascii="Times New Roman" w:hAnsi="Times New Roman" w:eastAsia="宋体" w:cs="Times New Roman"/>
                      <w:color w:val="auto"/>
                      <w:highlight w:val="none"/>
                      <w:u w:val="none"/>
                    </w:rPr>
                  </w:pPr>
                  <w:r>
                    <w:rPr>
                      <w:color w:val="auto"/>
                      <w:highlight w:val="none"/>
                      <w:u w:val="none"/>
                    </w:rPr>
                    <w:t>20</w:t>
                  </w:r>
                </w:p>
              </w:tc>
              <w:tc>
                <w:tcPr>
                  <w:tcW w:w="1293" w:type="pct"/>
                  <w:noWrap w:val="0"/>
                  <w:vAlign w:val="center"/>
                </w:tcPr>
                <w:p w14:paraId="010F82CD">
                  <w:pPr>
                    <w:keepNext w:val="0"/>
                    <w:keepLines w:val="0"/>
                    <w:widowControl/>
                    <w:suppressLineNumbers w:val="0"/>
                    <w:jc w:val="center"/>
                    <w:textAlignment w:val="center"/>
                    <w:rPr>
                      <w:rFonts w:eastAsia="等线"/>
                      <w:color w:val="auto"/>
                      <w:sz w:val="21"/>
                      <w:szCs w:val="21"/>
                      <w:highlight w:val="none"/>
                      <w:u w:val="single"/>
                    </w:rPr>
                  </w:pPr>
                  <w:r>
                    <w:rPr>
                      <w:rFonts w:hint="eastAsia" w:ascii="Times New Roman" w:hAnsi="Times New Roman" w:eastAsia="等线" w:cs="Times New Roman"/>
                      <w:i w:val="0"/>
                      <w:iCs w:val="0"/>
                      <w:color w:val="auto"/>
                      <w:kern w:val="0"/>
                      <w:sz w:val="21"/>
                      <w:szCs w:val="21"/>
                      <w:highlight w:val="none"/>
                      <w:u w:val="none"/>
                      <w:lang w:val="en-US" w:eastAsia="zh-CN" w:bidi="ar"/>
                    </w:rPr>
                    <w:t>132.62kg</w:t>
                  </w:r>
                </w:p>
              </w:tc>
              <w:tc>
                <w:tcPr>
                  <w:tcW w:w="993" w:type="pct"/>
                  <w:vMerge w:val="continue"/>
                  <w:noWrap w:val="0"/>
                  <w:vAlign w:val="center"/>
                </w:tcPr>
                <w:p w14:paraId="77DF272F">
                  <w:pPr>
                    <w:widowControl/>
                    <w:jc w:val="center"/>
                    <w:rPr>
                      <w:rFonts w:eastAsia="等线"/>
                      <w:color w:val="auto"/>
                      <w:sz w:val="21"/>
                      <w:szCs w:val="21"/>
                      <w:highlight w:val="none"/>
                      <w:u w:val="single"/>
                    </w:rPr>
                  </w:pPr>
                </w:p>
              </w:tc>
            </w:tr>
            <w:tr w14:paraId="395662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1B923D86">
                  <w:pPr>
                    <w:pStyle w:val="220"/>
                    <w:rPr>
                      <w:color w:val="auto"/>
                      <w:highlight w:val="none"/>
                    </w:rPr>
                  </w:pPr>
                </w:p>
              </w:tc>
              <w:tc>
                <w:tcPr>
                  <w:tcW w:w="898" w:type="pct"/>
                  <w:noWrap w:val="0"/>
                  <w:vAlign w:val="center"/>
                </w:tcPr>
                <w:p w14:paraId="69EDD295">
                  <w:pPr>
                    <w:pStyle w:val="220"/>
                    <w:rPr>
                      <w:color w:val="auto"/>
                      <w:highlight w:val="none"/>
                    </w:rPr>
                  </w:pPr>
                  <w:r>
                    <w:rPr>
                      <w:color w:val="auto"/>
                      <w:highlight w:val="none"/>
                    </w:rPr>
                    <w:t>4</w:t>
                  </w:r>
                  <w:r>
                    <w:rPr>
                      <w:rFonts w:hint="eastAsia" w:ascii="宋体" w:hAnsi="宋体"/>
                      <w:color w:val="auto"/>
                      <w:highlight w:val="none"/>
                    </w:rPr>
                    <w:t>＜</w:t>
                  </w:r>
                  <w:r>
                    <w:rPr>
                      <w:i/>
                      <w:iCs/>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9</w:t>
                  </w:r>
                  <w:r>
                    <w:rPr>
                      <w:rFonts w:hint="eastAsia" w:ascii="宋体" w:hAnsi="宋体"/>
                      <w:color w:val="auto"/>
                      <w:highlight w:val="none"/>
                    </w:rPr>
                    <w:t>倍</w:t>
                  </w:r>
                </w:p>
              </w:tc>
              <w:tc>
                <w:tcPr>
                  <w:tcW w:w="877" w:type="pct"/>
                  <w:vMerge w:val="continue"/>
                  <w:noWrap w:val="0"/>
                  <w:vAlign w:val="center"/>
                </w:tcPr>
                <w:p w14:paraId="58A30BF6">
                  <w:pPr>
                    <w:widowControl/>
                    <w:jc w:val="center"/>
                    <w:rPr>
                      <w:rFonts w:eastAsia="等线"/>
                      <w:color w:val="auto"/>
                      <w:sz w:val="21"/>
                      <w:szCs w:val="21"/>
                      <w:highlight w:val="none"/>
                      <w:u w:val="single"/>
                    </w:rPr>
                  </w:pPr>
                </w:p>
              </w:tc>
              <w:tc>
                <w:tcPr>
                  <w:tcW w:w="605" w:type="pct"/>
                  <w:noWrap w:val="0"/>
                  <w:vAlign w:val="center"/>
                </w:tcPr>
                <w:p w14:paraId="70357A7D">
                  <w:pPr>
                    <w:pStyle w:val="220"/>
                    <w:rPr>
                      <w:rFonts w:ascii="Times New Roman" w:hAnsi="Times New Roman" w:eastAsia="宋体" w:cs="Times New Roman"/>
                      <w:color w:val="auto"/>
                      <w:highlight w:val="none"/>
                      <w:u w:val="none"/>
                    </w:rPr>
                  </w:pPr>
                  <w:r>
                    <w:rPr>
                      <w:color w:val="auto"/>
                      <w:highlight w:val="none"/>
                      <w:u w:val="none"/>
                    </w:rPr>
                    <w:t>40</w:t>
                  </w:r>
                </w:p>
              </w:tc>
              <w:tc>
                <w:tcPr>
                  <w:tcW w:w="1293" w:type="pct"/>
                  <w:noWrap w:val="0"/>
                  <w:vAlign w:val="center"/>
                </w:tcPr>
                <w:p w14:paraId="407C68D2">
                  <w:pPr>
                    <w:keepNext w:val="0"/>
                    <w:keepLines w:val="0"/>
                    <w:widowControl/>
                    <w:suppressLineNumbers w:val="0"/>
                    <w:jc w:val="center"/>
                    <w:textAlignment w:val="center"/>
                    <w:rPr>
                      <w:rFonts w:eastAsia="等线"/>
                      <w:color w:val="auto"/>
                      <w:sz w:val="21"/>
                      <w:szCs w:val="21"/>
                      <w:highlight w:val="none"/>
                      <w:u w:val="single"/>
                    </w:rPr>
                  </w:pPr>
                  <w:r>
                    <w:rPr>
                      <w:rFonts w:hint="eastAsia" w:ascii="Times New Roman" w:hAnsi="Times New Roman" w:eastAsia="等线" w:cs="Times New Roman"/>
                      <w:i w:val="0"/>
                      <w:iCs w:val="0"/>
                      <w:color w:val="auto"/>
                      <w:kern w:val="0"/>
                      <w:sz w:val="21"/>
                      <w:szCs w:val="21"/>
                      <w:highlight w:val="none"/>
                      <w:u w:val="none"/>
                      <w:lang w:val="en-US" w:eastAsia="zh-CN" w:bidi="ar"/>
                    </w:rPr>
                    <w:t>38.35kg</w:t>
                  </w:r>
                </w:p>
              </w:tc>
              <w:tc>
                <w:tcPr>
                  <w:tcW w:w="993" w:type="pct"/>
                  <w:vMerge w:val="continue"/>
                  <w:noWrap w:val="0"/>
                  <w:vAlign w:val="center"/>
                </w:tcPr>
                <w:p w14:paraId="06167EF9">
                  <w:pPr>
                    <w:widowControl/>
                    <w:jc w:val="center"/>
                    <w:rPr>
                      <w:rFonts w:eastAsia="等线"/>
                      <w:color w:val="auto"/>
                      <w:sz w:val="21"/>
                      <w:szCs w:val="21"/>
                      <w:highlight w:val="none"/>
                      <w:u w:val="single"/>
                    </w:rPr>
                  </w:pPr>
                </w:p>
              </w:tc>
            </w:tr>
            <w:tr w14:paraId="7343A8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4D9A02D6">
                  <w:pPr>
                    <w:pStyle w:val="220"/>
                    <w:rPr>
                      <w:color w:val="auto"/>
                      <w:highlight w:val="none"/>
                    </w:rPr>
                  </w:pPr>
                </w:p>
              </w:tc>
              <w:tc>
                <w:tcPr>
                  <w:tcW w:w="898" w:type="pct"/>
                  <w:noWrap w:val="0"/>
                  <w:vAlign w:val="center"/>
                </w:tcPr>
                <w:p w14:paraId="7BD8789B">
                  <w:pPr>
                    <w:pStyle w:val="220"/>
                    <w:rPr>
                      <w:color w:val="auto"/>
                      <w:highlight w:val="none"/>
                    </w:rPr>
                  </w:pPr>
                  <w:r>
                    <w:rPr>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9</w:t>
                  </w:r>
                  <w:r>
                    <w:rPr>
                      <w:rFonts w:hint="eastAsia" w:ascii="宋体" w:hAnsi="宋体"/>
                      <w:color w:val="auto"/>
                      <w:highlight w:val="none"/>
                    </w:rPr>
                    <w:t>倍</w:t>
                  </w:r>
                </w:p>
              </w:tc>
              <w:tc>
                <w:tcPr>
                  <w:tcW w:w="877" w:type="pct"/>
                  <w:vMerge w:val="continue"/>
                  <w:noWrap w:val="0"/>
                  <w:vAlign w:val="center"/>
                </w:tcPr>
                <w:p w14:paraId="6CB3B8D1">
                  <w:pPr>
                    <w:widowControl/>
                    <w:jc w:val="center"/>
                    <w:rPr>
                      <w:rFonts w:eastAsia="等线"/>
                      <w:color w:val="auto"/>
                      <w:sz w:val="21"/>
                      <w:szCs w:val="21"/>
                      <w:highlight w:val="none"/>
                      <w:u w:val="single"/>
                    </w:rPr>
                  </w:pPr>
                </w:p>
              </w:tc>
              <w:tc>
                <w:tcPr>
                  <w:tcW w:w="605" w:type="pct"/>
                  <w:noWrap w:val="0"/>
                  <w:vAlign w:val="center"/>
                </w:tcPr>
                <w:p w14:paraId="4925DF5D">
                  <w:pPr>
                    <w:pStyle w:val="220"/>
                    <w:rPr>
                      <w:rFonts w:ascii="Times New Roman" w:hAnsi="Times New Roman" w:eastAsia="宋体" w:cs="Times New Roman"/>
                      <w:color w:val="auto"/>
                      <w:highlight w:val="none"/>
                      <w:u w:val="none"/>
                    </w:rPr>
                  </w:pPr>
                  <w:r>
                    <w:rPr>
                      <w:color w:val="auto"/>
                      <w:highlight w:val="none"/>
                      <w:u w:val="none"/>
                    </w:rPr>
                    <w:t>50</w:t>
                  </w:r>
                </w:p>
              </w:tc>
              <w:tc>
                <w:tcPr>
                  <w:tcW w:w="1293" w:type="pct"/>
                  <w:noWrap w:val="0"/>
                  <w:vAlign w:val="center"/>
                </w:tcPr>
                <w:p w14:paraId="190C3856">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u w:val="single"/>
                    </w:rPr>
                  </w:pPr>
                  <w:r>
                    <w:rPr>
                      <w:rFonts w:hint="eastAsia" w:ascii="Times New Roman" w:hAnsi="Times New Roman" w:eastAsia="等线" w:cs="Times New Roman"/>
                      <w:i w:val="0"/>
                      <w:iCs w:val="0"/>
                      <w:color w:val="auto"/>
                      <w:kern w:val="0"/>
                      <w:sz w:val="21"/>
                      <w:szCs w:val="21"/>
                      <w:highlight w:val="none"/>
                      <w:u w:val="none"/>
                      <w:lang w:val="en-US" w:eastAsia="zh-CN" w:bidi="ar"/>
                    </w:rPr>
                    <w:t>211.56kg</w:t>
                  </w:r>
                </w:p>
              </w:tc>
              <w:tc>
                <w:tcPr>
                  <w:tcW w:w="993" w:type="pct"/>
                  <w:vMerge w:val="continue"/>
                  <w:noWrap w:val="0"/>
                  <w:vAlign w:val="center"/>
                </w:tcPr>
                <w:p w14:paraId="6F4E729F">
                  <w:pPr>
                    <w:widowControl/>
                    <w:jc w:val="center"/>
                    <w:rPr>
                      <w:rFonts w:eastAsia="等线"/>
                      <w:color w:val="auto"/>
                      <w:sz w:val="21"/>
                      <w:szCs w:val="21"/>
                      <w:highlight w:val="none"/>
                      <w:u w:val="single"/>
                    </w:rPr>
                  </w:pPr>
                </w:p>
              </w:tc>
            </w:tr>
            <w:tr w14:paraId="3E46EF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4" w:hRule="atLeast"/>
              </w:trPr>
              <w:tc>
                <w:tcPr>
                  <w:tcW w:w="331" w:type="pct"/>
                  <w:vMerge w:val="restart"/>
                  <w:noWrap w:val="0"/>
                  <w:vAlign w:val="center"/>
                </w:tcPr>
                <w:p w14:paraId="5D866410">
                  <w:pPr>
                    <w:pStyle w:val="220"/>
                    <w:rPr>
                      <w:color w:val="auto"/>
                      <w:highlight w:val="none"/>
                    </w:rPr>
                  </w:pPr>
                  <w:r>
                    <w:rPr>
                      <w:rFonts w:hint="eastAsia"/>
                      <w:color w:val="auto"/>
                      <w:highlight w:val="none"/>
                      <w:lang w:eastAsia="zh-CN"/>
                    </w:rPr>
                    <w:t>鱼卵</w:t>
                  </w:r>
                </w:p>
              </w:tc>
              <w:tc>
                <w:tcPr>
                  <w:tcW w:w="898" w:type="pct"/>
                  <w:noWrap w:val="0"/>
                  <w:vAlign w:val="center"/>
                </w:tcPr>
                <w:p w14:paraId="20D97E0C">
                  <w:pPr>
                    <w:pStyle w:val="220"/>
                    <w:rPr>
                      <w:color w:val="auto"/>
                      <w:highlight w:val="none"/>
                      <w:u w:val="none"/>
                    </w:rPr>
                  </w:pPr>
                  <w:r>
                    <w:rPr>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1</w:t>
                  </w:r>
                  <w:r>
                    <w:rPr>
                      <w:rFonts w:hint="eastAsia" w:ascii="宋体" w:hAnsi="宋体"/>
                      <w:color w:val="auto"/>
                      <w:highlight w:val="none"/>
                      <w:u w:val="none"/>
                    </w:rPr>
                    <w:t>倍</w:t>
                  </w:r>
                </w:p>
              </w:tc>
              <w:tc>
                <w:tcPr>
                  <w:tcW w:w="877" w:type="pct"/>
                  <w:vMerge w:val="restart"/>
                  <w:noWrap w:val="0"/>
                  <w:vAlign w:val="center"/>
                </w:tcPr>
                <w:p w14:paraId="6D352E3D">
                  <w:pPr>
                    <w:widowControl/>
                    <w:jc w:val="center"/>
                    <w:rPr>
                      <w:rFonts w:hint="default" w:ascii="Times New Roman" w:hAnsi="Times New Roman" w:eastAsia="等线" w:cs="Times New Roman"/>
                      <w:color w:val="auto"/>
                      <w:sz w:val="21"/>
                      <w:szCs w:val="21"/>
                      <w:highlight w:val="none"/>
                      <w:u w:val="single"/>
                    </w:rPr>
                  </w:pPr>
                  <w:r>
                    <w:rPr>
                      <w:rFonts w:hint="default" w:ascii="Times New Roman" w:hAnsi="Times New Roman" w:eastAsia="宋体" w:cs="Times New Roman"/>
                      <w:b w:val="0"/>
                      <w:bCs w:val="0"/>
                      <w:color w:val="auto"/>
                      <w:sz w:val="21"/>
                      <w:szCs w:val="21"/>
                      <w:highlight w:val="none"/>
                      <w:lang w:val="en-US" w:eastAsia="zh-CN"/>
                    </w:rPr>
                    <w:t>0.064 ind/m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605" w:type="pct"/>
                  <w:noWrap w:val="0"/>
                  <w:vAlign w:val="center"/>
                </w:tcPr>
                <w:p w14:paraId="05DA2990">
                  <w:pPr>
                    <w:pStyle w:val="22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5</w:t>
                  </w:r>
                </w:p>
              </w:tc>
              <w:tc>
                <w:tcPr>
                  <w:tcW w:w="2063" w:type="dxa"/>
                  <w:noWrap w:val="0"/>
                  <w:vAlign w:val="center"/>
                </w:tcPr>
                <w:p w14:paraId="7E1EC831">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u w:val="single"/>
                    </w:rPr>
                  </w:pPr>
                  <w:r>
                    <w:rPr>
                      <w:rFonts w:hint="default" w:ascii="Times New Roman" w:hAnsi="Times New Roman" w:eastAsia="等线" w:cs="Times New Roman"/>
                      <w:i w:val="0"/>
                      <w:iCs w:val="0"/>
                      <w:color w:val="auto"/>
                      <w:kern w:val="0"/>
                      <w:sz w:val="21"/>
                      <w:szCs w:val="21"/>
                      <w:u w:val="none"/>
                      <w:lang w:val="en-US" w:eastAsia="zh-CN" w:bidi="ar"/>
                    </w:rPr>
                    <w:t>49214</w:t>
                  </w:r>
                  <w:r>
                    <w:rPr>
                      <w:rFonts w:hint="eastAsia" w:ascii="Times New Roman" w:hAnsi="Times New Roman" w:eastAsia="宋体" w:cs="Times New Roman"/>
                      <w:color w:val="auto"/>
                      <w:sz w:val="21"/>
                      <w:szCs w:val="21"/>
                      <w:highlight w:val="none"/>
                      <w:u w:val="none"/>
                      <w:lang w:val="en-US" w:eastAsia="zh-CN"/>
                    </w:rPr>
                    <w:t>粒</w:t>
                  </w:r>
                </w:p>
              </w:tc>
              <w:tc>
                <w:tcPr>
                  <w:tcW w:w="993" w:type="pct"/>
                  <w:vMerge w:val="restart"/>
                  <w:noWrap w:val="0"/>
                  <w:vAlign w:val="center"/>
                </w:tcPr>
                <w:p w14:paraId="5C1BDD9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169904粒</w:t>
                  </w:r>
                </w:p>
              </w:tc>
            </w:tr>
            <w:tr w14:paraId="6A424D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1FEB2CC3">
                  <w:pPr>
                    <w:pStyle w:val="220"/>
                    <w:rPr>
                      <w:color w:val="auto"/>
                      <w:highlight w:val="none"/>
                    </w:rPr>
                  </w:pPr>
                </w:p>
              </w:tc>
              <w:tc>
                <w:tcPr>
                  <w:tcW w:w="898" w:type="pct"/>
                  <w:noWrap w:val="0"/>
                  <w:vAlign w:val="center"/>
                </w:tcPr>
                <w:p w14:paraId="7E306877">
                  <w:pPr>
                    <w:pStyle w:val="220"/>
                    <w:rPr>
                      <w:color w:val="auto"/>
                      <w:highlight w:val="none"/>
                      <w:u w:val="none"/>
                    </w:rPr>
                  </w:pPr>
                  <w:r>
                    <w:rPr>
                      <w:color w:val="auto"/>
                      <w:highlight w:val="none"/>
                      <w:u w:val="none"/>
                    </w:rPr>
                    <w:t>1</w:t>
                  </w:r>
                  <w:r>
                    <w:rPr>
                      <w:rFonts w:hint="eastAsia" w:ascii="宋体" w:hAnsi="宋体"/>
                      <w:color w:val="auto"/>
                      <w:highlight w:val="none"/>
                      <w:u w:val="none"/>
                    </w:rPr>
                    <w:t>＜</w:t>
                  </w:r>
                  <w:r>
                    <w:rPr>
                      <w:i/>
                      <w:iCs/>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4</w:t>
                  </w:r>
                  <w:r>
                    <w:rPr>
                      <w:rFonts w:hint="eastAsia" w:ascii="宋体" w:hAnsi="宋体"/>
                      <w:color w:val="auto"/>
                      <w:highlight w:val="none"/>
                      <w:u w:val="none"/>
                    </w:rPr>
                    <w:t>倍</w:t>
                  </w:r>
                </w:p>
              </w:tc>
              <w:tc>
                <w:tcPr>
                  <w:tcW w:w="877" w:type="pct"/>
                  <w:vMerge w:val="continue"/>
                  <w:noWrap w:val="0"/>
                  <w:vAlign w:val="center"/>
                </w:tcPr>
                <w:p w14:paraId="13E52E68">
                  <w:pPr>
                    <w:widowControl/>
                    <w:jc w:val="center"/>
                    <w:rPr>
                      <w:rFonts w:hint="default" w:ascii="Times New Roman" w:hAnsi="Times New Roman" w:eastAsia="等线" w:cs="Times New Roman"/>
                      <w:color w:val="auto"/>
                      <w:sz w:val="21"/>
                      <w:szCs w:val="21"/>
                      <w:highlight w:val="none"/>
                      <w:u w:val="single"/>
                    </w:rPr>
                  </w:pPr>
                </w:p>
              </w:tc>
              <w:tc>
                <w:tcPr>
                  <w:tcW w:w="605" w:type="pct"/>
                  <w:noWrap w:val="0"/>
                  <w:vAlign w:val="center"/>
                </w:tcPr>
                <w:p w14:paraId="4502B57A">
                  <w:pPr>
                    <w:pStyle w:val="22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20</w:t>
                  </w:r>
                </w:p>
              </w:tc>
              <w:tc>
                <w:tcPr>
                  <w:tcW w:w="2063" w:type="dxa"/>
                  <w:noWrap w:val="0"/>
                  <w:vAlign w:val="center"/>
                </w:tcPr>
                <w:p w14:paraId="4188D6CC">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u w:val="single"/>
                    </w:rPr>
                  </w:pPr>
                  <w:r>
                    <w:rPr>
                      <w:rFonts w:hint="default" w:ascii="Times New Roman" w:hAnsi="Times New Roman" w:eastAsia="等线" w:cs="Times New Roman"/>
                      <w:i w:val="0"/>
                      <w:iCs w:val="0"/>
                      <w:color w:val="auto"/>
                      <w:kern w:val="0"/>
                      <w:sz w:val="21"/>
                      <w:szCs w:val="21"/>
                      <w:u w:val="none"/>
                      <w:lang w:val="en-US" w:eastAsia="zh-CN" w:bidi="ar"/>
                    </w:rPr>
                    <w:t>30648</w:t>
                  </w:r>
                  <w:r>
                    <w:rPr>
                      <w:rFonts w:hint="eastAsia" w:ascii="Times New Roman" w:hAnsi="Times New Roman" w:eastAsia="宋体" w:cs="Times New Roman"/>
                      <w:color w:val="auto"/>
                      <w:sz w:val="21"/>
                      <w:szCs w:val="21"/>
                      <w:highlight w:val="none"/>
                      <w:u w:val="none"/>
                      <w:lang w:val="en-US" w:eastAsia="zh-CN"/>
                    </w:rPr>
                    <w:t>粒</w:t>
                  </w:r>
                </w:p>
              </w:tc>
              <w:tc>
                <w:tcPr>
                  <w:tcW w:w="993" w:type="pct"/>
                  <w:vMerge w:val="continue"/>
                  <w:noWrap w:val="0"/>
                  <w:vAlign w:val="center"/>
                </w:tcPr>
                <w:p w14:paraId="60ECDC43">
                  <w:pPr>
                    <w:widowControl/>
                    <w:jc w:val="center"/>
                    <w:rPr>
                      <w:rFonts w:eastAsia="等线"/>
                      <w:color w:val="auto"/>
                      <w:sz w:val="21"/>
                      <w:szCs w:val="21"/>
                      <w:highlight w:val="none"/>
                      <w:u w:val="none"/>
                    </w:rPr>
                  </w:pPr>
                </w:p>
              </w:tc>
            </w:tr>
            <w:tr w14:paraId="065273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70" w:hRule="atLeast"/>
              </w:trPr>
              <w:tc>
                <w:tcPr>
                  <w:tcW w:w="331" w:type="pct"/>
                  <w:vMerge w:val="continue"/>
                  <w:noWrap w:val="0"/>
                  <w:vAlign w:val="center"/>
                </w:tcPr>
                <w:p w14:paraId="39E2541C">
                  <w:pPr>
                    <w:pStyle w:val="220"/>
                    <w:rPr>
                      <w:color w:val="auto"/>
                      <w:highlight w:val="none"/>
                    </w:rPr>
                  </w:pPr>
                </w:p>
              </w:tc>
              <w:tc>
                <w:tcPr>
                  <w:tcW w:w="898" w:type="pct"/>
                  <w:noWrap w:val="0"/>
                  <w:vAlign w:val="center"/>
                </w:tcPr>
                <w:p w14:paraId="0A197E7B">
                  <w:pPr>
                    <w:pStyle w:val="220"/>
                    <w:rPr>
                      <w:color w:val="auto"/>
                      <w:highlight w:val="none"/>
                      <w:u w:val="none"/>
                    </w:rPr>
                  </w:pPr>
                  <w:r>
                    <w:rPr>
                      <w:color w:val="auto"/>
                      <w:highlight w:val="none"/>
                      <w:u w:val="none"/>
                    </w:rPr>
                    <w:t>4</w:t>
                  </w:r>
                  <w:r>
                    <w:rPr>
                      <w:rFonts w:hint="eastAsia" w:ascii="宋体" w:hAnsi="宋体"/>
                      <w:color w:val="auto"/>
                      <w:highlight w:val="none"/>
                      <w:u w:val="none"/>
                    </w:rPr>
                    <w:t>＜</w:t>
                  </w:r>
                  <w:r>
                    <w:rPr>
                      <w:i/>
                      <w:iCs/>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9</w:t>
                  </w:r>
                  <w:r>
                    <w:rPr>
                      <w:rFonts w:hint="eastAsia" w:ascii="宋体" w:hAnsi="宋体"/>
                      <w:color w:val="auto"/>
                      <w:highlight w:val="none"/>
                      <w:u w:val="none"/>
                    </w:rPr>
                    <w:t>倍</w:t>
                  </w:r>
                </w:p>
              </w:tc>
              <w:tc>
                <w:tcPr>
                  <w:tcW w:w="877" w:type="pct"/>
                  <w:vMerge w:val="continue"/>
                  <w:noWrap w:val="0"/>
                  <w:vAlign w:val="center"/>
                </w:tcPr>
                <w:p w14:paraId="1497DA74">
                  <w:pPr>
                    <w:widowControl/>
                    <w:jc w:val="center"/>
                    <w:rPr>
                      <w:rFonts w:hint="default" w:ascii="Times New Roman" w:hAnsi="Times New Roman" w:eastAsia="等线" w:cs="Times New Roman"/>
                      <w:color w:val="auto"/>
                      <w:sz w:val="21"/>
                      <w:szCs w:val="21"/>
                      <w:highlight w:val="none"/>
                      <w:u w:val="single"/>
                    </w:rPr>
                  </w:pPr>
                </w:p>
              </w:tc>
              <w:tc>
                <w:tcPr>
                  <w:tcW w:w="605" w:type="pct"/>
                  <w:noWrap w:val="0"/>
                  <w:vAlign w:val="center"/>
                </w:tcPr>
                <w:p w14:paraId="7847F2D9">
                  <w:pPr>
                    <w:pStyle w:val="22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40</w:t>
                  </w:r>
                </w:p>
              </w:tc>
              <w:tc>
                <w:tcPr>
                  <w:tcW w:w="2063" w:type="dxa"/>
                  <w:noWrap w:val="0"/>
                  <w:vAlign w:val="center"/>
                </w:tcPr>
                <w:p w14:paraId="1364938F">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u w:val="single"/>
                    </w:rPr>
                  </w:pPr>
                  <w:r>
                    <w:rPr>
                      <w:rFonts w:hint="default" w:ascii="Times New Roman" w:hAnsi="Times New Roman" w:eastAsia="等线" w:cs="Times New Roman"/>
                      <w:i w:val="0"/>
                      <w:iCs w:val="0"/>
                      <w:color w:val="auto"/>
                      <w:kern w:val="0"/>
                      <w:sz w:val="21"/>
                      <w:szCs w:val="21"/>
                      <w:u w:val="none"/>
                      <w:lang w:val="en-US" w:eastAsia="zh-CN" w:bidi="ar"/>
                    </w:rPr>
                    <w:t>11816</w:t>
                  </w:r>
                  <w:r>
                    <w:rPr>
                      <w:rFonts w:hint="eastAsia" w:ascii="Times New Roman" w:hAnsi="Times New Roman" w:eastAsia="宋体" w:cs="Times New Roman"/>
                      <w:color w:val="auto"/>
                      <w:sz w:val="21"/>
                      <w:szCs w:val="21"/>
                      <w:highlight w:val="none"/>
                      <w:u w:val="none"/>
                      <w:lang w:val="en-US" w:eastAsia="zh-CN"/>
                    </w:rPr>
                    <w:t>粒</w:t>
                  </w:r>
                </w:p>
              </w:tc>
              <w:tc>
                <w:tcPr>
                  <w:tcW w:w="993" w:type="pct"/>
                  <w:vMerge w:val="continue"/>
                  <w:noWrap w:val="0"/>
                  <w:vAlign w:val="center"/>
                </w:tcPr>
                <w:p w14:paraId="49D6733F">
                  <w:pPr>
                    <w:widowControl/>
                    <w:jc w:val="center"/>
                    <w:rPr>
                      <w:rFonts w:eastAsia="等线"/>
                      <w:color w:val="auto"/>
                      <w:sz w:val="21"/>
                      <w:szCs w:val="21"/>
                      <w:highlight w:val="none"/>
                      <w:u w:val="none"/>
                    </w:rPr>
                  </w:pPr>
                </w:p>
              </w:tc>
            </w:tr>
            <w:tr w14:paraId="7AB0FB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6270ED02">
                  <w:pPr>
                    <w:pStyle w:val="220"/>
                    <w:rPr>
                      <w:color w:val="auto"/>
                      <w:highlight w:val="none"/>
                    </w:rPr>
                  </w:pPr>
                </w:p>
              </w:tc>
              <w:tc>
                <w:tcPr>
                  <w:tcW w:w="898" w:type="pct"/>
                  <w:noWrap w:val="0"/>
                  <w:vAlign w:val="center"/>
                </w:tcPr>
                <w:p w14:paraId="71EDA32E">
                  <w:pPr>
                    <w:pStyle w:val="220"/>
                    <w:rPr>
                      <w:color w:val="auto"/>
                      <w:highlight w:val="none"/>
                      <w:u w:val="none"/>
                    </w:rPr>
                  </w:pPr>
                  <w:r>
                    <w:rPr>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9</w:t>
                  </w:r>
                  <w:r>
                    <w:rPr>
                      <w:rFonts w:hint="eastAsia" w:ascii="宋体" w:hAnsi="宋体"/>
                      <w:color w:val="auto"/>
                      <w:highlight w:val="none"/>
                      <w:u w:val="none"/>
                    </w:rPr>
                    <w:t>倍</w:t>
                  </w:r>
                </w:p>
              </w:tc>
              <w:tc>
                <w:tcPr>
                  <w:tcW w:w="877" w:type="pct"/>
                  <w:vMerge w:val="continue"/>
                  <w:noWrap w:val="0"/>
                  <w:vAlign w:val="center"/>
                </w:tcPr>
                <w:p w14:paraId="2ED95B16">
                  <w:pPr>
                    <w:widowControl/>
                    <w:jc w:val="center"/>
                    <w:rPr>
                      <w:rFonts w:hint="default" w:ascii="Times New Roman" w:hAnsi="Times New Roman" w:eastAsia="等线" w:cs="Times New Roman"/>
                      <w:color w:val="auto"/>
                      <w:sz w:val="21"/>
                      <w:szCs w:val="21"/>
                      <w:highlight w:val="none"/>
                      <w:u w:val="single"/>
                    </w:rPr>
                  </w:pPr>
                </w:p>
              </w:tc>
              <w:tc>
                <w:tcPr>
                  <w:tcW w:w="605" w:type="pct"/>
                  <w:noWrap w:val="0"/>
                  <w:vAlign w:val="center"/>
                </w:tcPr>
                <w:p w14:paraId="2D50BF71">
                  <w:pPr>
                    <w:pStyle w:val="22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60</w:t>
                  </w:r>
                </w:p>
              </w:tc>
              <w:tc>
                <w:tcPr>
                  <w:tcW w:w="2063" w:type="dxa"/>
                  <w:noWrap w:val="0"/>
                  <w:vAlign w:val="center"/>
                </w:tcPr>
                <w:p w14:paraId="1D85BAFE">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u w:val="single"/>
                    </w:rPr>
                  </w:pPr>
                  <w:r>
                    <w:rPr>
                      <w:rFonts w:hint="default" w:ascii="Times New Roman" w:hAnsi="Times New Roman" w:eastAsia="等线" w:cs="Times New Roman"/>
                      <w:i w:val="0"/>
                      <w:iCs w:val="0"/>
                      <w:color w:val="auto"/>
                      <w:kern w:val="0"/>
                      <w:sz w:val="21"/>
                      <w:szCs w:val="21"/>
                      <w:u w:val="none"/>
                      <w:lang w:val="en-US" w:eastAsia="zh-CN" w:bidi="ar"/>
                    </w:rPr>
                    <w:t>78226</w:t>
                  </w:r>
                  <w:r>
                    <w:rPr>
                      <w:rFonts w:hint="eastAsia" w:ascii="Times New Roman" w:hAnsi="Times New Roman" w:eastAsia="宋体" w:cs="Times New Roman"/>
                      <w:color w:val="auto"/>
                      <w:sz w:val="21"/>
                      <w:szCs w:val="21"/>
                      <w:highlight w:val="none"/>
                      <w:u w:val="none"/>
                      <w:lang w:val="en-US" w:eastAsia="zh-CN"/>
                    </w:rPr>
                    <w:t>粒</w:t>
                  </w:r>
                </w:p>
              </w:tc>
              <w:tc>
                <w:tcPr>
                  <w:tcW w:w="993" w:type="pct"/>
                  <w:vMerge w:val="continue"/>
                  <w:noWrap w:val="0"/>
                  <w:vAlign w:val="center"/>
                </w:tcPr>
                <w:p w14:paraId="0D4DAE84">
                  <w:pPr>
                    <w:widowControl/>
                    <w:jc w:val="center"/>
                    <w:rPr>
                      <w:rFonts w:eastAsia="等线"/>
                      <w:color w:val="auto"/>
                      <w:sz w:val="21"/>
                      <w:szCs w:val="21"/>
                      <w:highlight w:val="none"/>
                      <w:u w:val="none"/>
                    </w:rPr>
                  </w:pPr>
                </w:p>
              </w:tc>
            </w:tr>
            <w:tr w14:paraId="099D33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331" w:type="pct"/>
                  <w:vMerge w:val="restart"/>
                  <w:noWrap w:val="0"/>
                  <w:vAlign w:val="center"/>
                </w:tcPr>
                <w:p w14:paraId="2C6E98AC">
                  <w:pPr>
                    <w:pStyle w:val="220"/>
                    <w:rPr>
                      <w:rFonts w:hint="eastAsia" w:eastAsia="宋体"/>
                      <w:color w:val="auto"/>
                      <w:highlight w:val="none"/>
                      <w:lang w:eastAsia="zh-CN"/>
                    </w:rPr>
                  </w:pPr>
                  <w:r>
                    <w:rPr>
                      <w:rFonts w:hint="eastAsia"/>
                      <w:color w:val="auto"/>
                      <w:highlight w:val="none"/>
                      <w:lang w:eastAsia="zh-CN"/>
                    </w:rPr>
                    <w:t>鱼仔</w:t>
                  </w:r>
                </w:p>
              </w:tc>
              <w:tc>
                <w:tcPr>
                  <w:tcW w:w="898" w:type="pct"/>
                  <w:noWrap w:val="0"/>
                  <w:vAlign w:val="center"/>
                </w:tcPr>
                <w:p w14:paraId="10D6B244">
                  <w:pPr>
                    <w:pStyle w:val="220"/>
                    <w:rPr>
                      <w:color w:val="auto"/>
                      <w:highlight w:val="none"/>
                    </w:rPr>
                  </w:pPr>
                  <w:r>
                    <w:rPr>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1</w:t>
                  </w:r>
                  <w:r>
                    <w:rPr>
                      <w:rFonts w:hint="eastAsia" w:ascii="宋体" w:hAnsi="宋体"/>
                      <w:color w:val="auto"/>
                      <w:highlight w:val="none"/>
                    </w:rPr>
                    <w:t>倍</w:t>
                  </w:r>
                </w:p>
              </w:tc>
              <w:tc>
                <w:tcPr>
                  <w:tcW w:w="877" w:type="pct"/>
                  <w:vMerge w:val="restart"/>
                  <w:noWrap w:val="0"/>
                  <w:vAlign w:val="center"/>
                </w:tcPr>
                <w:p w14:paraId="23F5D00D">
                  <w:pPr>
                    <w:widowControl/>
                    <w:jc w:val="center"/>
                    <w:rPr>
                      <w:rFonts w:hint="default" w:ascii="Times New Roman" w:hAnsi="Times New Roman" w:eastAsia="等线" w:cs="Times New Roman"/>
                      <w:color w:val="auto"/>
                      <w:sz w:val="21"/>
                      <w:szCs w:val="21"/>
                      <w:highlight w:val="none"/>
                      <w:u w:val="single"/>
                    </w:rPr>
                  </w:pPr>
                  <w:r>
                    <w:rPr>
                      <w:rFonts w:hint="default" w:ascii="Times New Roman" w:hAnsi="Times New Roman" w:eastAsia="宋体" w:cs="Times New Roman"/>
                      <w:b w:val="0"/>
                      <w:bCs w:val="0"/>
                      <w:color w:val="auto"/>
                      <w:sz w:val="21"/>
                      <w:szCs w:val="21"/>
                      <w:highlight w:val="none"/>
                      <w:lang w:val="en-US" w:eastAsia="zh-CN"/>
                    </w:rPr>
                    <w:t>0.162ind/m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605" w:type="pct"/>
                  <w:noWrap w:val="0"/>
                  <w:vAlign w:val="center"/>
                </w:tcPr>
                <w:p w14:paraId="751C91C8">
                  <w:pPr>
                    <w:pStyle w:val="22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5</w:t>
                  </w:r>
                </w:p>
              </w:tc>
              <w:tc>
                <w:tcPr>
                  <w:tcW w:w="2063" w:type="dxa"/>
                  <w:noWrap w:val="0"/>
                  <w:vAlign w:val="center"/>
                </w:tcPr>
                <w:p w14:paraId="741F57D9">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124572</w:t>
                  </w:r>
                  <w:r>
                    <w:rPr>
                      <w:rFonts w:hint="eastAsia" w:ascii="Times New Roman" w:hAnsi="Times New Roman" w:eastAsia="等线" w:cs="Times New Roman"/>
                      <w:i w:val="0"/>
                      <w:iCs w:val="0"/>
                      <w:color w:val="auto"/>
                      <w:kern w:val="0"/>
                      <w:sz w:val="21"/>
                      <w:szCs w:val="21"/>
                      <w:u w:val="none"/>
                      <w:lang w:val="en-US" w:eastAsia="zh-CN" w:bidi="ar"/>
                    </w:rPr>
                    <w:t>尾</w:t>
                  </w:r>
                  <w:r>
                    <w:rPr>
                      <w:rFonts w:hint="default" w:ascii="Times New Roman" w:hAnsi="Times New Roman" w:eastAsia="等线" w:cs="Times New Roman"/>
                      <w:i w:val="0"/>
                      <w:iCs w:val="0"/>
                      <w:color w:val="auto"/>
                      <w:kern w:val="0"/>
                      <w:sz w:val="21"/>
                      <w:szCs w:val="21"/>
                      <w:u w:val="none"/>
                      <w:lang w:val="en-US" w:eastAsia="zh-CN" w:bidi="ar"/>
                    </w:rPr>
                    <w:t xml:space="preserve"> </w:t>
                  </w:r>
                </w:p>
              </w:tc>
              <w:tc>
                <w:tcPr>
                  <w:tcW w:w="993" w:type="pct"/>
                  <w:vMerge w:val="restart"/>
                  <w:noWrap w:val="0"/>
                  <w:vAlign w:val="center"/>
                </w:tcPr>
                <w:p w14:paraId="69B2A138">
                  <w:pPr>
                    <w:keepNext w:val="0"/>
                    <w:keepLines w:val="0"/>
                    <w:widowControl/>
                    <w:suppressLineNumbers w:val="0"/>
                    <w:jc w:val="center"/>
                    <w:textAlignment w:val="center"/>
                    <w:rPr>
                      <w:rFonts w:hint="default" w:ascii="等线" w:hAnsi="等线" w:eastAsia="等线" w:cs="等线"/>
                      <w:i w:val="0"/>
                      <w:iCs w:val="0"/>
                      <w:color w:val="auto"/>
                      <w:kern w:val="2"/>
                      <w:sz w:val="22"/>
                      <w:szCs w:val="22"/>
                      <w:highlight w:val="none"/>
                      <w:u w:val="none"/>
                      <w:lang w:val="en-US" w:eastAsia="zh-CN" w:bidi="ar-SA"/>
                    </w:rPr>
                  </w:pPr>
                  <w:r>
                    <w:rPr>
                      <w:rFonts w:hint="eastAsia" w:ascii="Times New Roman" w:hAnsi="Times New Roman" w:eastAsia="等线" w:cs="Times New Roman"/>
                      <w:color w:val="auto"/>
                      <w:sz w:val="21"/>
                      <w:szCs w:val="21"/>
                      <w:highlight w:val="none"/>
                      <w:u w:val="none"/>
                      <w:lang w:val="en-US" w:eastAsia="zh-CN"/>
                    </w:rPr>
                    <w:t>430064</w:t>
                  </w:r>
                  <w:r>
                    <w:rPr>
                      <w:rFonts w:hint="eastAsia" w:ascii="Times New Roman" w:hAnsi="Times New Roman" w:eastAsia="宋体" w:cs="Times New Roman"/>
                      <w:color w:val="auto"/>
                      <w:sz w:val="21"/>
                      <w:szCs w:val="21"/>
                      <w:highlight w:val="none"/>
                      <w:u w:val="none"/>
                      <w:lang w:val="en-US" w:eastAsia="zh-CN"/>
                    </w:rPr>
                    <w:t>尾</w:t>
                  </w:r>
                </w:p>
              </w:tc>
            </w:tr>
            <w:tr w14:paraId="3BD7D4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7DCDC829">
                  <w:pPr>
                    <w:pStyle w:val="220"/>
                    <w:rPr>
                      <w:color w:val="auto"/>
                      <w:highlight w:val="none"/>
                    </w:rPr>
                  </w:pPr>
                </w:p>
              </w:tc>
              <w:tc>
                <w:tcPr>
                  <w:tcW w:w="898" w:type="pct"/>
                  <w:noWrap w:val="0"/>
                  <w:vAlign w:val="center"/>
                </w:tcPr>
                <w:p w14:paraId="7E714997">
                  <w:pPr>
                    <w:pStyle w:val="220"/>
                    <w:rPr>
                      <w:color w:val="auto"/>
                      <w:highlight w:val="none"/>
                    </w:rPr>
                  </w:pPr>
                  <w:r>
                    <w:rPr>
                      <w:color w:val="auto"/>
                      <w:highlight w:val="none"/>
                    </w:rPr>
                    <w:t>1</w:t>
                  </w:r>
                  <w:r>
                    <w:rPr>
                      <w:rFonts w:hint="eastAsia" w:ascii="宋体" w:hAnsi="宋体"/>
                      <w:color w:val="auto"/>
                      <w:highlight w:val="none"/>
                    </w:rPr>
                    <w:t>＜</w:t>
                  </w:r>
                  <w:r>
                    <w:rPr>
                      <w:i/>
                      <w:iCs/>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4</w:t>
                  </w:r>
                  <w:r>
                    <w:rPr>
                      <w:rFonts w:hint="eastAsia" w:ascii="宋体" w:hAnsi="宋体"/>
                      <w:color w:val="auto"/>
                      <w:highlight w:val="none"/>
                    </w:rPr>
                    <w:t>倍</w:t>
                  </w:r>
                </w:p>
              </w:tc>
              <w:tc>
                <w:tcPr>
                  <w:tcW w:w="877" w:type="pct"/>
                  <w:vMerge w:val="continue"/>
                  <w:noWrap w:val="0"/>
                  <w:vAlign w:val="center"/>
                </w:tcPr>
                <w:p w14:paraId="0EB12580">
                  <w:pPr>
                    <w:widowControl/>
                    <w:jc w:val="center"/>
                    <w:rPr>
                      <w:rFonts w:hint="default" w:ascii="Times New Roman" w:hAnsi="Times New Roman" w:eastAsia="等线" w:cs="Times New Roman"/>
                      <w:color w:val="auto"/>
                      <w:sz w:val="21"/>
                      <w:szCs w:val="21"/>
                      <w:highlight w:val="none"/>
                      <w:u w:val="single"/>
                    </w:rPr>
                  </w:pPr>
                </w:p>
              </w:tc>
              <w:tc>
                <w:tcPr>
                  <w:tcW w:w="605" w:type="pct"/>
                  <w:noWrap w:val="0"/>
                  <w:vAlign w:val="center"/>
                </w:tcPr>
                <w:p w14:paraId="0FC8649F">
                  <w:pPr>
                    <w:pStyle w:val="22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20</w:t>
                  </w:r>
                </w:p>
              </w:tc>
              <w:tc>
                <w:tcPr>
                  <w:tcW w:w="2063" w:type="dxa"/>
                  <w:noWrap w:val="0"/>
                  <w:vAlign w:val="center"/>
                </w:tcPr>
                <w:p w14:paraId="4F590C93">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77577</w:t>
                  </w:r>
                  <w:r>
                    <w:rPr>
                      <w:rFonts w:hint="eastAsia" w:ascii="Times New Roman" w:hAnsi="Times New Roman" w:eastAsia="等线" w:cs="Times New Roman"/>
                      <w:i w:val="0"/>
                      <w:iCs w:val="0"/>
                      <w:color w:val="auto"/>
                      <w:kern w:val="0"/>
                      <w:sz w:val="21"/>
                      <w:szCs w:val="21"/>
                      <w:u w:val="none"/>
                      <w:lang w:val="en-US" w:eastAsia="zh-CN" w:bidi="ar"/>
                    </w:rPr>
                    <w:t>尾</w:t>
                  </w:r>
                  <w:r>
                    <w:rPr>
                      <w:rFonts w:hint="default" w:ascii="Times New Roman" w:hAnsi="Times New Roman" w:eastAsia="等线" w:cs="Times New Roman"/>
                      <w:i w:val="0"/>
                      <w:iCs w:val="0"/>
                      <w:color w:val="auto"/>
                      <w:kern w:val="0"/>
                      <w:sz w:val="21"/>
                      <w:szCs w:val="21"/>
                      <w:u w:val="none"/>
                      <w:lang w:val="en-US" w:eastAsia="zh-CN" w:bidi="ar"/>
                    </w:rPr>
                    <w:t xml:space="preserve"> </w:t>
                  </w:r>
                </w:p>
              </w:tc>
              <w:tc>
                <w:tcPr>
                  <w:tcW w:w="993" w:type="pct"/>
                  <w:vMerge w:val="continue"/>
                  <w:noWrap w:val="0"/>
                  <w:vAlign w:val="center"/>
                </w:tcPr>
                <w:p w14:paraId="4294C49C">
                  <w:pPr>
                    <w:widowControl/>
                    <w:jc w:val="center"/>
                    <w:rPr>
                      <w:rFonts w:eastAsia="等线"/>
                      <w:color w:val="auto"/>
                      <w:sz w:val="21"/>
                      <w:szCs w:val="21"/>
                      <w:highlight w:val="none"/>
                      <w:u w:val="single"/>
                    </w:rPr>
                  </w:pPr>
                </w:p>
              </w:tc>
            </w:tr>
            <w:tr w14:paraId="3AC995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31" w:type="pct"/>
                  <w:vMerge w:val="continue"/>
                  <w:noWrap w:val="0"/>
                  <w:vAlign w:val="center"/>
                </w:tcPr>
                <w:p w14:paraId="125ED568">
                  <w:pPr>
                    <w:pStyle w:val="220"/>
                    <w:rPr>
                      <w:color w:val="auto"/>
                      <w:highlight w:val="none"/>
                    </w:rPr>
                  </w:pPr>
                </w:p>
              </w:tc>
              <w:tc>
                <w:tcPr>
                  <w:tcW w:w="898" w:type="pct"/>
                  <w:noWrap w:val="0"/>
                  <w:vAlign w:val="center"/>
                </w:tcPr>
                <w:p w14:paraId="5C404CDF">
                  <w:pPr>
                    <w:pStyle w:val="220"/>
                    <w:rPr>
                      <w:color w:val="auto"/>
                      <w:highlight w:val="none"/>
                    </w:rPr>
                  </w:pPr>
                  <w:r>
                    <w:rPr>
                      <w:color w:val="auto"/>
                      <w:highlight w:val="none"/>
                    </w:rPr>
                    <w:t>4</w:t>
                  </w:r>
                  <w:r>
                    <w:rPr>
                      <w:rFonts w:hint="eastAsia" w:ascii="宋体" w:hAnsi="宋体"/>
                      <w:color w:val="auto"/>
                      <w:highlight w:val="none"/>
                    </w:rPr>
                    <w:t>＜</w:t>
                  </w:r>
                  <w:r>
                    <w:rPr>
                      <w:i/>
                      <w:iCs/>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9</w:t>
                  </w:r>
                  <w:r>
                    <w:rPr>
                      <w:rFonts w:hint="eastAsia" w:ascii="宋体" w:hAnsi="宋体"/>
                      <w:color w:val="auto"/>
                      <w:highlight w:val="none"/>
                    </w:rPr>
                    <w:t>倍</w:t>
                  </w:r>
                </w:p>
              </w:tc>
              <w:tc>
                <w:tcPr>
                  <w:tcW w:w="877" w:type="pct"/>
                  <w:vMerge w:val="continue"/>
                  <w:noWrap w:val="0"/>
                  <w:vAlign w:val="center"/>
                </w:tcPr>
                <w:p w14:paraId="04055C4B">
                  <w:pPr>
                    <w:widowControl/>
                    <w:jc w:val="center"/>
                    <w:rPr>
                      <w:rFonts w:hint="default" w:ascii="Times New Roman" w:hAnsi="Times New Roman" w:eastAsia="等线" w:cs="Times New Roman"/>
                      <w:color w:val="auto"/>
                      <w:sz w:val="21"/>
                      <w:szCs w:val="21"/>
                      <w:highlight w:val="none"/>
                      <w:u w:val="single"/>
                    </w:rPr>
                  </w:pPr>
                </w:p>
              </w:tc>
              <w:tc>
                <w:tcPr>
                  <w:tcW w:w="605" w:type="pct"/>
                  <w:noWrap w:val="0"/>
                  <w:vAlign w:val="center"/>
                </w:tcPr>
                <w:p w14:paraId="5A89F1C2">
                  <w:pPr>
                    <w:pStyle w:val="22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40</w:t>
                  </w:r>
                </w:p>
              </w:tc>
              <w:tc>
                <w:tcPr>
                  <w:tcW w:w="2063" w:type="dxa"/>
                  <w:noWrap w:val="0"/>
                  <w:vAlign w:val="center"/>
                </w:tcPr>
                <w:p w14:paraId="46F12243">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29907</w:t>
                  </w:r>
                  <w:r>
                    <w:rPr>
                      <w:rFonts w:hint="eastAsia" w:ascii="Times New Roman" w:hAnsi="Times New Roman" w:eastAsia="等线" w:cs="Times New Roman"/>
                      <w:i w:val="0"/>
                      <w:iCs w:val="0"/>
                      <w:color w:val="auto"/>
                      <w:kern w:val="0"/>
                      <w:sz w:val="21"/>
                      <w:szCs w:val="21"/>
                      <w:u w:val="none"/>
                      <w:lang w:val="en-US" w:eastAsia="zh-CN" w:bidi="ar"/>
                    </w:rPr>
                    <w:t>尾</w:t>
                  </w:r>
                  <w:r>
                    <w:rPr>
                      <w:rFonts w:hint="default" w:ascii="Times New Roman" w:hAnsi="Times New Roman" w:eastAsia="等线" w:cs="Times New Roman"/>
                      <w:i w:val="0"/>
                      <w:iCs w:val="0"/>
                      <w:color w:val="auto"/>
                      <w:kern w:val="0"/>
                      <w:sz w:val="21"/>
                      <w:szCs w:val="21"/>
                      <w:u w:val="none"/>
                      <w:lang w:val="en-US" w:eastAsia="zh-CN" w:bidi="ar"/>
                    </w:rPr>
                    <w:t xml:space="preserve"> </w:t>
                  </w:r>
                </w:p>
              </w:tc>
              <w:tc>
                <w:tcPr>
                  <w:tcW w:w="993" w:type="pct"/>
                  <w:vMerge w:val="continue"/>
                  <w:noWrap w:val="0"/>
                  <w:vAlign w:val="center"/>
                </w:tcPr>
                <w:p w14:paraId="0B582074">
                  <w:pPr>
                    <w:widowControl/>
                    <w:jc w:val="center"/>
                    <w:rPr>
                      <w:rFonts w:eastAsia="等线"/>
                      <w:color w:val="auto"/>
                      <w:sz w:val="21"/>
                      <w:szCs w:val="21"/>
                      <w:highlight w:val="none"/>
                      <w:u w:val="single"/>
                    </w:rPr>
                  </w:pPr>
                </w:p>
              </w:tc>
            </w:tr>
            <w:tr w14:paraId="03F268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67E51A7D">
                  <w:pPr>
                    <w:pStyle w:val="220"/>
                    <w:rPr>
                      <w:color w:val="auto"/>
                      <w:highlight w:val="none"/>
                    </w:rPr>
                  </w:pPr>
                </w:p>
              </w:tc>
              <w:tc>
                <w:tcPr>
                  <w:tcW w:w="898" w:type="pct"/>
                  <w:noWrap w:val="0"/>
                  <w:vAlign w:val="center"/>
                </w:tcPr>
                <w:p w14:paraId="7668A2F2">
                  <w:pPr>
                    <w:pStyle w:val="220"/>
                    <w:rPr>
                      <w:color w:val="auto"/>
                      <w:highlight w:val="none"/>
                    </w:rPr>
                  </w:pPr>
                  <w:r>
                    <w:rPr>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9</w:t>
                  </w:r>
                  <w:r>
                    <w:rPr>
                      <w:rFonts w:hint="eastAsia" w:ascii="宋体" w:hAnsi="宋体"/>
                      <w:color w:val="auto"/>
                      <w:highlight w:val="none"/>
                    </w:rPr>
                    <w:t>倍</w:t>
                  </w:r>
                </w:p>
              </w:tc>
              <w:tc>
                <w:tcPr>
                  <w:tcW w:w="877" w:type="pct"/>
                  <w:vMerge w:val="continue"/>
                  <w:noWrap w:val="0"/>
                  <w:vAlign w:val="center"/>
                </w:tcPr>
                <w:p w14:paraId="7CB84BCD">
                  <w:pPr>
                    <w:widowControl/>
                    <w:jc w:val="center"/>
                    <w:rPr>
                      <w:rFonts w:hint="default" w:ascii="Times New Roman" w:hAnsi="Times New Roman" w:eastAsia="等线" w:cs="Times New Roman"/>
                      <w:color w:val="auto"/>
                      <w:sz w:val="21"/>
                      <w:szCs w:val="21"/>
                      <w:highlight w:val="none"/>
                      <w:u w:val="single"/>
                    </w:rPr>
                  </w:pPr>
                </w:p>
              </w:tc>
              <w:tc>
                <w:tcPr>
                  <w:tcW w:w="605" w:type="pct"/>
                  <w:noWrap w:val="0"/>
                  <w:vAlign w:val="center"/>
                </w:tcPr>
                <w:p w14:paraId="07B78217">
                  <w:pPr>
                    <w:pStyle w:val="22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60</w:t>
                  </w:r>
                </w:p>
              </w:tc>
              <w:tc>
                <w:tcPr>
                  <w:tcW w:w="2063" w:type="dxa"/>
                  <w:noWrap w:val="0"/>
                  <w:vAlign w:val="center"/>
                </w:tcPr>
                <w:p w14:paraId="290C4E02">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198008</w:t>
                  </w:r>
                  <w:r>
                    <w:rPr>
                      <w:rFonts w:hint="eastAsia" w:ascii="Times New Roman" w:hAnsi="Times New Roman" w:eastAsia="等线" w:cs="Times New Roman"/>
                      <w:i w:val="0"/>
                      <w:iCs w:val="0"/>
                      <w:color w:val="auto"/>
                      <w:kern w:val="0"/>
                      <w:sz w:val="21"/>
                      <w:szCs w:val="21"/>
                      <w:u w:val="none"/>
                      <w:lang w:val="en-US" w:eastAsia="zh-CN" w:bidi="ar"/>
                    </w:rPr>
                    <w:t>尾</w:t>
                  </w:r>
                  <w:r>
                    <w:rPr>
                      <w:rFonts w:hint="default" w:ascii="Times New Roman" w:hAnsi="Times New Roman" w:eastAsia="等线" w:cs="Times New Roman"/>
                      <w:i w:val="0"/>
                      <w:iCs w:val="0"/>
                      <w:color w:val="auto"/>
                      <w:kern w:val="0"/>
                      <w:sz w:val="21"/>
                      <w:szCs w:val="21"/>
                      <w:u w:val="none"/>
                      <w:lang w:val="en-US" w:eastAsia="zh-CN" w:bidi="ar"/>
                    </w:rPr>
                    <w:t xml:space="preserve"> </w:t>
                  </w:r>
                </w:p>
              </w:tc>
              <w:tc>
                <w:tcPr>
                  <w:tcW w:w="993" w:type="pct"/>
                  <w:vMerge w:val="continue"/>
                  <w:noWrap w:val="0"/>
                  <w:vAlign w:val="center"/>
                </w:tcPr>
                <w:p w14:paraId="25864863">
                  <w:pPr>
                    <w:widowControl/>
                    <w:jc w:val="center"/>
                    <w:rPr>
                      <w:rFonts w:eastAsia="等线"/>
                      <w:color w:val="auto"/>
                      <w:sz w:val="21"/>
                      <w:szCs w:val="21"/>
                      <w:highlight w:val="none"/>
                      <w:u w:val="single"/>
                    </w:rPr>
                  </w:pPr>
                </w:p>
              </w:tc>
            </w:tr>
          </w:tbl>
          <w:p w14:paraId="3C1726FF">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③海洋生物资源损失计算汇总</w:t>
            </w:r>
          </w:p>
          <w:p w14:paraId="74953E4F">
            <w:pPr>
              <w:pStyle w:val="19"/>
              <w:spacing w:line="360" w:lineRule="auto"/>
              <w:ind w:firstLine="480" w:firstLineChars="200"/>
              <w:rPr>
                <w:rFonts w:hint="default"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本工程建设疏浚直接破坏和悬浮泥沙损害的海洋生物资源量汇总如下。</w:t>
            </w:r>
          </w:p>
          <w:p w14:paraId="3644B46E">
            <w:pPr>
              <w:pStyle w:val="218"/>
              <w:numPr>
                <w:ilvl w:val="0"/>
                <w:numId w:val="0"/>
              </w:numPr>
              <w:tabs>
                <w:tab w:val="left" w:pos="0"/>
              </w:tabs>
              <w:ind w:left="442"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表4.1-10疏浚施工造成的海洋资源损失量汇总表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2115"/>
              <w:gridCol w:w="2115"/>
              <w:gridCol w:w="2115"/>
            </w:tblGrid>
            <w:tr w14:paraId="1C20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14:paraId="43F125BB">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生物类型</w:t>
                  </w:r>
                </w:p>
              </w:tc>
              <w:tc>
                <w:tcPr>
                  <w:tcW w:w="1250" w:type="pct"/>
                  <w:noWrap w:val="0"/>
                  <w:vAlign w:val="center"/>
                </w:tcPr>
                <w:p w14:paraId="6CC1C398">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疏浚占用</w:t>
                  </w:r>
                </w:p>
              </w:tc>
              <w:tc>
                <w:tcPr>
                  <w:tcW w:w="1250" w:type="pct"/>
                  <w:noWrap w:val="0"/>
                  <w:vAlign w:val="center"/>
                </w:tcPr>
                <w:p w14:paraId="1AA3C91D">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悬浮泥沙</w:t>
                  </w:r>
                </w:p>
              </w:tc>
              <w:tc>
                <w:tcPr>
                  <w:tcW w:w="1250" w:type="pct"/>
                  <w:noWrap w:val="0"/>
                  <w:vAlign w:val="center"/>
                </w:tcPr>
                <w:p w14:paraId="32D8B372">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合计</w:t>
                  </w:r>
                </w:p>
              </w:tc>
            </w:tr>
            <w:tr w14:paraId="5224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14:paraId="3BDD0E5F">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底栖生物（t）</w:t>
                  </w:r>
                </w:p>
              </w:tc>
              <w:tc>
                <w:tcPr>
                  <w:tcW w:w="1250" w:type="pct"/>
                  <w:noWrap w:val="0"/>
                  <w:vAlign w:val="center"/>
                </w:tcPr>
                <w:p w14:paraId="2E7AD67D">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0.245</w:t>
                  </w:r>
                </w:p>
              </w:tc>
              <w:tc>
                <w:tcPr>
                  <w:tcW w:w="1250" w:type="pct"/>
                  <w:noWrap w:val="0"/>
                  <w:vAlign w:val="center"/>
                </w:tcPr>
                <w:p w14:paraId="33FBA693">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w:t>
                  </w:r>
                </w:p>
              </w:tc>
              <w:tc>
                <w:tcPr>
                  <w:tcW w:w="1250" w:type="pct"/>
                  <w:noWrap w:val="0"/>
                  <w:vAlign w:val="center"/>
                </w:tcPr>
                <w:p w14:paraId="6BA1C3CF">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0.245</w:t>
                  </w:r>
                </w:p>
              </w:tc>
            </w:tr>
            <w:tr w14:paraId="63DB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14:paraId="2A302902">
                  <w:pPr>
                    <w:pStyle w:val="22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highlight w:val="none"/>
                      <w:u w:val="none"/>
                      <w:lang w:eastAsia="zh-CN"/>
                    </w:rPr>
                    <w:t>浮游植物（</w:t>
                  </w:r>
                  <w:r>
                    <w:rPr>
                      <w:rFonts w:hint="default" w:ascii="Times New Roman" w:hAnsi="Times New Roman" w:eastAsia="宋体" w:cs="Times New Roman"/>
                      <w:color w:val="auto"/>
                      <w:sz w:val="21"/>
                      <w:szCs w:val="21"/>
                      <w:highlight w:val="none"/>
                      <w:shd w:val="clear" w:color="auto" w:fill="auto"/>
                    </w:rPr>
                    <w:t>×10</w:t>
                  </w:r>
                  <w:r>
                    <w:rPr>
                      <w:rFonts w:hint="eastAsia" w:ascii="Times New Roman" w:hAnsi="Times New Roman" w:eastAsia="宋体" w:cs="Times New Roman"/>
                      <w:color w:val="auto"/>
                      <w:sz w:val="21"/>
                      <w:szCs w:val="21"/>
                      <w:highlight w:val="none"/>
                      <w:shd w:val="clear" w:color="auto" w:fill="auto"/>
                      <w:vertAlign w:val="superscript"/>
                      <w:lang w:val="en-US" w:eastAsia="zh-CN"/>
                    </w:rPr>
                    <w:t>12</w:t>
                  </w:r>
                  <w:r>
                    <w:rPr>
                      <w:rFonts w:hint="default" w:ascii="Times New Roman" w:hAnsi="Times New Roman" w:eastAsia="宋体" w:cs="Times New Roman"/>
                      <w:color w:val="auto"/>
                      <w:sz w:val="21"/>
                      <w:szCs w:val="21"/>
                      <w:highlight w:val="none"/>
                      <w:shd w:val="clear" w:color="auto" w:fill="auto"/>
                      <w:lang w:val="en-US" w:eastAsia="zh-CN"/>
                    </w:rPr>
                    <w:t>个</w:t>
                  </w:r>
                  <w:r>
                    <w:rPr>
                      <w:rFonts w:hint="default" w:ascii="Times New Roman" w:hAnsi="Times New Roman" w:cs="Times New Roman"/>
                      <w:color w:val="auto"/>
                      <w:highlight w:val="none"/>
                      <w:u w:val="none"/>
                      <w:lang w:eastAsia="zh-CN"/>
                    </w:rPr>
                    <w:t>）</w:t>
                  </w:r>
                </w:p>
              </w:tc>
              <w:tc>
                <w:tcPr>
                  <w:tcW w:w="1250" w:type="pct"/>
                  <w:noWrap w:val="0"/>
                  <w:vAlign w:val="center"/>
                </w:tcPr>
                <w:p w14:paraId="2C3C7A45">
                  <w:pPr>
                    <w:spacing w:line="36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w:t>
                  </w:r>
                </w:p>
              </w:tc>
              <w:tc>
                <w:tcPr>
                  <w:tcW w:w="1250" w:type="pct"/>
                  <w:noWrap w:val="0"/>
                  <w:vAlign w:val="center"/>
                </w:tcPr>
                <w:p w14:paraId="7A3EF0F4">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11.44</w:t>
                  </w:r>
                </w:p>
              </w:tc>
              <w:tc>
                <w:tcPr>
                  <w:tcW w:w="1994" w:type="dxa"/>
                  <w:noWrap w:val="0"/>
                  <w:vAlign w:val="center"/>
                </w:tcPr>
                <w:p w14:paraId="6549097C">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11.44</w:t>
                  </w:r>
                </w:p>
              </w:tc>
            </w:tr>
            <w:tr w14:paraId="5020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14:paraId="27536FBE">
                  <w:pPr>
                    <w:pStyle w:val="22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highlight w:val="none"/>
                      <w:lang w:eastAsia="zh-CN"/>
                    </w:rPr>
                    <w:t>浮游动物（</w:t>
                  </w:r>
                  <w:r>
                    <w:rPr>
                      <w:rFonts w:hint="default" w:ascii="Times New Roman" w:hAnsi="Times New Roman" w:eastAsia="宋体" w:cs="Times New Roman"/>
                      <w:color w:val="auto"/>
                      <w:sz w:val="24"/>
                      <w:szCs w:val="24"/>
                      <w:highlight w:val="none"/>
                      <w:vertAlign w:val="baseline"/>
                      <w:lang w:val="en-US" w:eastAsia="zh-CN"/>
                    </w:rPr>
                    <w:t>t</w:t>
                  </w:r>
                  <w:r>
                    <w:rPr>
                      <w:rFonts w:hint="default" w:ascii="Times New Roman" w:hAnsi="Times New Roman" w:cs="Times New Roman"/>
                      <w:color w:val="auto"/>
                      <w:highlight w:val="none"/>
                      <w:lang w:eastAsia="zh-CN"/>
                    </w:rPr>
                    <w:t>）</w:t>
                  </w:r>
                </w:p>
              </w:tc>
              <w:tc>
                <w:tcPr>
                  <w:tcW w:w="1250" w:type="pct"/>
                  <w:noWrap w:val="0"/>
                  <w:vAlign w:val="center"/>
                </w:tcPr>
                <w:p w14:paraId="7ED31701">
                  <w:pPr>
                    <w:spacing w:line="36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w:t>
                  </w:r>
                </w:p>
              </w:tc>
              <w:tc>
                <w:tcPr>
                  <w:tcW w:w="1250" w:type="pct"/>
                  <w:noWrap w:val="0"/>
                  <w:vAlign w:val="center"/>
                </w:tcPr>
                <w:p w14:paraId="281DF132">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0.542</w:t>
                  </w:r>
                </w:p>
              </w:tc>
              <w:tc>
                <w:tcPr>
                  <w:tcW w:w="1994" w:type="dxa"/>
                  <w:noWrap w:val="0"/>
                  <w:vAlign w:val="center"/>
                </w:tcPr>
                <w:p w14:paraId="2B68C634">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0.542</w:t>
                  </w:r>
                </w:p>
              </w:tc>
            </w:tr>
            <w:tr w14:paraId="288C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noWrap w:val="0"/>
                  <w:vAlign w:val="center"/>
                </w:tcPr>
                <w:p w14:paraId="605C4DC9">
                  <w:pPr>
                    <w:pStyle w:val="22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highlight w:val="none"/>
                      <w:lang w:eastAsia="zh-CN"/>
                    </w:rPr>
                    <w:t>鱼卵（</w:t>
                  </w:r>
                  <w:r>
                    <w:rPr>
                      <w:rFonts w:hint="default" w:ascii="Times New Roman" w:hAnsi="Times New Roman" w:eastAsia="宋体" w:cs="Times New Roman"/>
                      <w:color w:val="auto"/>
                      <w:sz w:val="21"/>
                      <w:szCs w:val="21"/>
                      <w:highlight w:val="none"/>
                      <w:u w:val="none"/>
                      <w:shd w:val="clear" w:color="auto" w:fill="auto"/>
                    </w:rPr>
                    <w:t>×10</w:t>
                  </w:r>
                  <w:r>
                    <w:rPr>
                      <w:rFonts w:hint="eastAsia" w:ascii="Times New Roman" w:hAnsi="Times New Roman" w:eastAsia="宋体" w:cs="Times New Roman"/>
                      <w:color w:val="auto"/>
                      <w:sz w:val="21"/>
                      <w:szCs w:val="21"/>
                      <w:highlight w:val="none"/>
                      <w:u w:val="none"/>
                      <w:shd w:val="clear" w:color="auto" w:fill="auto"/>
                      <w:vertAlign w:val="superscript"/>
                      <w:lang w:val="en-US" w:eastAsia="zh-CN"/>
                    </w:rPr>
                    <w:t>6</w:t>
                  </w:r>
                  <w:r>
                    <w:rPr>
                      <w:rFonts w:hint="default" w:ascii="Times New Roman" w:hAnsi="Times New Roman" w:eastAsia="宋体" w:cs="Times New Roman"/>
                      <w:color w:val="auto"/>
                      <w:sz w:val="24"/>
                      <w:szCs w:val="24"/>
                      <w:highlight w:val="none"/>
                      <w:lang w:val="en-US" w:eastAsia="zh-CN"/>
                    </w:rPr>
                    <w:t>粒</w:t>
                  </w:r>
                  <w:r>
                    <w:rPr>
                      <w:rFonts w:hint="default" w:ascii="Times New Roman" w:hAnsi="Times New Roman" w:cs="Times New Roman"/>
                      <w:color w:val="auto"/>
                      <w:highlight w:val="none"/>
                      <w:lang w:eastAsia="zh-CN"/>
                    </w:rPr>
                    <w:t>）</w:t>
                  </w:r>
                </w:p>
              </w:tc>
              <w:tc>
                <w:tcPr>
                  <w:tcW w:w="1250" w:type="pct"/>
                  <w:noWrap w:val="0"/>
                  <w:vAlign w:val="center"/>
                </w:tcPr>
                <w:p w14:paraId="5F2BC379">
                  <w:pPr>
                    <w:spacing w:line="36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w:t>
                  </w:r>
                </w:p>
              </w:tc>
              <w:tc>
                <w:tcPr>
                  <w:tcW w:w="1250" w:type="pct"/>
                  <w:noWrap w:val="0"/>
                  <w:vAlign w:val="center"/>
                </w:tcPr>
                <w:p w14:paraId="0C024279">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169904</w:t>
                  </w:r>
                </w:p>
              </w:tc>
              <w:tc>
                <w:tcPr>
                  <w:tcW w:w="1994" w:type="dxa"/>
                  <w:noWrap w:val="0"/>
                  <w:vAlign w:val="center"/>
                </w:tcPr>
                <w:p w14:paraId="70E16355">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169904</w:t>
                  </w:r>
                </w:p>
              </w:tc>
            </w:tr>
            <w:tr w14:paraId="3928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14:paraId="62FA27F9">
                  <w:pPr>
                    <w:pStyle w:val="22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highlight w:val="none"/>
                      <w:lang w:eastAsia="zh-CN"/>
                    </w:rPr>
                    <w:t>鱼仔（</w:t>
                  </w:r>
                  <w:r>
                    <w:rPr>
                      <w:rFonts w:hint="default" w:ascii="Times New Roman" w:hAnsi="Times New Roman" w:eastAsia="宋体" w:cs="Times New Roman"/>
                      <w:color w:val="auto"/>
                      <w:sz w:val="21"/>
                      <w:szCs w:val="21"/>
                      <w:highlight w:val="none"/>
                      <w:u w:val="none"/>
                      <w:shd w:val="clear" w:color="auto" w:fill="auto"/>
                    </w:rPr>
                    <w:t>×10</w:t>
                  </w:r>
                  <w:r>
                    <w:rPr>
                      <w:rFonts w:hint="eastAsia" w:ascii="Times New Roman" w:hAnsi="Times New Roman" w:eastAsia="宋体" w:cs="Times New Roman"/>
                      <w:color w:val="auto"/>
                      <w:sz w:val="21"/>
                      <w:szCs w:val="21"/>
                      <w:highlight w:val="none"/>
                      <w:u w:val="none"/>
                      <w:shd w:val="clear" w:color="auto" w:fill="auto"/>
                      <w:vertAlign w:val="superscript"/>
                      <w:lang w:val="en-US" w:eastAsia="zh-CN"/>
                    </w:rPr>
                    <w:t>6</w:t>
                  </w:r>
                  <w:r>
                    <w:rPr>
                      <w:rFonts w:hint="default" w:ascii="Times New Roman" w:hAnsi="Times New Roman" w:eastAsia="宋体" w:cs="Times New Roman"/>
                      <w:color w:val="auto"/>
                      <w:sz w:val="21"/>
                      <w:szCs w:val="21"/>
                      <w:highlight w:val="none"/>
                      <w:lang w:val="en-US" w:eastAsia="zh-CN"/>
                    </w:rPr>
                    <w:t>尾</w:t>
                  </w:r>
                  <w:r>
                    <w:rPr>
                      <w:rFonts w:hint="default" w:ascii="Times New Roman" w:hAnsi="Times New Roman" w:cs="Times New Roman"/>
                      <w:color w:val="auto"/>
                      <w:highlight w:val="none"/>
                      <w:lang w:eastAsia="zh-CN"/>
                    </w:rPr>
                    <w:t>）</w:t>
                  </w:r>
                </w:p>
              </w:tc>
              <w:tc>
                <w:tcPr>
                  <w:tcW w:w="1250" w:type="pct"/>
                  <w:noWrap w:val="0"/>
                  <w:vAlign w:val="center"/>
                </w:tcPr>
                <w:p w14:paraId="26CEBC50">
                  <w:pPr>
                    <w:spacing w:line="36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w:t>
                  </w:r>
                </w:p>
              </w:tc>
              <w:tc>
                <w:tcPr>
                  <w:tcW w:w="1250" w:type="pct"/>
                  <w:noWrap w:val="0"/>
                  <w:vAlign w:val="center"/>
                </w:tcPr>
                <w:p w14:paraId="7D417117">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430064</w:t>
                  </w:r>
                </w:p>
              </w:tc>
              <w:tc>
                <w:tcPr>
                  <w:tcW w:w="1994" w:type="dxa"/>
                  <w:noWrap w:val="0"/>
                  <w:vAlign w:val="center"/>
                </w:tcPr>
                <w:p w14:paraId="0207AF8B">
                  <w:pPr>
                    <w:pStyle w:val="19"/>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430064</w:t>
                  </w:r>
                </w:p>
              </w:tc>
            </w:tr>
          </w:tbl>
          <w:p w14:paraId="71351413">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④海洋生物资源直接经济损失</w:t>
            </w:r>
          </w:p>
          <w:p w14:paraId="662B9E8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w:t>
            </w:r>
            <w:r>
              <w:rPr>
                <w:rFonts w:hint="eastAsia" w:ascii="宋体" w:hAnsi="Courier New" w:eastAsia="宋体" w:cs="Times New Roman"/>
                <w:color w:val="auto"/>
                <w:sz w:val="24"/>
                <w:szCs w:val="24"/>
                <w:highlight w:val="none"/>
                <w:lang w:val="en-US" w:eastAsia="zh-CN"/>
              </w:rPr>
              <w:t>鱼卵、仔稚鱼经济损失计算</w:t>
            </w:r>
          </w:p>
          <w:p w14:paraId="712EF18A">
            <w:pPr>
              <w:pStyle w:val="19"/>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鱼卵、仔稚鱼的经济价值应折算成鱼苗进行计算。鱼卵、仔稚鱼的经济价值按以下公式计算：</w:t>
            </w:r>
          </w:p>
          <w:p w14:paraId="3127F23A">
            <w:pPr>
              <w:keepNext w:val="0"/>
              <w:keepLines w:val="0"/>
              <w:widowControl/>
              <w:suppressLineNumbers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M=W×P×E</w:t>
            </w:r>
          </w:p>
          <w:p w14:paraId="3D7A77D3">
            <w:pPr>
              <w:pStyle w:val="19"/>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式中：</w:t>
            </w:r>
          </w:p>
          <w:p w14:paraId="65355279">
            <w:pPr>
              <w:pStyle w:val="19"/>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M——鱼卵和仔稚鱼经济损失金额，元； </w:t>
            </w:r>
          </w:p>
          <w:p w14:paraId="728E51CE">
            <w:pPr>
              <w:pStyle w:val="19"/>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W——鱼卵和仔稚鱼损失量；千克（kg）；</w:t>
            </w:r>
          </w:p>
          <w:p w14:paraId="64945490">
            <w:pPr>
              <w:pStyle w:val="19"/>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P——鱼卵和仔稚鱼折算为鱼苗的换算比例，鱼卵生长到商品鱼苗按1%成活率计算，仔稚鱼生长到商品鱼苗按5%成活率计算，单位为百分比（%）；</w:t>
            </w:r>
          </w:p>
          <w:p w14:paraId="50F77B0F">
            <w:pPr>
              <w:pStyle w:val="19"/>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E——鱼苗的商品价格，根据调查和询问物价部门得知商品鱼苗的平均价格按1.6元/尾计，元/kg；</w:t>
            </w:r>
          </w:p>
          <w:p w14:paraId="01299F5C">
            <w:pPr>
              <w:pStyle w:val="19"/>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B.补偿年限</w:t>
            </w:r>
          </w:p>
          <w:p w14:paraId="2CFC3B79">
            <w:pPr>
              <w:pStyle w:val="19"/>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根据《建设项目对海洋生物资源影响评价技术规程》（SC/T9110-2007）：</w:t>
            </w:r>
          </w:p>
          <w:p w14:paraId="5950BB54">
            <w:pPr>
              <w:pStyle w:val="19"/>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Ⅰ占用渔业水域的生物资源损害补偿，占用年限低于3年的，按3年补偿；占用年限3~20年的，按实际占用年限补偿；占用年限20年以上的，按不低于20年补偿。</w:t>
            </w:r>
          </w:p>
          <w:p w14:paraId="048CFED4">
            <w:pPr>
              <w:pStyle w:val="19"/>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Ⅱ一次性生物资源的损害补偿为一次性损害额的3倍。</w:t>
            </w:r>
          </w:p>
          <w:p w14:paraId="77BEF69C">
            <w:pPr>
              <w:pStyle w:val="19"/>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Ⅲ持续性生物资源损害的补偿，实际影响年限低于3年的，按3年补偿；实际影响年限3~20年的，按实际占用年限补偿；实际影响年限20年以上的，按不低于20年补偿。本工程实际影响年限低于3年，本次生态补偿按3年计。</w:t>
            </w:r>
          </w:p>
          <w:p w14:paraId="67CED6A6">
            <w:pPr>
              <w:pStyle w:val="19"/>
              <w:numPr>
                <w:ilvl w:val="0"/>
                <w:numId w:val="19"/>
              </w:num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海洋生物资源补偿计算</w:t>
            </w:r>
          </w:p>
          <w:p w14:paraId="29F83C44">
            <w:pPr>
              <w:pStyle w:val="19"/>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程建设阶段造成浮游动物、鱼卵、仔鱼、成鱼损失及底栖生物的价值如下表所示。鱼卵和仔稚鱼折算为鱼苗进行价值评估，按照《建设项目对海洋生物资源影响评价技术规程》（SC/T9110-2007），鱼卵生长到商品鱼苗按照1%成活率计算，仔稚鱼生长到商品鱼按5%成活率计算，浮游动物损失量按照营养级十分之一转化定律换算为渔业资源。参照《2024中国渔业统计年鉴》：2023年广西海洋捕捞经济总产值924076万元和海洋捕捞总产量475555吨，计算得出海洋水产品单价约1.94万元/t，因此，本报告对海洋生物等造成损失的货币化评估的单价均采用1.94万元/t。</w:t>
            </w:r>
          </w:p>
          <w:p w14:paraId="53197F04">
            <w:pPr>
              <w:pStyle w:val="218"/>
              <w:numPr>
                <w:ilvl w:val="0"/>
                <w:numId w:val="0"/>
              </w:numPr>
              <w:tabs>
                <w:tab w:val="left" w:pos="0"/>
              </w:tabs>
              <w:ind w:left="442"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表4.1-</w:t>
            </w:r>
            <w:r>
              <w:rPr>
                <w:rFonts w:hint="eastAsia" w:ascii="Times New Roman" w:hAnsi="Times New Roman" w:eastAsia="宋体" w:cs="Times New Roman"/>
                <w:b w:val="0"/>
                <w:bCs w:val="0"/>
                <w:color w:val="auto"/>
                <w:kern w:val="2"/>
                <w:sz w:val="21"/>
                <w:szCs w:val="21"/>
                <w:highlight w:val="none"/>
                <w:lang w:val="en-US" w:eastAsia="zh-CN" w:bidi="ar-SA"/>
              </w:rPr>
              <w:t>11</w:t>
            </w:r>
            <w:r>
              <w:rPr>
                <w:rFonts w:hint="eastAsia" w:ascii="Times New Roman" w:hAnsi="Times New Roman" w:eastAsia="宋体" w:cs="Times New Roman"/>
                <w:b/>
                <w:bCs/>
                <w:color w:val="auto"/>
                <w:kern w:val="2"/>
                <w:sz w:val="21"/>
                <w:szCs w:val="21"/>
                <w:highlight w:val="none"/>
                <w:lang w:val="en-US" w:eastAsia="zh-CN" w:bidi="ar-SA"/>
              </w:rPr>
              <w:t>生物损失量及生态补偿金额</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922"/>
              <w:gridCol w:w="1008"/>
              <w:gridCol w:w="883"/>
              <w:gridCol w:w="1518"/>
              <w:gridCol w:w="1217"/>
              <w:gridCol w:w="1203"/>
            </w:tblGrid>
            <w:tr w14:paraId="2B52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noWrap w:val="0"/>
                  <w:vAlign w:val="center"/>
                </w:tcPr>
                <w:p w14:paraId="0D24DA97">
                  <w:pPr>
                    <w:pStyle w:val="19"/>
                    <w:numPr>
                      <w:ilvl w:val="0"/>
                      <w:numId w:val="0"/>
                    </w:num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工程类型</w:t>
                  </w:r>
                </w:p>
              </w:tc>
              <w:tc>
                <w:tcPr>
                  <w:tcW w:w="1136" w:type="pct"/>
                  <w:noWrap w:val="0"/>
                  <w:vAlign w:val="center"/>
                </w:tcPr>
                <w:p w14:paraId="764017B3">
                  <w:pPr>
                    <w:pStyle w:val="19"/>
                    <w:numPr>
                      <w:ilvl w:val="0"/>
                      <w:numId w:val="0"/>
                    </w:num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生物种类</w:t>
                  </w:r>
                </w:p>
              </w:tc>
              <w:tc>
                <w:tcPr>
                  <w:tcW w:w="596" w:type="pct"/>
                  <w:noWrap w:val="0"/>
                  <w:vAlign w:val="center"/>
                </w:tcPr>
                <w:p w14:paraId="61909E53">
                  <w:pPr>
                    <w:pStyle w:val="19"/>
                    <w:numPr>
                      <w:ilvl w:val="0"/>
                      <w:numId w:val="0"/>
                    </w:num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损失量</w:t>
                  </w:r>
                </w:p>
              </w:tc>
              <w:tc>
                <w:tcPr>
                  <w:tcW w:w="522" w:type="pct"/>
                  <w:noWrap w:val="0"/>
                  <w:vAlign w:val="center"/>
                </w:tcPr>
                <w:p w14:paraId="4648DEA2">
                  <w:pPr>
                    <w:pStyle w:val="19"/>
                    <w:numPr>
                      <w:ilvl w:val="0"/>
                      <w:numId w:val="0"/>
                    </w:num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转换系数</w:t>
                  </w:r>
                </w:p>
              </w:tc>
              <w:tc>
                <w:tcPr>
                  <w:tcW w:w="897" w:type="pct"/>
                  <w:noWrap w:val="0"/>
                  <w:vAlign w:val="center"/>
                </w:tcPr>
                <w:p w14:paraId="495FDE18">
                  <w:pPr>
                    <w:pStyle w:val="19"/>
                    <w:numPr>
                      <w:ilvl w:val="0"/>
                      <w:numId w:val="0"/>
                    </w:num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单价</w:t>
                  </w:r>
                </w:p>
              </w:tc>
              <w:tc>
                <w:tcPr>
                  <w:tcW w:w="717" w:type="pct"/>
                  <w:noWrap w:val="0"/>
                  <w:vAlign w:val="center"/>
                </w:tcPr>
                <w:p w14:paraId="41ABF427">
                  <w:pPr>
                    <w:pStyle w:val="19"/>
                    <w:numPr>
                      <w:ilvl w:val="0"/>
                      <w:numId w:val="0"/>
                    </w:num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补偿年限/倍</w:t>
                  </w:r>
                </w:p>
              </w:tc>
              <w:tc>
                <w:tcPr>
                  <w:tcW w:w="711" w:type="pct"/>
                  <w:noWrap w:val="0"/>
                  <w:vAlign w:val="center"/>
                </w:tcPr>
                <w:p w14:paraId="0A4EF91D">
                  <w:pPr>
                    <w:pStyle w:val="19"/>
                    <w:numPr>
                      <w:ilvl w:val="0"/>
                      <w:numId w:val="0"/>
                    </w:numPr>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补偿金额（万元）</w:t>
                  </w:r>
                </w:p>
              </w:tc>
            </w:tr>
            <w:tr w14:paraId="378E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Merge w:val="restart"/>
                  <w:noWrap w:val="0"/>
                  <w:vAlign w:val="center"/>
                </w:tcPr>
                <w:p w14:paraId="718DCB40">
                  <w:pPr>
                    <w:pStyle w:val="19"/>
                    <w:numPr>
                      <w:ilvl w:val="0"/>
                      <w:numId w:val="0"/>
                    </w:numPr>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疏浚施工</w:t>
                  </w:r>
                </w:p>
              </w:tc>
              <w:tc>
                <w:tcPr>
                  <w:tcW w:w="1136" w:type="pct"/>
                  <w:noWrap w:val="0"/>
                  <w:vAlign w:val="center"/>
                </w:tcPr>
                <w:p w14:paraId="53D0B6AB">
                  <w:pPr>
                    <w:pStyle w:val="19"/>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底栖生物（t）</w:t>
                  </w:r>
                </w:p>
              </w:tc>
              <w:tc>
                <w:tcPr>
                  <w:tcW w:w="596" w:type="pct"/>
                  <w:noWrap w:val="0"/>
                  <w:vAlign w:val="center"/>
                </w:tcPr>
                <w:p w14:paraId="1376A283">
                  <w:pPr>
                    <w:pStyle w:val="19"/>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0.245</w:t>
                  </w:r>
                </w:p>
              </w:tc>
              <w:tc>
                <w:tcPr>
                  <w:tcW w:w="522" w:type="pct"/>
                  <w:noWrap w:val="0"/>
                  <w:vAlign w:val="center"/>
                </w:tcPr>
                <w:p w14:paraId="40E0968D">
                  <w:pPr>
                    <w:pStyle w:val="19"/>
                    <w:numPr>
                      <w:ilvl w:val="0"/>
                      <w:numId w:val="0"/>
                    </w:numPr>
                    <w:spacing w:line="36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97" w:type="pct"/>
                  <w:noWrap w:val="0"/>
                  <w:vAlign w:val="center"/>
                </w:tcPr>
                <w:p w14:paraId="1498CDA6">
                  <w:pPr>
                    <w:pStyle w:val="19"/>
                    <w:numPr>
                      <w:ilvl w:val="0"/>
                      <w:numId w:val="0"/>
                    </w:numPr>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1.9</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万元/t</w:t>
                  </w:r>
                </w:p>
              </w:tc>
              <w:tc>
                <w:tcPr>
                  <w:tcW w:w="717" w:type="pct"/>
                  <w:vMerge w:val="restart"/>
                  <w:noWrap w:val="0"/>
                  <w:vAlign w:val="center"/>
                </w:tcPr>
                <w:p w14:paraId="76804052">
                  <w:pPr>
                    <w:pStyle w:val="19"/>
                    <w:numPr>
                      <w:ilvl w:val="0"/>
                      <w:numId w:val="0"/>
                    </w:numPr>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1134" w:type="dxa"/>
                  <w:noWrap w:val="0"/>
                  <w:vAlign w:val="center"/>
                </w:tcPr>
                <w:p w14:paraId="351B36A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1.42</w:t>
                  </w:r>
                </w:p>
              </w:tc>
            </w:tr>
            <w:tr w14:paraId="1D4E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Merge w:val="continue"/>
                  <w:noWrap w:val="0"/>
                  <w:vAlign w:val="center"/>
                </w:tcPr>
                <w:p w14:paraId="3DF78558">
                  <w:pPr>
                    <w:pStyle w:val="19"/>
                    <w:numPr>
                      <w:ilvl w:val="0"/>
                      <w:numId w:val="0"/>
                    </w:numPr>
                    <w:spacing w:line="36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1136" w:type="pct"/>
                  <w:noWrap w:val="0"/>
                  <w:vAlign w:val="center"/>
                </w:tcPr>
                <w:p w14:paraId="4726484A">
                  <w:pPr>
                    <w:pStyle w:val="22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浮游动物（</w:t>
                  </w:r>
                  <w:r>
                    <w:rPr>
                      <w:rFonts w:hint="default" w:ascii="Times New Roman" w:hAnsi="Times New Roman" w:eastAsia="宋体" w:cs="Times New Roman"/>
                      <w:color w:val="auto"/>
                      <w:sz w:val="21"/>
                      <w:szCs w:val="21"/>
                      <w:highlight w:val="none"/>
                      <w:vertAlign w:val="baseline"/>
                      <w:lang w:val="en-US" w:eastAsia="zh-CN"/>
                    </w:rPr>
                    <w:t>t</w:t>
                  </w:r>
                  <w:r>
                    <w:rPr>
                      <w:rFonts w:hint="default" w:ascii="Times New Roman" w:hAnsi="Times New Roman" w:eastAsia="宋体" w:cs="Times New Roman"/>
                      <w:color w:val="auto"/>
                      <w:sz w:val="21"/>
                      <w:szCs w:val="21"/>
                      <w:highlight w:val="none"/>
                      <w:lang w:eastAsia="zh-CN"/>
                    </w:rPr>
                    <w:t>）</w:t>
                  </w:r>
                </w:p>
              </w:tc>
              <w:tc>
                <w:tcPr>
                  <w:tcW w:w="596" w:type="pct"/>
                  <w:noWrap w:val="0"/>
                  <w:vAlign w:val="center"/>
                </w:tcPr>
                <w:p w14:paraId="14496694">
                  <w:pPr>
                    <w:pStyle w:val="19"/>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0.542</w:t>
                  </w:r>
                </w:p>
              </w:tc>
              <w:tc>
                <w:tcPr>
                  <w:tcW w:w="522" w:type="pct"/>
                  <w:noWrap w:val="0"/>
                  <w:vAlign w:val="center"/>
                </w:tcPr>
                <w:p w14:paraId="667FECAC">
                  <w:pPr>
                    <w:pStyle w:val="19"/>
                    <w:numPr>
                      <w:ilvl w:val="0"/>
                      <w:numId w:val="0"/>
                    </w:numPr>
                    <w:spacing w:line="36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w:t>
                  </w:r>
                </w:p>
              </w:tc>
              <w:tc>
                <w:tcPr>
                  <w:tcW w:w="897" w:type="pct"/>
                  <w:noWrap w:val="0"/>
                  <w:vAlign w:val="center"/>
                </w:tcPr>
                <w:p w14:paraId="357A6A83">
                  <w:pPr>
                    <w:pStyle w:val="19"/>
                    <w:numPr>
                      <w:ilvl w:val="0"/>
                      <w:numId w:val="0"/>
                    </w:numPr>
                    <w:spacing w:line="36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1.94万元/t</w:t>
                  </w:r>
                </w:p>
              </w:tc>
              <w:tc>
                <w:tcPr>
                  <w:tcW w:w="717" w:type="pct"/>
                  <w:vMerge w:val="continue"/>
                  <w:noWrap w:val="0"/>
                  <w:vAlign w:val="center"/>
                </w:tcPr>
                <w:p w14:paraId="016DA929">
                  <w:pPr>
                    <w:pStyle w:val="19"/>
                    <w:numPr>
                      <w:ilvl w:val="0"/>
                      <w:numId w:val="0"/>
                    </w:numPr>
                    <w:spacing w:line="36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1134" w:type="dxa"/>
                  <w:noWrap w:val="0"/>
                  <w:vAlign w:val="center"/>
                </w:tcPr>
                <w:p w14:paraId="0FE0C87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0.32</w:t>
                  </w:r>
                </w:p>
              </w:tc>
            </w:tr>
            <w:tr w14:paraId="0C24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Merge w:val="continue"/>
                  <w:noWrap w:val="0"/>
                  <w:vAlign w:val="center"/>
                </w:tcPr>
                <w:p w14:paraId="1629675D">
                  <w:pPr>
                    <w:pStyle w:val="19"/>
                    <w:numPr>
                      <w:ilvl w:val="0"/>
                      <w:numId w:val="0"/>
                    </w:numPr>
                    <w:spacing w:line="36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1136" w:type="pct"/>
                  <w:noWrap w:val="0"/>
                  <w:vAlign w:val="center"/>
                </w:tcPr>
                <w:p w14:paraId="7B9EF0DE">
                  <w:pPr>
                    <w:pStyle w:val="22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鱼卵（</w:t>
                  </w:r>
                  <w:r>
                    <w:rPr>
                      <w:rFonts w:hint="default" w:ascii="Times New Roman" w:hAnsi="Times New Roman" w:eastAsia="宋体" w:cs="Times New Roman"/>
                      <w:color w:val="auto"/>
                      <w:sz w:val="21"/>
                      <w:szCs w:val="21"/>
                      <w:highlight w:val="none"/>
                      <w:lang w:val="en-US" w:eastAsia="zh-CN"/>
                    </w:rPr>
                    <w:t>粒</w:t>
                  </w:r>
                  <w:r>
                    <w:rPr>
                      <w:rFonts w:hint="default" w:ascii="Times New Roman" w:hAnsi="Times New Roman" w:eastAsia="宋体" w:cs="Times New Roman"/>
                      <w:color w:val="auto"/>
                      <w:sz w:val="21"/>
                      <w:szCs w:val="21"/>
                      <w:highlight w:val="none"/>
                      <w:lang w:eastAsia="zh-CN"/>
                    </w:rPr>
                    <w:t>）</w:t>
                  </w:r>
                </w:p>
              </w:tc>
              <w:tc>
                <w:tcPr>
                  <w:tcW w:w="951" w:type="dxa"/>
                  <w:noWrap w:val="0"/>
                  <w:vAlign w:val="center"/>
                </w:tcPr>
                <w:p w14:paraId="0AEBC481">
                  <w:pPr>
                    <w:pStyle w:val="19"/>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169904</w:t>
                  </w:r>
                </w:p>
              </w:tc>
              <w:tc>
                <w:tcPr>
                  <w:tcW w:w="522" w:type="pct"/>
                  <w:noWrap w:val="0"/>
                  <w:vAlign w:val="center"/>
                </w:tcPr>
                <w:p w14:paraId="08082F68">
                  <w:pPr>
                    <w:pStyle w:val="19"/>
                    <w:numPr>
                      <w:ilvl w:val="0"/>
                      <w:numId w:val="0"/>
                    </w:numPr>
                    <w:spacing w:line="36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0.01</w:t>
                  </w:r>
                </w:p>
              </w:tc>
              <w:tc>
                <w:tcPr>
                  <w:tcW w:w="897" w:type="pct"/>
                  <w:noWrap w:val="0"/>
                  <w:vAlign w:val="center"/>
                </w:tcPr>
                <w:p w14:paraId="0F1808E6">
                  <w:pPr>
                    <w:pStyle w:val="19"/>
                    <w:numPr>
                      <w:ilvl w:val="0"/>
                      <w:numId w:val="0"/>
                    </w:numPr>
                    <w:spacing w:line="36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1.6元/尾</w:t>
                  </w:r>
                </w:p>
              </w:tc>
              <w:tc>
                <w:tcPr>
                  <w:tcW w:w="717" w:type="pct"/>
                  <w:vMerge w:val="continue"/>
                  <w:noWrap w:val="0"/>
                  <w:vAlign w:val="center"/>
                </w:tcPr>
                <w:p w14:paraId="0499676E">
                  <w:pPr>
                    <w:pStyle w:val="19"/>
                    <w:numPr>
                      <w:ilvl w:val="0"/>
                      <w:numId w:val="0"/>
                    </w:numPr>
                    <w:spacing w:line="36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1134" w:type="dxa"/>
                  <w:noWrap w:val="0"/>
                  <w:vAlign w:val="center"/>
                </w:tcPr>
                <w:p w14:paraId="01D345B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0.82</w:t>
                  </w:r>
                </w:p>
              </w:tc>
            </w:tr>
            <w:tr w14:paraId="450D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Merge w:val="continue"/>
                  <w:noWrap w:val="0"/>
                  <w:vAlign w:val="center"/>
                </w:tcPr>
                <w:p w14:paraId="099458F9">
                  <w:pPr>
                    <w:pStyle w:val="19"/>
                    <w:numPr>
                      <w:ilvl w:val="0"/>
                      <w:numId w:val="0"/>
                    </w:numPr>
                    <w:spacing w:line="36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1136" w:type="pct"/>
                  <w:noWrap w:val="0"/>
                  <w:vAlign w:val="center"/>
                </w:tcPr>
                <w:p w14:paraId="6D3C1277">
                  <w:pPr>
                    <w:pStyle w:val="19"/>
                    <w:numPr>
                      <w:ilvl w:val="0"/>
                      <w:numId w:val="0"/>
                    </w:numPr>
                    <w:spacing w:line="36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鱼仔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尾</w:t>
                  </w:r>
                  <w:r>
                    <w:rPr>
                      <w:rFonts w:hint="default" w:ascii="Times New Roman" w:hAnsi="Times New Roman" w:eastAsia="宋体" w:cs="Times New Roman"/>
                      <w:color w:val="auto"/>
                      <w:sz w:val="21"/>
                      <w:szCs w:val="21"/>
                      <w:highlight w:val="none"/>
                      <w:lang w:eastAsia="zh-CN"/>
                    </w:rPr>
                    <w:t>）</w:t>
                  </w:r>
                </w:p>
              </w:tc>
              <w:tc>
                <w:tcPr>
                  <w:tcW w:w="951" w:type="dxa"/>
                  <w:noWrap w:val="0"/>
                  <w:vAlign w:val="center"/>
                </w:tcPr>
                <w:p w14:paraId="647DC2B2">
                  <w:pPr>
                    <w:pStyle w:val="19"/>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430064</w:t>
                  </w:r>
                </w:p>
              </w:tc>
              <w:tc>
                <w:tcPr>
                  <w:tcW w:w="522" w:type="pct"/>
                  <w:noWrap w:val="0"/>
                  <w:vAlign w:val="center"/>
                </w:tcPr>
                <w:p w14:paraId="6ADD96EA">
                  <w:pPr>
                    <w:pStyle w:val="19"/>
                    <w:numPr>
                      <w:ilvl w:val="0"/>
                      <w:numId w:val="0"/>
                    </w:numPr>
                    <w:spacing w:line="36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0.05</w:t>
                  </w:r>
                </w:p>
              </w:tc>
              <w:tc>
                <w:tcPr>
                  <w:tcW w:w="897" w:type="pct"/>
                  <w:noWrap w:val="0"/>
                  <w:vAlign w:val="center"/>
                </w:tcPr>
                <w:p w14:paraId="3E199FE1">
                  <w:pPr>
                    <w:pStyle w:val="19"/>
                    <w:numPr>
                      <w:ilvl w:val="0"/>
                      <w:numId w:val="0"/>
                    </w:numPr>
                    <w:spacing w:line="36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1.6元/尾</w:t>
                  </w:r>
                </w:p>
              </w:tc>
              <w:tc>
                <w:tcPr>
                  <w:tcW w:w="717" w:type="pct"/>
                  <w:vMerge w:val="continue"/>
                  <w:noWrap w:val="0"/>
                  <w:vAlign w:val="center"/>
                </w:tcPr>
                <w:p w14:paraId="68E9F49E">
                  <w:pPr>
                    <w:pStyle w:val="19"/>
                    <w:numPr>
                      <w:ilvl w:val="0"/>
                      <w:numId w:val="0"/>
                    </w:numPr>
                    <w:spacing w:line="36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1134" w:type="dxa"/>
                  <w:noWrap w:val="0"/>
                  <w:vAlign w:val="center"/>
                </w:tcPr>
                <w:p w14:paraId="68FC5CF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10.32</w:t>
                  </w:r>
                </w:p>
              </w:tc>
            </w:tr>
            <w:tr w14:paraId="7400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8" w:type="pct"/>
                  <w:gridSpan w:val="6"/>
                  <w:noWrap w:val="0"/>
                  <w:vAlign w:val="center"/>
                </w:tcPr>
                <w:p w14:paraId="13E92C62">
                  <w:pPr>
                    <w:pStyle w:val="19"/>
                    <w:numPr>
                      <w:ilvl w:val="0"/>
                      <w:numId w:val="0"/>
                    </w:numPr>
                    <w:spacing w:line="36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合计</w:t>
                  </w:r>
                </w:p>
              </w:tc>
              <w:tc>
                <w:tcPr>
                  <w:tcW w:w="711" w:type="pct"/>
                  <w:noWrap w:val="0"/>
                  <w:vAlign w:val="center"/>
                </w:tcPr>
                <w:p w14:paraId="14811A94">
                  <w:pPr>
                    <w:pStyle w:val="19"/>
                    <w:numPr>
                      <w:ilvl w:val="0"/>
                      <w:numId w:val="0"/>
                    </w:numPr>
                    <w:spacing w:line="36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12.88</w:t>
                  </w:r>
                </w:p>
              </w:tc>
            </w:tr>
          </w:tbl>
          <w:p w14:paraId="339E948D">
            <w:pPr>
              <w:pStyle w:val="19"/>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建设单位需投入生态补偿金额共计</w:t>
            </w:r>
            <w:r>
              <w:rPr>
                <w:rFonts w:hint="eastAsia" w:ascii="Times New Roman" w:hAnsi="Times New Roman" w:eastAsia="宋体" w:cs="Times New Roman"/>
                <w:color w:val="auto"/>
                <w:sz w:val="24"/>
                <w:szCs w:val="24"/>
                <w:highlight w:val="none"/>
                <w:lang w:val="en-US" w:eastAsia="zh-CN"/>
              </w:rPr>
              <w:t>12.88</w:t>
            </w:r>
            <w:r>
              <w:rPr>
                <w:rFonts w:hint="eastAsia" w:ascii="宋体" w:hAnsi="Courier New" w:eastAsia="宋体" w:cs="Times New Roman"/>
                <w:color w:val="auto"/>
                <w:sz w:val="24"/>
                <w:szCs w:val="24"/>
                <w:highlight w:val="none"/>
                <w:lang w:val="en-US" w:eastAsia="zh-CN"/>
              </w:rPr>
              <w:t>万元。补偿经费全部用于生态修复，并列入工程环境保护资源预算。</w:t>
            </w:r>
          </w:p>
          <w:p w14:paraId="67FFCF7E">
            <w:pPr>
              <w:pStyle w:val="19"/>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综上，施工期产生的生态环境影响主要为疏浚对底栖生物、游泳生物、鱼卵、仔稚鱼等生物的影响；随着施工期结束，生态影响可逐渐恢复，结合增殖放流等生态恢复措施，项目施工期造成的生态影响是可控的。</w:t>
            </w:r>
          </w:p>
          <w:p w14:paraId="490CDA42">
            <w:pPr>
              <w:numPr>
                <w:ilvl w:val="0"/>
                <w:numId w:val="17"/>
              </w:numPr>
              <w:spacing w:line="360" w:lineRule="auto"/>
              <w:ind w:left="0" w:leftChars="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生态系统服务功能价值</w:t>
            </w:r>
          </w:p>
          <w:p w14:paraId="11D1E166">
            <w:pPr>
              <w:pStyle w:val="19"/>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根据《海洋生态资本评估技术导则》（</w:t>
            </w:r>
            <w:r>
              <w:rPr>
                <w:rFonts w:hint="default" w:ascii="宋体" w:hAnsi="Courier New" w:eastAsia="宋体" w:cs="Times New Roman"/>
                <w:color w:val="auto"/>
                <w:sz w:val="24"/>
                <w:szCs w:val="24"/>
                <w:highlight w:val="none"/>
                <w:lang w:val="en-US" w:eastAsia="zh-CN"/>
              </w:rPr>
              <w:t>GB/T28058-2011</w:t>
            </w:r>
            <w:r>
              <w:rPr>
                <w:rFonts w:hint="eastAsia" w:ascii="宋体" w:hAnsi="Courier New" w:eastAsia="宋体" w:cs="Times New Roman"/>
                <w:color w:val="auto"/>
                <w:sz w:val="24"/>
                <w:szCs w:val="24"/>
                <w:highlight w:val="none"/>
                <w:lang w:val="en-US" w:eastAsia="zh-CN"/>
              </w:rPr>
              <w:t>），海洋生态系统服务功能包括海洋供给服务评估、海洋调节服务评估、海洋文化服务评估、海洋支持服务评估等</w:t>
            </w:r>
            <w:r>
              <w:rPr>
                <w:rFonts w:hint="default" w:ascii="宋体" w:hAnsi="Courier New" w:eastAsia="宋体" w:cs="Times New Roman"/>
                <w:color w:val="auto"/>
                <w:sz w:val="24"/>
                <w:szCs w:val="24"/>
                <w:highlight w:val="none"/>
                <w:lang w:val="en-US" w:eastAsia="zh-CN"/>
              </w:rPr>
              <w:t>4</w:t>
            </w:r>
            <w:r>
              <w:rPr>
                <w:rFonts w:hint="eastAsia" w:ascii="宋体" w:hAnsi="Courier New" w:eastAsia="宋体" w:cs="Times New Roman"/>
                <w:color w:val="auto"/>
                <w:sz w:val="24"/>
                <w:szCs w:val="24"/>
                <w:highlight w:val="none"/>
                <w:lang w:val="en-US" w:eastAsia="zh-CN"/>
              </w:rPr>
              <w:t>大类。本工程为码头回旋水域疏浚工程，不损害疏浚施工区域的海洋生态系统服务功能，故无生态系统服务功能价值损害。</w:t>
            </w:r>
          </w:p>
          <w:p w14:paraId="62A973BA">
            <w:pPr>
              <w:numPr>
                <w:ilvl w:val="0"/>
                <w:numId w:val="17"/>
              </w:numPr>
              <w:spacing w:line="360" w:lineRule="auto"/>
              <w:ind w:left="0" w:leftChars="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对海洋沉积物影响分析</w:t>
            </w:r>
          </w:p>
          <w:p w14:paraId="4A5B60A8">
            <w:pPr>
              <w:pStyle w:val="19"/>
              <w:spacing w:line="360" w:lineRule="auto"/>
              <w:ind w:firstLine="480"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项目停泊水域和回旋水域维护性疏浚将会改变项目施工范围内的沉积物环境。项目施工产生的悬浮物扩散和沉降也会对沉积物产生一定影响。根据悬浮物扩散预测，悬浮泥沙扩散浓度为10mg/L包络线面积为1.33km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，扩散范围限于工程区周边1.43km内，向南扩散到金鼓江江口附近水域。由数值模拟结果可知，超</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类海水水质标准的影响面积较小。此外，施工人员生活污水、船舶废水和固体废弃物等均得到妥善处理与处置，不排放入海</w:t>
            </w:r>
            <w:r>
              <w:rPr>
                <w:rFonts w:hint="eastAsia"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项目建设不会对周围的沉积物环境质量造成明显影响。</w:t>
            </w:r>
          </w:p>
          <w:p w14:paraId="361A6DE6">
            <w:pPr>
              <w:pStyle w:val="19"/>
              <w:numPr>
                <w:ilvl w:val="0"/>
                <w:numId w:val="17"/>
              </w:numPr>
              <w:spacing w:line="360" w:lineRule="auto"/>
              <w:ind w:left="0" w:leftChars="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对红树林的影响分析</w:t>
            </w:r>
          </w:p>
          <w:p w14:paraId="528EE6B1">
            <w:pPr>
              <w:spacing w:line="360" w:lineRule="auto"/>
              <w:ind w:firstLine="48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项目不占用红树林，根据悬浮物扩散预测结果，停泊水域和回旋水域同时施工时，悬浮泥沙扩散浓度为10mg/L包络线面积为1.33km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，扩散范围限于工程区周边1.43km内，向南扩散到金鼓江江口附近水域。</w:t>
            </w:r>
          </w:p>
          <w:p w14:paraId="10912B5F">
            <w:pPr>
              <w:spacing w:line="360" w:lineRule="auto"/>
              <w:ind w:firstLine="48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项目北面约3.5km处分布有金鼓江上游红树林分布区，距离10mg/L 悬浮泥沙的最大包络线约900m，项目最近的红树林位于项目所在岸线对岸的钦州湾沿岸浅滩零星的红树林资源，受船舶航行影响和潮汐水文影响，悬浮物扩散主要沿项目一侧的岸线扩散。</w:t>
            </w:r>
          </w:p>
          <w:p w14:paraId="43CFD897">
            <w:pPr>
              <w:spacing w:line="360" w:lineRule="auto"/>
              <w:ind w:firstLine="48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有研究表明，被石油污染的红树植物表现出落叶增多、叶变黑和卷曲、叶失 绿以及气生根受损害等症状，其中落叶是逆境胁迫下最常见的反应。较高浓度的含油废水使秋茄植株出现叶柄皱褶、叶缘有褐红色斑点和叶色失绿等受害症状，且浓度越高症状出现的时间越早、受害个体越多。较高浓度的含油废水导致植株个体死亡，油处理浓度越高死亡个数越多。</w:t>
            </w:r>
            <w:r>
              <w:rPr>
                <w:rFonts w:hint="default" w:ascii="Times New Roman" w:hAnsi="Times New Roman" w:eastAsia="宋体" w:cs="Times New Roman"/>
                <w:color w:val="auto"/>
                <w:sz w:val="24"/>
                <w:highlight w:val="none"/>
                <w:lang w:val="en-US" w:eastAsia="zh-CN"/>
              </w:rPr>
              <w:t>50mg/L</w:t>
            </w:r>
            <w:r>
              <w:rPr>
                <w:rFonts w:hint="eastAsia" w:ascii="Times New Roman" w:hAnsi="Times New Roman" w:eastAsia="宋体" w:cs="Times New Roman"/>
                <w:color w:val="auto"/>
                <w:sz w:val="24"/>
                <w:highlight w:val="none"/>
                <w:lang w:val="en-US" w:eastAsia="zh-CN"/>
              </w:rPr>
              <w:t>浓度油处理可刺激植株生物量增长；</w:t>
            </w:r>
            <w:r>
              <w:rPr>
                <w:rFonts w:hint="default" w:ascii="Times New Roman" w:hAnsi="Times New Roman" w:eastAsia="宋体" w:cs="Times New Roman"/>
                <w:color w:val="auto"/>
                <w:sz w:val="24"/>
                <w:highlight w:val="none"/>
                <w:lang w:val="en-US" w:eastAsia="zh-CN"/>
              </w:rPr>
              <w:t>100mg/L</w:t>
            </w:r>
            <w:r>
              <w:rPr>
                <w:rFonts w:hint="eastAsia" w:ascii="Times New Roman" w:hAnsi="Times New Roman" w:eastAsia="宋体" w:cs="Times New Roman"/>
                <w:color w:val="auto"/>
                <w:sz w:val="24"/>
                <w:highlight w:val="none"/>
                <w:lang w:val="en-US" w:eastAsia="zh-CN"/>
              </w:rPr>
              <w:t>和</w:t>
            </w:r>
            <w:r>
              <w:rPr>
                <w:rFonts w:hint="default" w:ascii="Times New Roman" w:hAnsi="Times New Roman" w:eastAsia="宋体" w:cs="Times New Roman"/>
                <w:color w:val="auto"/>
                <w:sz w:val="24"/>
                <w:highlight w:val="none"/>
                <w:lang w:val="en-US" w:eastAsia="zh-CN"/>
              </w:rPr>
              <w:t>200mg/L</w:t>
            </w:r>
            <w:r>
              <w:rPr>
                <w:rFonts w:hint="eastAsia" w:ascii="Times New Roman" w:hAnsi="Times New Roman" w:eastAsia="宋体" w:cs="Times New Roman"/>
                <w:color w:val="auto"/>
                <w:sz w:val="24"/>
                <w:highlight w:val="none"/>
                <w:lang w:val="en-US" w:eastAsia="zh-CN"/>
              </w:rPr>
              <w:t>浓度油处理，植株生物量的增长未受到不良影响。而</w:t>
            </w:r>
            <w:r>
              <w:rPr>
                <w:rFonts w:hint="default" w:ascii="Times New Roman" w:hAnsi="Times New Roman" w:eastAsia="宋体" w:cs="Times New Roman"/>
                <w:color w:val="auto"/>
                <w:sz w:val="24"/>
                <w:highlight w:val="none"/>
                <w:lang w:val="en-US" w:eastAsia="zh-CN"/>
              </w:rPr>
              <w:t>400mg/L</w:t>
            </w:r>
            <w:r>
              <w:rPr>
                <w:rFonts w:hint="eastAsia" w:ascii="Times New Roman" w:hAnsi="Times New Roman" w:eastAsia="宋体" w:cs="Times New Roman"/>
                <w:color w:val="auto"/>
                <w:sz w:val="24"/>
                <w:highlight w:val="none"/>
                <w:lang w:val="en-US" w:eastAsia="zh-CN"/>
              </w:rPr>
              <w:t>和</w:t>
            </w:r>
            <w:r>
              <w:rPr>
                <w:rFonts w:hint="default" w:ascii="Times New Roman" w:hAnsi="Times New Roman" w:eastAsia="宋体" w:cs="Times New Roman"/>
                <w:color w:val="auto"/>
                <w:sz w:val="24"/>
                <w:highlight w:val="none"/>
                <w:lang w:val="en-US" w:eastAsia="zh-CN"/>
              </w:rPr>
              <w:t>800mg/L</w:t>
            </w:r>
            <w:r>
              <w:rPr>
                <w:rFonts w:hint="eastAsia" w:ascii="Times New Roman" w:hAnsi="Times New Roman" w:eastAsia="宋体" w:cs="Times New Roman"/>
                <w:color w:val="auto"/>
                <w:sz w:val="24"/>
                <w:highlight w:val="none"/>
                <w:lang w:val="en-US" w:eastAsia="zh-CN"/>
              </w:rPr>
              <w:t>浓度处理下植株生物量的增长受到了明显的抑制。</w:t>
            </w:r>
          </w:p>
          <w:p w14:paraId="41D21C29">
            <w:pPr>
              <w:spacing w:line="360" w:lineRule="auto"/>
              <w:ind w:firstLine="48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因此，对红树林生态生存影响较大的污染物主要是石油类。本工程施工作业期间，施工人员生活污水、船舶废水和固体废弃物等均得到妥善处理与处置，无含油污水排放入海，对周边红树林影响不大。</w:t>
            </w:r>
          </w:p>
          <w:p w14:paraId="36646C0B">
            <w:pPr>
              <w:pStyle w:val="19"/>
              <w:numPr>
                <w:ilvl w:val="0"/>
                <w:numId w:val="17"/>
              </w:numPr>
              <w:spacing w:line="360" w:lineRule="auto"/>
              <w:ind w:left="0" w:leftChars="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对自然保护区的影响分析</w:t>
            </w:r>
          </w:p>
          <w:p w14:paraId="5645A166">
            <w:pPr>
              <w:spacing w:line="360" w:lineRule="auto"/>
              <w:ind w:firstLine="48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项目不占用自然保护区，根据悬浮物扩散预测结果，停泊水域和回旋水域同时施工时，悬浮泥沙扩散浓度为10mg/L包络线面积为1.33km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扩散范围限于工程区周边1.43km内，向南扩散到金鼓江江口附近水域，距离项目最近的自然保护区为项目西北侧直线距离约5.5km处的广西茅尾海红树林自治区级自然保护区（七十二泾片），施工产生的悬浮物不进入自然保护区，对自然保护区影响不大。</w:t>
            </w:r>
          </w:p>
          <w:p w14:paraId="759177B9">
            <w:pPr>
              <w:pStyle w:val="19"/>
              <w:numPr>
                <w:ilvl w:val="0"/>
                <w:numId w:val="17"/>
              </w:numPr>
              <w:spacing w:line="360" w:lineRule="auto"/>
              <w:ind w:left="0" w:leftChars="0"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对生态红线的影响分析</w:t>
            </w:r>
          </w:p>
          <w:p w14:paraId="549E2543">
            <w:pPr>
              <w:spacing w:line="360" w:lineRule="auto"/>
              <w:ind w:firstLine="480"/>
              <w:rPr>
                <w:rFonts w:hint="eastAsia"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color w:val="auto"/>
                <w:sz w:val="24"/>
                <w:highlight w:val="none"/>
                <w:lang w:val="en-US" w:eastAsia="zh-CN"/>
              </w:rPr>
              <w:t>项目不占用生态红线，根据悬浮物扩散预测结果，停泊水域和回旋水域同时施工时，悬浮泥沙扩散浓度为10mg/L包络线面积为1.33km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，扩散范围限于工程区周边1.43km内，向南扩散到金鼓江江口附近水域，距离项目最近的生态红线为项目西北侧直线距离约5.5km处的</w:t>
            </w:r>
            <w:r>
              <w:rPr>
                <w:rFonts w:hint="eastAsia" w:ascii="Times New Roman" w:hAnsi="Times New Roman" w:eastAsia="宋体" w:cs="Times New Roman"/>
                <w:b w:val="0"/>
                <w:bCs w:val="0"/>
                <w:color w:val="auto"/>
                <w:kern w:val="0"/>
                <w:sz w:val="24"/>
                <w:szCs w:val="24"/>
                <w:highlight w:val="none"/>
                <w:lang w:val="en-US" w:eastAsia="zh-CN" w:bidi="ar"/>
              </w:rPr>
              <w:t>广西茅尾海红树林保护区限制类红线区，施工产生的悬浮物不进入生态红线，对生态红线影响不大。</w:t>
            </w:r>
          </w:p>
          <w:p w14:paraId="7AF805F7">
            <w:pPr>
              <w:pStyle w:val="19"/>
              <w:numPr>
                <w:ilvl w:val="0"/>
                <w:numId w:val="17"/>
              </w:numPr>
              <w:spacing w:line="360" w:lineRule="auto"/>
              <w:ind w:left="0" w:leftChars="0" w:firstLine="482" w:firstLineChars="200"/>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对旅游娱乐休闲区的影响分析</w:t>
            </w:r>
          </w:p>
          <w:p w14:paraId="25F36F6F">
            <w:pPr>
              <w:spacing w:line="360" w:lineRule="auto"/>
              <w:ind w:firstLine="48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不占用旅游休闲娱乐区，距离项目最近的旅游休闲娱乐区为西北侧6.8km的七十二泾旅游休闲娱乐区，项目运输物料的路线主要为金鼓江航道及东航道，施工船舶均不进入旅游区，不会对旅游区的视觉景观的协调性造成明显影响。</w:t>
            </w:r>
          </w:p>
          <w:p w14:paraId="0EB3A0B9">
            <w:pPr>
              <w:spacing w:line="360" w:lineRule="auto"/>
              <w:ind w:firstLine="48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根据悬浮物扩散预测结果悬浮泥沙扩散浓度为10mg/L包络线面积为1.33km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，扩散范围限于工程区周边1.43km内，向南扩散到金鼓江江口附近水域，不会对旅游区产生影响。</w:t>
            </w:r>
          </w:p>
          <w:p w14:paraId="49CBB4BE">
            <w:pPr>
              <w:pStyle w:val="19"/>
              <w:spacing w:line="360" w:lineRule="auto"/>
              <w:ind w:firstLine="562" w:firstLineChars="200"/>
              <w:rPr>
                <w:rFonts w:hint="eastAsia" w:ascii="宋体" w:hAnsi="Courier New" w:eastAsia="宋体" w:cs="Times New Roman"/>
                <w:b/>
                <w:bCs/>
                <w:color w:val="auto"/>
                <w:sz w:val="28"/>
                <w:szCs w:val="28"/>
                <w:highlight w:val="none"/>
              </w:rPr>
            </w:pPr>
            <w:r>
              <w:rPr>
                <w:rFonts w:hint="eastAsia" w:ascii="宋体" w:hAnsi="Courier New" w:eastAsia="宋体" w:cs="Times New Roman"/>
                <w:b/>
                <w:bCs/>
                <w:color w:val="auto"/>
                <w:sz w:val="28"/>
                <w:szCs w:val="28"/>
                <w:highlight w:val="none"/>
                <w:lang w:val="en-US" w:eastAsia="zh-CN"/>
              </w:rPr>
              <w:t>4.1.7</w:t>
            </w:r>
            <w:r>
              <w:rPr>
                <w:rFonts w:hint="eastAsia" w:ascii="宋体" w:hAnsi="Courier New" w:eastAsia="宋体" w:cs="Times New Roman"/>
                <w:b/>
                <w:bCs/>
                <w:color w:val="auto"/>
                <w:sz w:val="28"/>
                <w:szCs w:val="28"/>
                <w:highlight w:val="none"/>
              </w:rPr>
              <w:t>固体废物影响分析</w:t>
            </w:r>
          </w:p>
          <w:p w14:paraId="137DA490">
            <w:pPr>
              <w:pStyle w:val="19"/>
              <w:spacing w:line="360" w:lineRule="auto"/>
              <w:ind w:firstLine="480" w:firstLineChars="200"/>
              <w:rPr>
                <w:rFonts w:ascii="Times New Roman" w:hAnsi="Times New Roman"/>
                <w:color w:val="auto"/>
                <w:kern w:val="0"/>
                <w:sz w:val="24"/>
                <w:szCs w:val="24"/>
                <w:highlight w:val="none"/>
              </w:rPr>
            </w:pPr>
            <w:r>
              <w:rPr>
                <w:color w:val="auto"/>
                <w:sz w:val="24"/>
                <w:szCs w:val="24"/>
                <w:highlight w:val="none"/>
              </w:rPr>
              <w:t>施工期主要固体废物主要为</w:t>
            </w:r>
            <w:r>
              <w:rPr>
                <w:rFonts w:hint="eastAsia"/>
                <w:color w:val="auto"/>
                <w:sz w:val="24"/>
                <w:szCs w:val="24"/>
                <w:highlight w:val="none"/>
                <w:lang w:eastAsia="zh-CN"/>
              </w:rPr>
              <w:t>施工船舶生活垃圾、疏浚物</w:t>
            </w:r>
            <w:r>
              <w:rPr>
                <w:rFonts w:ascii="Times New Roman" w:hAnsi="Times New Roman"/>
                <w:color w:val="auto"/>
                <w:kern w:val="0"/>
                <w:sz w:val="24"/>
                <w:szCs w:val="24"/>
                <w:highlight w:val="none"/>
              </w:rPr>
              <w:t>。</w:t>
            </w:r>
          </w:p>
          <w:p w14:paraId="4C7B3372">
            <w:pPr>
              <w:spacing w:line="360" w:lineRule="auto"/>
              <w:ind w:left="480"/>
              <w:rPr>
                <w:rFonts w:hint="default" w:eastAsia="宋体"/>
                <w:color w:val="auto"/>
                <w:sz w:val="24"/>
                <w:highlight w:val="none"/>
                <w:lang w:val="en-US" w:eastAsia="zh-CN"/>
              </w:rPr>
            </w:pPr>
            <w:r>
              <w:rPr>
                <w:rFonts w:hint="eastAsia"/>
                <w:color w:val="auto"/>
                <w:sz w:val="24"/>
                <w:highlight w:val="none"/>
              </w:rPr>
              <w:t>（1）</w:t>
            </w:r>
            <w:r>
              <w:rPr>
                <w:rFonts w:hint="eastAsia"/>
                <w:color w:val="auto"/>
                <w:sz w:val="24"/>
                <w:highlight w:val="none"/>
                <w:lang w:eastAsia="zh-CN"/>
              </w:rPr>
              <w:t>施工船舶生活垃圾</w:t>
            </w:r>
          </w:p>
          <w:p w14:paraId="0C8587F5">
            <w:pPr>
              <w:spacing w:line="360" w:lineRule="auto"/>
              <w:ind w:firstLine="480"/>
              <w:rPr>
                <w:rFonts w:hint="eastAsia" w:ascii="宋体" w:hAnsi="宋体" w:cs="宋体"/>
                <w:color w:val="auto"/>
                <w:sz w:val="24"/>
                <w:highlight w:val="none"/>
              </w:rPr>
            </w:pPr>
            <w:r>
              <w:rPr>
                <w:rFonts w:hint="eastAsia"/>
                <w:color w:val="auto"/>
                <w:sz w:val="24"/>
                <w:highlight w:val="none"/>
              </w:rPr>
              <w:t>参照《水运工程环境保护设计规范》（JTS149-2018），施工船舶生活垃圾产生量按每人每日1.0kg计，高峰期总施工人员约</w:t>
            </w:r>
            <w:r>
              <w:rPr>
                <w:rFonts w:hint="eastAsia"/>
                <w:color w:val="auto"/>
                <w:sz w:val="24"/>
                <w:highlight w:val="none"/>
                <w:lang w:val="en-US" w:eastAsia="zh-CN"/>
              </w:rPr>
              <w:t>30</w:t>
            </w:r>
            <w:r>
              <w:rPr>
                <w:rFonts w:hint="eastAsia"/>
                <w:color w:val="auto"/>
                <w:sz w:val="24"/>
                <w:highlight w:val="none"/>
              </w:rPr>
              <w:t>人，则施工高峰期施工船舶生活垃圾产生量为30kg/</w:t>
            </w:r>
            <w:r>
              <w:rPr>
                <w:rFonts w:hint="eastAsia"/>
                <w:color w:val="auto"/>
                <w:sz w:val="24"/>
                <w:highlight w:val="none"/>
                <w:lang w:val="en-US" w:eastAsia="zh-CN"/>
              </w:rPr>
              <w:t>d</w:t>
            </w:r>
            <w:r>
              <w:rPr>
                <w:rFonts w:hint="eastAsia"/>
                <w:color w:val="auto"/>
                <w:sz w:val="24"/>
                <w:highlight w:val="none"/>
              </w:rPr>
              <w:t>。施工船舶生活垃圾定期接收至岸上，交由环</w:t>
            </w:r>
            <w:r>
              <w:rPr>
                <w:rFonts w:hint="eastAsia" w:ascii="Times New Roman" w:hAnsi="Times New Roman" w:eastAsia="宋体" w:cs="Times New Roman"/>
                <w:color w:val="auto"/>
                <w:sz w:val="24"/>
                <w:highlight w:val="none"/>
              </w:rPr>
              <w:t>卫</w:t>
            </w:r>
            <w:r>
              <w:rPr>
                <w:rFonts w:hint="eastAsia"/>
                <w:color w:val="auto"/>
                <w:sz w:val="24"/>
                <w:highlight w:val="none"/>
              </w:rPr>
              <w:t>部门接收处理，禁止</w:t>
            </w:r>
            <w:r>
              <w:rPr>
                <w:rFonts w:hint="eastAsia"/>
                <w:color w:val="auto"/>
                <w:sz w:val="24"/>
                <w:highlight w:val="none"/>
                <w:lang w:eastAsia="zh-CN"/>
              </w:rPr>
              <w:t>将</w:t>
            </w:r>
            <w:r>
              <w:rPr>
                <w:rFonts w:hint="eastAsia"/>
                <w:color w:val="auto"/>
                <w:sz w:val="24"/>
                <w:highlight w:val="none"/>
              </w:rPr>
              <w:t>生活垃圾扔入海域</w:t>
            </w:r>
            <w:r>
              <w:rPr>
                <w:color w:val="auto"/>
                <w:sz w:val="24"/>
                <w:highlight w:val="none"/>
              </w:rPr>
              <w:t>。</w:t>
            </w:r>
          </w:p>
          <w:p w14:paraId="7A821195">
            <w:pPr>
              <w:spacing w:line="360" w:lineRule="auto"/>
              <w:ind w:firstLine="48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eastAsia="zh-CN"/>
              </w:rPr>
              <w:t>）疏浚物</w:t>
            </w:r>
          </w:p>
          <w:p w14:paraId="638007B7">
            <w:pPr>
              <w:widowControl/>
              <w:spacing w:line="360" w:lineRule="auto"/>
              <w:ind w:firstLine="480" w:firstLineChars="200"/>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lang w:eastAsia="zh-CN"/>
              </w:rPr>
              <w:t>本项目疏浚土产生量约</w:t>
            </w:r>
            <w:r>
              <w:rPr>
                <w:rFonts w:hint="eastAsia" w:ascii="Times New Roman" w:hAnsi="Times New Roman" w:eastAsia="宋体" w:cs="Times New Roman"/>
                <w:color w:val="auto"/>
                <w:sz w:val="24"/>
                <w:highlight w:val="none"/>
                <w:lang w:val="en-US" w:eastAsia="zh-CN"/>
              </w:rPr>
              <w:t>1.9万m</w:t>
            </w:r>
            <w:r>
              <w:rPr>
                <w:rFonts w:hint="eastAsia" w:ascii="Times New Roman" w:hAnsi="Times New Roman" w:eastAsia="宋体" w:cs="Times New Roman"/>
                <w:color w:val="auto"/>
                <w:sz w:val="24"/>
                <w:highlight w:val="none"/>
                <w:vertAlign w:val="superscript"/>
                <w:lang w:val="en-US" w:eastAsia="zh-CN"/>
              </w:rPr>
              <w:t>3</w:t>
            </w:r>
            <w:r>
              <w:rPr>
                <w:rFonts w:hint="eastAsia"/>
                <w:color w:val="auto"/>
                <w:sz w:val="24"/>
                <w:highlight w:val="none"/>
              </w:rPr>
              <w:t>，</w:t>
            </w:r>
            <w:r>
              <w:rPr>
                <w:rFonts w:hint="eastAsia"/>
                <w:color w:val="auto"/>
                <w:sz w:val="24"/>
                <w:highlight w:val="none"/>
                <w:lang w:eastAsia="zh-CN"/>
              </w:rPr>
              <w:t>其中淤泥类土</w:t>
            </w:r>
            <w:r>
              <w:rPr>
                <w:rFonts w:hint="eastAsia"/>
                <w:color w:val="auto"/>
                <w:sz w:val="24"/>
                <w:highlight w:val="none"/>
                <w:lang w:val="en-US" w:eastAsia="zh-CN"/>
              </w:rPr>
              <w:t>1.71万</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（占比90%），砂类土0.19万m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（占比10.0%），</w:t>
            </w:r>
            <w:r>
              <w:rPr>
                <w:rFonts w:hint="eastAsia" w:ascii="Times New Roman" w:hAnsi="Times New Roman" w:eastAsia="宋体" w:cs="Times New Roman"/>
                <w:color w:val="auto"/>
                <w:sz w:val="24"/>
                <w:highlight w:val="none"/>
                <w:u w:val="single"/>
                <w:lang w:val="en-US" w:eastAsia="zh-CN"/>
              </w:rPr>
              <w:t>根据《钦州港金谷港区金鼓江作业区19#泊位码头停泊及回旋水域清淤疏浚项目疏浚物海洋倾倒检测评价报告》，本项目疏浚物的所有化学组份均不超过《海洋倾倒物质评价规范疏浚物》（GB30980-2014）表1中的化学组分评价限值的下限，符合 6.1 a)的条件要求，项目中监测的所有疏浚物均为清洁疏浚物（I 类），符合向海倾倒废弃物，符合法律法规和标准的相关要求。</w:t>
            </w:r>
          </w:p>
          <w:p w14:paraId="50DC1C38">
            <w:pPr>
              <w:widowControl/>
              <w:spacing w:line="360" w:lineRule="auto"/>
              <w:ind w:firstLine="480" w:firstLineChars="200"/>
              <w:rPr>
                <w:rFonts w:hint="eastAsia"/>
                <w:color w:val="auto"/>
                <w:sz w:val="24"/>
                <w:highlight w:val="none"/>
                <w:u w:val="single"/>
                <w:lang w:val="en-US" w:eastAsia="zh-CN"/>
              </w:rPr>
            </w:pPr>
            <w:r>
              <w:rPr>
                <w:rFonts w:hint="eastAsia"/>
                <w:color w:val="auto"/>
                <w:sz w:val="24"/>
                <w:highlight w:val="none"/>
                <w:lang w:eastAsia="zh-CN"/>
              </w:rPr>
              <w:t>本项目选定防城港2#倾倒区，根据生态环境部</w:t>
            </w:r>
            <w:r>
              <w:rPr>
                <w:rFonts w:hint="eastAsia"/>
                <w:color w:val="auto"/>
                <w:sz w:val="24"/>
                <w:highlight w:val="none"/>
                <w:lang w:val="en-US" w:eastAsia="zh-CN"/>
              </w:rPr>
              <w:t>2024年第9号关于设立防城港2#倾倒区等5个倾倒区的公告范围为108°30′29.47″E，21°24′54.76″N；108°30′29.47″E，21°22′44.54″N；108°31′49.80″E，21°22′43.96″N；108°31′48.57″E，21°24′56.49″N，四点连线围成的海域，面积约9.3km</w:t>
            </w:r>
            <w:r>
              <w:rPr>
                <w:rFonts w:hint="eastAsia"/>
                <w:color w:val="auto"/>
                <w:sz w:val="24"/>
                <w:highlight w:val="none"/>
                <w:vertAlign w:val="superscript"/>
                <w:lang w:val="en-US" w:eastAsia="zh-CN"/>
              </w:rPr>
              <w:t>2</w:t>
            </w:r>
            <w:r>
              <w:rPr>
                <w:rFonts w:hint="eastAsia"/>
                <w:color w:val="auto"/>
                <w:sz w:val="24"/>
                <w:highlight w:val="none"/>
                <w:u w:val="single"/>
                <w:lang w:val="en-US" w:eastAsia="zh-CN"/>
              </w:rPr>
              <w:t>，本项目</w:t>
            </w:r>
            <w:r>
              <w:rPr>
                <w:rFonts w:hint="eastAsia"/>
                <w:color w:val="auto"/>
                <w:sz w:val="24"/>
                <w:highlight w:val="none"/>
                <w:u w:val="single"/>
                <w:lang w:eastAsia="zh-CN"/>
              </w:rPr>
              <w:t>抛泥运输航线距离约</w:t>
            </w:r>
            <w:r>
              <w:rPr>
                <w:rFonts w:hint="eastAsia"/>
                <w:color w:val="auto"/>
                <w:sz w:val="24"/>
                <w:highlight w:val="none"/>
                <w:u w:val="single"/>
                <w:lang w:val="en-US" w:eastAsia="zh-CN"/>
              </w:rPr>
              <w:t>45km，防城港2#倾倒区基本可满足本工程疏浚土外抛需求。</w:t>
            </w:r>
          </w:p>
          <w:p w14:paraId="7DD10B58">
            <w:pPr>
              <w:spacing w:line="360" w:lineRule="auto"/>
              <w:ind w:firstLine="480"/>
              <w:rPr>
                <w:rFonts w:hint="eastAsia"/>
                <w:color w:val="auto"/>
                <w:sz w:val="24"/>
                <w:highlight w:val="none"/>
                <w:lang w:eastAsia="zh-CN"/>
              </w:rPr>
            </w:pPr>
            <w:r>
              <w:rPr>
                <w:rFonts w:hint="eastAsia"/>
                <w:color w:val="auto"/>
                <w:sz w:val="24"/>
                <w:highlight w:val="none"/>
                <w:u w:val="single"/>
                <w:lang w:val="en-US" w:eastAsia="zh-CN"/>
              </w:rPr>
              <w:t>施工前，建设单位应及时与辖区相关主管单位进行沟通，予以确认抛卸位置，并办理相关手续。</w:t>
            </w:r>
            <w:r>
              <w:rPr>
                <w:rFonts w:hint="eastAsia"/>
                <w:color w:val="auto"/>
                <w:sz w:val="24"/>
                <w:highlight w:val="none"/>
                <w:lang w:val="en-US" w:eastAsia="zh-CN"/>
              </w:rPr>
              <w:t>运输泥驳船和耙吸船往返期间需要利用现有航道航行，增加了进出港船舶流量及交通负责程度，增大船舶碰撞风险。船舶在航行过程中需要加强值守，谨慎瞭望，遵守钦州港和防城港船舶进出港管理规定，听从海事部门的调度指挥，防止航道内船舶碰撞事故的发生。</w:t>
            </w:r>
            <w:r>
              <w:rPr>
                <w:rFonts w:hint="eastAsia"/>
                <w:color w:val="auto"/>
                <w:sz w:val="24"/>
                <w:highlight w:val="none"/>
                <w:lang w:eastAsia="zh-CN"/>
              </w:rPr>
              <w:t>该抛泥区属于公共倾倒区，相关环境影响不纳入本次评价范围，工程疏浚物经采取以上措施后，对周边区域环境影响不大。</w:t>
            </w:r>
          </w:p>
          <w:p w14:paraId="73A6DA33">
            <w:pPr>
              <w:pStyle w:val="19"/>
              <w:spacing w:line="360" w:lineRule="auto"/>
              <w:ind w:firstLine="562" w:firstLineChars="200"/>
              <w:rPr>
                <w:rFonts w:hint="eastAsia" w:ascii="Times New Roman" w:hAnsi="Times New Roman" w:eastAsia="宋体" w:cs="Times New Roman"/>
                <w:color w:val="auto"/>
                <w:sz w:val="24"/>
                <w:highlight w:val="none"/>
                <w:lang w:eastAsia="zh-CN"/>
              </w:rPr>
            </w:pPr>
            <w:r>
              <w:rPr>
                <w:rFonts w:hint="eastAsia" w:ascii="宋体" w:hAnsi="Courier New" w:eastAsia="宋体" w:cs="Times New Roman"/>
                <w:b/>
                <w:bCs/>
                <w:color w:val="auto"/>
                <w:sz w:val="28"/>
                <w:szCs w:val="28"/>
                <w:highlight w:val="none"/>
                <w:lang w:val="en-US" w:eastAsia="zh-CN"/>
              </w:rPr>
              <w:t>4.1.8</w:t>
            </w:r>
            <w:r>
              <w:rPr>
                <w:rFonts w:hint="eastAsia" w:ascii="宋体" w:hAnsi="Courier New" w:eastAsia="宋体" w:cs="Times New Roman"/>
                <w:b/>
                <w:bCs/>
                <w:color w:val="auto"/>
                <w:sz w:val="28"/>
                <w:szCs w:val="28"/>
                <w:highlight w:val="none"/>
                <w:lang w:eastAsia="zh-CN"/>
              </w:rPr>
              <w:t>环境风险影响分析</w:t>
            </w:r>
          </w:p>
          <w:p w14:paraId="17F9C43C">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本项目属于维护性疏浚工程，施工期环境风险主要为施工船舶溢油对海洋环境的影响。</w:t>
            </w:r>
          </w:p>
          <w:p w14:paraId="654755B7">
            <w:pPr>
              <w:pStyle w:val="19"/>
              <w:numPr>
                <w:ilvl w:val="0"/>
                <w:numId w:val="20"/>
              </w:num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危险物质识别</w:t>
            </w:r>
          </w:p>
          <w:p w14:paraId="0351AB1B">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风险评价技术导则》（HJ169-2018）及《危险化学品重大危险源辨识》（GB18218-2018）等的相关规定，本项目施工期涉及的危险物质主要为施工船舶航行过程中使用的燃料油，燃料油具有易燃、易爆、持久性污染环境等危险特性</w:t>
            </w:r>
            <w:r>
              <w:rPr>
                <w:rFonts w:hint="eastAsia" w:ascii="Times New Roman" w:hAnsi="Times New Roman" w:eastAsia="宋体" w:cs="Times New Roman"/>
                <w:color w:val="auto"/>
                <w:sz w:val="24"/>
                <w:highlight w:val="none"/>
                <w:lang w:val="en-US" w:eastAsia="zh-CN"/>
              </w:rPr>
              <w:t>，其理化特性见下表：</w:t>
            </w:r>
          </w:p>
          <w:p w14:paraId="2D72AF71">
            <w:pPr>
              <w:keepNext w:val="0"/>
              <w:keepLines w:val="0"/>
              <w:widowControl/>
              <w:suppressLineNumbers w:val="0"/>
              <w:jc w:val="center"/>
              <w:rPr>
                <w:color w:val="auto"/>
                <w:highlight w:val="none"/>
              </w:rPr>
            </w:pPr>
            <w:r>
              <w:rPr>
                <w:rFonts w:hint="eastAsia" w:ascii="Times New Roman" w:hAnsi="Times New Roman" w:eastAsia="宋体" w:cs="Times New Roman"/>
                <w:b/>
                <w:bCs/>
                <w:color w:val="auto"/>
                <w:kern w:val="2"/>
                <w:sz w:val="21"/>
                <w:szCs w:val="21"/>
                <w:highlight w:val="none"/>
                <w:lang w:val="en-US" w:eastAsia="zh-CN" w:bidi="ar-SA"/>
              </w:rPr>
              <w:t>表4.1-12</w:t>
            </w:r>
            <w:r>
              <w:rPr>
                <w:rFonts w:hint="eastAsia" w:ascii="宋体" w:hAnsi="宋体" w:eastAsia="宋体" w:cs="宋体"/>
                <w:b/>
                <w:bCs/>
                <w:color w:val="auto"/>
                <w:kern w:val="0"/>
                <w:sz w:val="20"/>
                <w:szCs w:val="20"/>
                <w:highlight w:val="none"/>
                <w:lang w:val="en-US" w:eastAsia="zh-CN" w:bidi="ar"/>
              </w:rPr>
              <w:t>燃料油理化特性及危险性一览表</w:t>
            </w:r>
          </w:p>
          <w:tbl>
            <w:tblPr>
              <w:tblStyle w:val="4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337"/>
              <w:gridCol w:w="7104"/>
            </w:tblGrid>
            <w:tr w14:paraId="7E7B21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jc w:val="center"/>
              </w:trPr>
              <w:tc>
                <w:tcPr>
                  <w:tcW w:w="1369" w:type="dxa"/>
                  <w:noWrap w:val="0"/>
                  <w:vAlign w:val="center"/>
                </w:tcPr>
                <w:p w14:paraId="42693EFD">
                  <w:pPr>
                    <w:pStyle w:val="220"/>
                    <w:rPr>
                      <w:b/>
                      <w:bCs/>
                      <w:color w:val="auto"/>
                      <w:highlight w:val="none"/>
                      <w:lang w:val="zh-CN"/>
                    </w:rPr>
                  </w:pPr>
                  <w:r>
                    <w:rPr>
                      <w:b/>
                      <w:bCs/>
                      <w:color w:val="auto"/>
                      <w:highlight w:val="none"/>
                      <w:lang w:val="zh-CN"/>
                    </w:rPr>
                    <w:t>标识</w:t>
                  </w:r>
                </w:p>
              </w:tc>
              <w:tc>
                <w:tcPr>
                  <w:tcW w:w="7273" w:type="dxa"/>
                  <w:noWrap w:val="0"/>
                  <w:vAlign w:val="center"/>
                </w:tcPr>
                <w:p w14:paraId="05D4D0E6">
                  <w:pPr>
                    <w:pStyle w:val="220"/>
                    <w:rPr>
                      <w:b/>
                      <w:bCs/>
                      <w:color w:val="auto"/>
                      <w:highlight w:val="none"/>
                      <w:lang w:val="zh-CN"/>
                    </w:rPr>
                  </w:pPr>
                  <w:r>
                    <w:rPr>
                      <w:b/>
                      <w:bCs/>
                      <w:color w:val="auto"/>
                      <w:highlight w:val="none"/>
                      <w:lang w:val="zh-CN"/>
                    </w:rPr>
                    <w:t>中文名：普通柴油</w:t>
                  </w:r>
                </w:p>
              </w:tc>
            </w:tr>
            <w:tr w14:paraId="2E3887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restart"/>
                  <w:noWrap w:val="0"/>
                  <w:vAlign w:val="center"/>
                </w:tcPr>
                <w:p w14:paraId="5A2F83E6">
                  <w:pPr>
                    <w:pStyle w:val="220"/>
                    <w:rPr>
                      <w:color w:val="auto"/>
                      <w:highlight w:val="none"/>
                      <w:lang w:val="zh-CN"/>
                    </w:rPr>
                  </w:pPr>
                  <w:r>
                    <w:rPr>
                      <w:color w:val="auto"/>
                      <w:highlight w:val="none"/>
                      <w:lang w:val="zh-CN"/>
                    </w:rPr>
                    <w:t>危险性类别</w:t>
                  </w:r>
                </w:p>
              </w:tc>
              <w:tc>
                <w:tcPr>
                  <w:tcW w:w="7273" w:type="dxa"/>
                  <w:noWrap w:val="0"/>
                  <w:vAlign w:val="center"/>
                </w:tcPr>
                <w:p w14:paraId="10B1050B">
                  <w:pPr>
                    <w:pStyle w:val="220"/>
                    <w:rPr>
                      <w:color w:val="auto"/>
                      <w:highlight w:val="none"/>
                      <w:lang w:val="zh-CN"/>
                    </w:rPr>
                  </w:pPr>
                  <w:r>
                    <w:rPr>
                      <w:color w:val="auto"/>
                      <w:highlight w:val="none"/>
                      <w:lang w:val="zh-CN"/>
                    </w:rPr>
                    <w:t>UN编号：2924</w:t>
                  </w:r>
                </w:p>
              </w:tc>
            </w:tr>
            <w:tr w14:paraId="5E2CAE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77057AA4">
                  <w:pPr>
                    <w:pStyle w:val="220"/>
                    <w:rPr>
                      <w:color w:val="auto"/>
                      <w:kern w:val="0"/>
                      <w:highlight w:val="none"/>
                      <w:lang w:val="zh-CN"/>
                    </w:rPr>
                  </w:pPr>
                </w:p>
              </w:tc>
              <w:tc>
                <w:tcPr>
                  <w:tcW w:w="7273" w:type="dxa"/>
                  <w:noWrap w:val="0"/>
                  <w:vAlign w:val="center"/>
                </w:tcPr>
                <w:p w14:paraId="63399634">
                  <w:pPr>
                    <w:pStyle w:val="220"/>
                    <w:rPr>
                      <w:color w:val="auto"/>
                      <w:highlight w:val="none"/>
                      <w:lang w:val="zh-CN"/>
                    </w:rPr>
                  </w:pPr>
                  <w:r>
                    <w:rPr>
                      <w:color w:val="auto"/>
                      <w:highlight w:val="none"/>
                      <w:lang w:val="zh-CN"/>
                    </w:rPr>
                    <w:t>危险货物编号：/</w:t>
                  </w:r>
                </w:p>
              </w:tc>
            </w:tr>
            <w:tr w14:paraId="4412CE5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1E816E27">
                  <w:pPr>
                    <w:pStyle w:val="220"/>
                    <w:rPr>
                      <w:color w:val="auto"/>
                      <w:kern w:val="0"/>
                      <w:highlight w:val="none"/>
                      <w:lang w:val="zh-CN"/>
                    </w:rPr>
                  </w:pPr>
                </w:p>
              </w:tc>
              <w:tc>
                <w:tcPr>
                  <w:tcW w:w="7273" w:type="dxa"/>
                  <w:noWrap w:val="0"/>
                  <w:vAlign w:val="center"/>
                </w:tcPr>
                <w:p w14:paraId="24FFC870">
                  <w:pPr>
                    <w:pStyle w:val="220"/>
                    <w:rPr>
                      <w:color w:val="auto"/>
                      <w:highlight w:val="none"/>
                      <w:lang w:val="zh-CN"/>
                    </w:rPr>
                  </w:pPr>
                  <w:r>
                    <w:rPr>
                      <w:color w:val="auto"/>
                      <w:highlight w:val="none"/>
                      <w:lang w:val="zh-CN"/>
                    </w:rPr>
                    <w:t>危险品类别：可燃液体</w:t>
                  </w:r>
                </w:p>
              </w:tc>
            </w:tr>
            <w:tr w14:paraId="4A7E36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restart"/>
                  <w:noWrap w:val="0"/>
                  <w:vAlign w:val="center"/>
                </w:tcPr>
                <w:p w14:paraId="30B722FD">
                  <w:pPr>
                    <w:pStyle w:val="220"/>
                    <w:rPr>
                      <w:color w:val="auto"/>
                      <w:highlight w:val="none"/>
                      <w:lang w:val="zh-CN"/>
                    </w:rPr>
                  </w:pPr>
                  <w:r>
                    <w:rPr>
                      <w:color w:val="auto"/>
                      <w:highlight w:val="none"/>
                      <w:lang w:val="zh-CN"/>
                    </w:rPr>
                    <w:t>理化性质</w:t>
                  </w:r>
                </w:p>
              </w:tc>
              <w:tc>
                <w:tcPr>
                  <w:tcW w:w="7273" w:type="dxa"/>
                  <w:noWrap w:val="0"/>
                  <w:vAlign w:val="center"/>
                </w:tcPr>
                <w:p w14:paraId="07E32509">
                  <w:pPr>
                    <w:pStyle w:val="220"/>
                    <w:rPr>
                      <w:color w:val="auto"/>
                      <w:highlight w:val="none"/>
                      <w:lang w:val="zh-CN"/>
                    </w:rPr>
                  </w:pPr>
                  <w:r>
                    <w:rPr>
                      <w:color w:val="auto"/>
                      <w:highlight w:val="none"/>
                      <w:lang w:val="zh-CN"/>
                    </w:rPr>
                    <w:t>主要</w:t>
                  </w:r>
                  <w:r>
                    <w:rPr>
                      <w:rFonts w:hint="eastAsia"/>
                      <w:color w:val="auto"/>
                      <w:highlight w:val="none"/>
                      <w:lang w:val="zh-CN"/>
                    </w:rPr>
                    <w:t>成分</w:t>
                  </w:r>
                  <w:r>
                    <w:rPr>
                      <w:color w:val="auto"/>
                      <w:highlight w:val="none"/>
                      <w:lang w:val="zh-CN"/>
                    </w:rPr>
                    <w:t>：C15—C23脂肪烃和环烷烃</w:t>
                  </w:r>
                </w:p>
              </w:tc>
            </w:tr>
            <w:tr w14:paraId="571BB3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41CAEFB2">
                  <w:pPr>
                    <w:pStyle w:val="220"/>
                    <w:rPr>
                      <w:color w:val="auto"/>
                      <w:kern w:val="0"/>
                      <w:highlight w:val="none"/>
                      <w:lang w:val="zh-CN"/>
                    </w:rPr>
                  </w:pPr>
                </w:p>
              </w:tc>
              <w:tc>
                <w:tcPr>
                  <w:tcW w:w="7273" w:type="dxa"/>
                  <w:noWrap w:val="0"/>
                  <w:vAlign w:val="center"/>
                </w:tcPr>
                <w:p w14:paraId="4D12C853">
                  <w:pPr>
                    <w:pStyle w:val="220"/>
                    <w:rPr>
                      <w:color w:val="auto"/>
                      <w:highlight w:val="none"/>
                      <w:lang w:val="zh-CN"/>
                    </w:rPr>
                  </w:pPr>
                  <w:r>
                    <w:rPr>
                      <w:color w:val="auto"/>
                      <w:highlight w:val="none"/>
                      <w:lang w:val="zh-CN"/>
                    </w:rPr>
                    <w:t>性状：无色或淡黄色液体。</w:t>
                  </w:r>
                </w:p>
              </w:tc>
            </w:tr>
            <w:tr w14:paraId="54D194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19B8142D">
                  <w:pPr>
                    <w:pStyle w:val="220"/>
                    <w:rPr>
                      <w:color w:val="auto"/>
                      <w:kern w:val="0"/>
                      <w:highlight w:val="none"/>
                      <w:lang w:val="zh-CN"/>
                    </w:rPr>
                  </w:pPr>
                </w:p>
              </w:tc>
              <w:tc>
                <w:tcPr>
                  <w:tcW w:w="7273" w:type="dxa"/>
                  <w:noWrap w:val="0"/>
                  <w:vAlign w:val="center"/>
                </w:tcPr>
                <w:p w14:paraId="4874DCB7">
                  <w:pPr>
                    <w:pStyle w:val="220"/>
                    <w:rPr>
                      <w:color w:val="auto"/>
                      <w:highlight w:val="none"/>
                      <w:lang w:val="zh-CN"/>
                    </w:rPr>
                  </w:pPr>
                  <w:r>
                    <w:rPr>
                      <w:color w:val="auto"/>
                      <w:highlight w:val="none"/>
                      <w:lang w:val="zh-CN"/>
                    </w:rPr>
                    <w:t>凝点（℃）：10#不高于10；5＃不高于5；0＃不高于0；-10＃不高于-10；-20＃不高于-20；-35＃不高于-35；-50＃不高于-50</w:t>
                  </w:r>
                </w:p>
              </w:tc>
            </w:tr>
            <w:tr w14:paraId="3AE68C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7C9AE003">
                  <w:pPr>
                    <w:pStyle w:val="220"/>
                    <w:rPr>
                      <w:color w:val="auto"/>
                      <w:kern w:val="0"/>
                      <w:highlight w:val="none"/>
                      <w:lang w:val="zh-CN"/>
                    </w:rPr>
                  </w:pPr>
                </w:p>
              </w:tc>
              <w:tc>
                <w:tcPr>
                  <w:tcW w:w="7273" w:type="dxa"/>
                  <w:noWrap w:val="0"/>
                  <w:vAlign w:val="center"/>
                </w:tcPr>
                <w:p w14:paraId="16CC1DBD">
                  <w:pPr>
                    <w:pStyle w:val="220"/>
                    <w:rPr>
                      <w:color w:val="auto"/>
                      <w:highlight w:val="none"/>
                      <w:lang w:val="zh-CN"/>
                    </w:rPr>
                  </w:pPr>
                  <w:r>
                    <w:rPr>
                      <w:color w:val="auto"/>
                      <w:highlight w:val="none"/>
                      <w:lang w:val="zh-CN"/>
                    </w:rPr>
                    <w:t>密度（20℃）</w:t>
                  </w:r>
                  <w:r>
                    <w:rPr>
                      <w:rFonts w:hint="eastAsia"/>
                      <w:color w:val="auto"/>
                      <w:highlight w:val="none"/>
                      <w:lang w:val="zh-CN"/>
                    </w:rPr>
                    <w:t>kg</w:t>
                  </w:r>
                  <w:r>
                    <w:rPr>
                      <w:color w:val="auto"/>
                      <w:highlight w:val="none"/>
                      <w:lang w:val="zh-CN"/>
                    </w:rPr>
                    <w:t>/m</w:t>
                  </w:r>
                  <w:r>
                    <w:rPr>
                      <w:color w:val="auto"/>
                      <w:highlight w:val="none"/>
                      <w:vertAlign w:val="superscript"/>
                      <w:lang w:val="zh-CN"/>
                    </w:rPr>
                    <w:t>3</w:t>
                  </w:r>
                  <w:r>
                    <w:rPr>
                      <w:color w:val="auto"/>
                      <w:highlight w:val="none"/>
                      <w:lang w:val="zh-CN"/>
                    </w:rPr>
                    <w:t>：10#、5＃、0＃、-10＃为810～850、-20＃；-35＃、-50＃为790～840</w:t>
                  </w:r>
                </w:p>
              </w:tc>
            </w:tr>
            <w:tr w14:paraId="7DD683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3EE3D25F">
                  <w:pPr>
                    <w:pStyle w:val="220"/>
                    <w:rPr>
                      <w:color w:val="auto"/>
                      <w:kern w:val="0"/>
                      <w:highlight w:val="none"/>
                      <w:lang w:val="zh-CN"/>
                    </w:rPr>
                  </w:pPr>
                </w:p>
              </w:tc>
              <w:tc>
                <w:tcPr>
                  <w:tcW w:w="7273" w:type="dxa"/>
                  <w:noWrap w:val="0"/>
                  <w:vAlign w:val="center"/>
                </w:tcPr>
                <w:p w14:paraId="2661BCDA">
                  <w:pPr>
                    <w:pStyle w:val="220"/>
                    <w:rPr>
                      <w:color w:val="auto"/>
                      <w:highlight w:val="none"/>
                      <w:lang w:val="zh-CN"/>
                    </w:rPr>
                  </w:pPr>
                  <w:r>
                    <w:rPr>
                      <w:color w:val="auto"/>
                      <w:highlight w:val="none"/>
                      <w:lang w:val="zh-CN"/>
                    </w:rPr>
                    <w:t>沸点（℃）：200～365</w:t>
                  </w:r>
                </w:p>
              </w:tc>
            </w:tr>
            <w:tr w14:paraId="3956ED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1EAC01D4">
                  <w:pPr>
                    <w:pStyle w:val="220"/>
                    <w:rPr>
                      <w:color w:val="auto"/>
                      <w:kern w:val="0"/>
                      <w:highlight w:val="none"/>
                      <w:lang w:val="zh-CN"/>
                    </w:rPr>
                  </w:pPr>
                </w:p>
              </w:tc>
              <w:tc>
                <w:tcPr>
                  <w:tcW w:w="7273" w:type="dxa"/>
                  <w:noWrap w:val="0"/>
                  <w:vAlign w:val="center"/>
                </w:tcPr>
                <w:p w14:paraId="7D54341B">
                  <w:pPr>
                    <w:pStyle w:val="220"/>
                    <w:rPr>
                      <w:color w:val="auto"/>
                      <w:highlight w:val="none"/>
                      <w:lang w:val="zh-CN"/>
                    </w:rPr>
                  </w:pPr>
                  <w:r>
                    <w:rPr>
                      <w:color w:val="auto"/>
                      <w:highlight w:val="none"/>
                      <w:lang w:val="zh-CN"/>
                    </w:rPr>
                    <w:t>溶解性：不溶于水，与有机溶剂互溶。</w:t>
                  </w:r>
                </w:p>
              </w:tc>
            </w:tr>
            <w:tr w14:paraId="5E0ACB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restart"/>
                  <w:noWrap w:val="0"/>
                  <w:vAlign w:val="center"/>
                </w:tcPr>
                <w:p w14:paraId="1A805B63">
                  <w:pPr>
                    <w:pStyle w:val="220"/>
                    <w:rPr>
                      <w:color w:val="auto"/>
                      <w:highlight w:val="none"/>
                      <w:lang w:val="zh-CN"/>
                    </w:rPr>
                  </w:pPr>
                  <w:r>
                    <w:rPr>
                      <w:color w:val="auto"/>
                      <w:highlight w:val="none"/>
                      <w:lang w:val="zh-CN"/>
                    </w:rPr>
                    <w:t>燃烧爆炸危险特性</w:t>
                  </w:r>
                </w:p>
              </w:tc>
              <w:tc>
                <w:tcPr>
                  <w:tcW w:w="7273" w:type="dxa"/>
                  <w:noWrap w:val="0"/>
                  <w:vAlign w:val="center"/>
                </w:tcPr>
                <w:p w14:paraId="6797F4B2">
                  <w:pPr>
                    <w:pStyle w:val="220"/>
                    <w:rPr>
                      <w:color w:val="auto"/>
                      <w:highlight w:val="none"/>
                      <w:lang w:val="zh-CN"/>
                    </w:rPr>
                  </w:pPr>
                  <w:r>
                    <w:rPr>
                      <w:color w:val="auto"/>
                      <w:highlight w:val="none"/>
                      <w:lang w:val="zh-CN"/>
                    </w:rPr>
                    <w:t>燃烧性：易燃烧</w:t>
                  </w:r>
                </w:p>
              </w:tc>
            </w:tr>
            <w:tr w14:paraId="37848A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3D5AD07D">
                  <w:pPr>
                    <w:pStyle w:val="220"/>
                    <w:rPr>
                      <w:color w:val="auto"/>
                      <w:kern w:val="0"/>
                      <w:highlight w:val="none"/>
                      <w:lang w:val="zh-CN"/>
                    </w:rPr>
                  </w:pPr>
                </w:p>
              </w:tc>
              <w:tc>
                <w:tcPr>
                  <w:tcW w:w="7273" w:type="dxa"/>
                  <w:noWrap w:val="0"/>
                  <w:vAlign w:val="center"/>
                </w:tcPr>
                <w:p w14:paraId="723C9CB3">
                  <w:pPr>
                    <w:pStyle w:val="220"/>
                    <w:rPr>
                      <w:color w:val="auto"/>
                      <w:highlight w:val="none"/>
                      <w:lang w:val="zh-CN"/>
                    </w:rPr>
                  </w:pPr>
                  <w:r>
                    <w:rPr>
                      <w:color w:val="auto"/>
                      <w:highlight w:val="none"/>
                      <w:lang w:val="zh-CN"/>
                    </w:rPr>
                    <w:t>闪点（℃）：10#、5＃、0＃、-10＃、-20＃不低于55℃；-35＃、-50＃不低于45℃</w:t>
                  </w:r>
                </w:p>
              </w:tc>
            </w:tr>
            <w:tr w14:paraId="4F469E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78927C46">
                  <w:pPr>
                    <w:pStyle w:val="220"/>
                    <w:rPr>
                      <w:color w:val="auto"/>
                      <w:kern w:val="0"/>
                      <w:highlight w:val="none"/>
                      <w:lang w:val="zh-CN"/>
                    </w:rPr>
                  </w:pPr>
                </w:p>
              </w:tc>
              <w:tc>
                <w:tcPr>
                  <w:tcW w:w="7273" w:type="dxa"/>
                  <w:noWrap w:val="0"/>
                  <w:vAlign w:val="center"/>
                </w:tcPr>
                <w:p w14:paraId="31C53C79">
                  <w:pPr>
                    <w:pStyle w:val="220"/>
                    <w:rPr>
                      <w:color w:val="auto"/>
                      <w:highlight w:val="none"/>
                      <w:lang w:val="zh-CN"/>
                    </w:rPr>
                  </w:pPr>
                  <w:r>
                    <w:rPr>
                      <w:color w:val="auto"/>
                      <w:highlight w:val="none"/>
                      <w:lang w:val="zh-CN"/>
                    </w:rPr>
                    <w:t>引燃温度（℃）：（350～380）</w:t>
                  </w:r>
                </w:p>
              </w:tc>
            </w:tr>
            <w:tr w14:paraId="3022AB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6253EF82">
                  <w:pPr>
                    <w:pStyle w:val="220"/>
                    <w:rPr>
                      <w:color w:val="auto"/>
                      <w:kern w:val="0"/>
                      <w:highlight w:val="none"/>
                      <w:lang w:val="zh-CN"/>
                    </w:rPr>
                  </w:pPr>
                </w:p>
              </w:tc>
              <w:tc>
                <w:tcPr>
                  <w:tcW w:w="7273" w:type="dxa"/>
                  <w:noWrap w:val="0"/>
                  <w:vAlign w:val="center"/>
                </w:tcPr>
                <w:p w14:paraId="0E3EDF9A">
                  <w:pPr>
                    <w:pStyle w:val="220"/>
                    <w:rPr>
                      <w:color w:val="auto"/>
                      <w:highlight w:val="none"/>
                      <w:lang w:val="zh-CN"/>
                    </w:rPr>
                  </w:pPr>
                  <w:r>
                    <w:rPr>
                      <w:color w:val="auto"/>
                      <w:highlight w:val="none"/>
                      <w:lang w:val="zh-CN"/>
                    </w:rPr>
                    <w:t>爆炸极限（%）：（1.5—6.5）</w:t>
                  </w:r>
                </w:p>
              </w:tc>
            </w:tr>
            <w:tr w14:paraId="782027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24EBE803">
                  <w:pPr>
                    <w:pStyle w:val="220"/>
                    <w:rPr>
                      <w:color w:val="auto"/>
                      <w:kern w:val="0"/>
                      <w:highlight w:val="none"/>
                      <w:lang w:val="zh-CN"/>
                    </w:rPr>
                  </w:pPr>
                </w:p>
              </w:tc>
              <w:tc>
                <w:tcPr>
                  <w:tcW w:w="7273" w:type="dxa"/>
                  <w:noWrap w:val="0"/>
                  <w:vAlign w:val="center"/>
                </w:tcPr>
                <w:p w14:paraId="3C0D5D76">
                  <w:pPr>
                    <w:pStyle w:val="220"/>
                    <w:rPr>
                      <w:color w:val="auto"/>
                      <w:highlight w:val="none"/>
                      <w:lang w:val="zh-CN"/>
                    </w:rPr>
                  </w:pPr>
                  <w:r>
                    <w:rPr>
                      <w:color w:val="auto"/>
                      <w:highlight w:val="none"/>
                      <w:lang w:val="zh-CN"/>
                    </w:rPr>
                    <w:t>危险特性：其蒸气与空气可形成爆炸性混合物，与明火易燃烧爆炸。</w:t>
                  </w:r>
                </w:p>
              </w:tc>
            </w:tr>
            <w:tr w14:paraId="15B8ED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5E71B4B3">
                  <w:pPr>
                    <w:pStyle w:val="220"/>
                    <w:rPr>
                      <w:color w:val="auto"/>
                      <w:kern w:val="0"/>
                      <w:highlight w:val="none"/>
                      <w:lang w:val="zh-CN"/>
                    </w:rPr>
                  </w:pPr>
                </w:p>
              </w:tc>
              <w:tc>
                <w:tcPr>
                  <w:tcW w:w="7273" w:type="dxa"/>
                  <w:noWrap w:val="0"/>
                  <w:vAlign w:val="center"/>
                </w:tcPr>
                <w:p w14:paraId="7F36D325">
                  <w:pPr>
                    <w:pStyle w:val="220"/>
                    <w:rPr>
                      <w:color w:val="auto"/>
                      <w:highlight w:val="none"/>
                      <w:lang w:val="zh-CN"/>
                    </w:rPr>
                  </w:pPr>
                  <w:r>
                    <w:rPr>
                      <w:color w:val="auto"/>
                      <w:highlight w:val="none"/>
                      <w:lang w:val="zh-CN"/>
                    </w:rPr>
                    <w:t>燃烧（分解）产物：CO、CO</w:t>
                  </w:r>
                  <w:r>
                    <w:rPr>
                      <w:color w:val="auto"/>
                      <w:highlight w:val="none"/>
                      <w:vertAlign w:val="subscript"/>
                      <w:lang w:val="zh-CN"/>
                    </w:rPr>
                    <w:t>2</w:t>
                  </w:r>
                  <w:r>
                    <w:rPr>
                      <w:color w:val="auto"/>
                      <w:highlight w:val="none"/>
                      <w:lang w:val="zh-CN"/>
                    </w:rPr>
                    <w:t>、H</w:t>
                  </w:r>
                  <w:r>
                    <w:rPr>
                      <w:color w:val="auto"/>
                      <w:highlight w:val="none"/>
                      <w:vertAlign w:val="subscript"/>
                      <w:lang w:val="zh-CN"/>
                    </w:rPr>
                    <w:t>2</w:t>
                  </w:r>
                  <w:r>
                    <w:rPr>
                      <w:color w:val="auto"/>
                      <w:highlight w:val="none"/>
                      <w:lang w:val="zh-CN"/>
                    </w:rPr>
                    <w:t>O</w:t>
                  </w:r>
                </w:p>
              </w:tc>
            </w:tr>
            <w:tr w14:paraId="233493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6931BEEC">
                  <w:pPr>
                    <w:pStyle w:val="220"/>
                    <w:rPr>
                      <w:color w:val="auto"/>
                      <w:kern w:val="0"/>
                      <w:highlight w:val="none"/>
                      <w:lang w:val="zh-CN"/>
                    </w:rPr>
                  </w:pPr>
                </w:p>
              </w:tc>
              <w:tc>
                <w:tcPr>
                  <w:tcW w:w="7273" w:type="dxa"/>
                  <w:noWrap w:val="0"/>
                  <w:vAlign w:val="center"/>
                </w:tcPr>
                <w:p w14:paraId="7E0171D0">
                  <w:pPr>
                    <w:pStyle w:val="220"/>
                    <w:rPr>
                      <w:color w:val="auto"/>
                      <w:highlight w:val="none"/>
                      <w:lang w:val="zh-CN"/>
                    </w:rPr>
                  </w:pPr>
                  <w:r>
                    <w:rPr>
                      <w:color w:val="auto"/>
                      <w:highlight w:val="none"/>
                      <w:lang w:val="zh-CN"/>
                    </w:rPr>
                    <w:t>禁忌物：强氧化物</w:t>
                  </w:r>
                </w:p>
              </w:tc>
            </w:tr>
            <w:tr w14:paraId="78BBCE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restart"/>
                  <w:noWrap w:val="0"/>
                  <w:vAlign w:val="center"/>
                </w:tcPr>
                <w:p w14:paraId="6C2B0600">
                  <w:pPr>
                    <w:pStyle w:val="220"/>
                    <w:rPr>
                      <w:color w:val="auto"/>
                      <w:highlight w:val="none"/>
                      <w:lang w:val="zh-CN"/>
                    </w:rPr>
                  </w:pPr>
                  <w:r>
                    <w:rPr>
                      <w:color w:val="auto"/>
                      <w:highlight w:val="none"/>
                      <w:lang w:val="zh-CN"/>
                    </w:rPr>
                    <w:t>毒性及健康危害</w:t>
                  </w:r>
                </w:p>
              </w:tc>
              <w:tc>
                <w:tcPr>
                  <w:tcW w:w="7273" w:type="dxa"/>
                  <w:noWrap w:val="0"/>
                  <w:vAlign w:val="center"/>
                </w:tcPr>
                <w:p w14:paraId="75376FF0">
                  <w:pPr>
                    <w:pStyle w:val="220"/>
                    <w:rPr>
                      <w:color w:val="auto"/>
                      <w:highlight w:val="none"/>
                      <w:lang w:val="zh-CN"/>
                    </w:rPr>
                  </w:pPr>
                  <w:r>
                    <w:rPr>
                      <w:color w:val="auto"/>
                      <w:highlight w:val="none"/>
                      <w:lang w:val="zh-CN"/>
                    </w:rPr>
                    <w:t>低毒物质。</w:t>
                  </w:r>
                </w:p>
              </w:tc>
            </w:tr>
            <w:tr w14:paraId="5B378A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3A436D82">
                  <w:pPr>
                    <w:pStyle w:val="220"/>
                    <w:rPr>
                      <w:color w:val="auto"/>
                      <w:kern w:val="0"/>
                      <w:highlight w:val="none"/>
                      <w:lang w:val="zh-CN"/>
                    </w:rPr>
                  </w:pPr>
                </w:p>
              </w:tc>
              <w:tc>
                <w:tcPr>
                  <w:tcW w:w="7273" w:type="dxa"/>
                  <w:noWrap w:val="0"/>
                  <w:vAlign w:val="center"/>
                </w:tcPr>
                <w:p w14:paraId="5EA50C77">
                  <w:pPr>
                    <w:pStyle w:val="220"/>
                    <w:ind w:firstLine="420" w:firstLineChars="200"/>
                    <w:jc w:val="both"/>
                    <w:rPr>
                      <w:color w:val="auto"/>
                      <w:highlight w:val="none"/>
                      <w:lang w:val="zh-CN"/>
                    </w:rPr>
                  </w:pPr>
                  <w:r>
                    <w:rPr>
                      <w:color w:val="auto"/>
                      <w:highlight w:val="none"/>
                      <w:lang w:val="zh-CN"/>
                    </w:rPr>
                    <w:t>侵入途径：吸入、食入、经皮肤吸收</w:t>
                  </w:r>
                </w:p>
                <w:p w14:paraId="60A76162">
                  <w:pPr>
                    <w:pStyle w:val="220"/>
                    <w:ind w:firstLine="420" w:firstLineChars="200"/>
                    <w:jc w:val="both"/>
                    <w:rPr>
                      <w:color w:val="auto"/>
                      <w:highlight w:val="none"/>
                      <w:lang w:val="zh-CN"/>
                    </w:rPr>
                  </w:pPr>
                  <w:r>
                    <w:rPr>
                      <w:color w:val="auto"/>
                      <w:highlight w:val="none"/>
                      <w:lang w:val="zh-CN"/>
                    </w:rPr>
                    <w:t>健康危害：主要作用于中枢神经系统，急性中毒症状有头晕、头痛、恶心、呕吐、步态不稳、共济失调。高浓度吸入出现中毒性脑病。极高浓度吸入引起意识突然丧失，反射性呼吸停止及化学性肺炎。可致角膜溃疡、穿孔</w:t>
                  </w:r>
                  <w:r>
                    <w:rPr>
                      <w:rFonts w:hint="eastAsia"/>
                      <w:color w:val="auto"/>
                      <w:highlight w:val="none"/>
                      <w:lang w:val="zh-CN"/>
                    </w:rPr>
                    <w:t>，甚至</w:t>
                  </w:r>
                  <w:r>
                    <w:rPr>
                      <w:color w:val="auto"/>
                      <w:highlight w:val="none"/>
                      <w:lang w:val="zh-CN"/>
                    </w:rPr>
                    <w:t>失明。皮肤接触致急性接触性皮炎或过敏性皮炎。急性经口中毒引起急性胃肠炎，重者出现类似急性吸入中毒症状。</w:t>
                  </w:r>
                </w:p>
                <w:p w14:paraId="762F1FCD">
                  <w:pPr>
                    <w:pStyle w:val="220"/>
                    <w:ind w:firstLine="420" w:firstLineChars="200"/>
                    <w:jc w:val="both"/>
                    <w:rPr>
                      <w:color w:val="auto"/>
                      <w:highlight w:val="none"/>
                      <w:lang w:val="zh-CN"/>
                    </w:rPr>
                  </w:pPr>
                  <w:r>
                    <w:rPr>
                      <w:color w:val="auto"/>
                      <w:highlight w:val="none"/>
                      <w:lang w:val="zh-CN"/>
                    </w:rPr>
                    <w:t>慢性中毒：神经衰弱</w:t>
                  </w:r>
                  <w:r>
                    <w:rPr>
                      <w:rFonts w:hint="eastAsia"/>
                      <w:color w:val="auto"/>
                      <w:highlight w:val="none"/>
                      <w:lang w:val="zh-CN"/>
                    </w:rPr>
                    <w:t>综合征</w:t>
                  </w:r>
                  <w:r>
                    <w:rPr>
                      <w:color w:val="auto"/>
                      <w:highlight w:val="none"/>
                      <w:lang w:val="zh-CN"/>
                    </w:rPr>
                    <w:t>，周围神经病，皮肤损害。</w:t>
                  </w:r>
                </w:p>
              </w:tc>
            </w:tr>
            <w:tr w14:paraId="231B19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noWrap w:val="0"/>
                  <w:vAlign w:val="center"/>
                </w:tcPr>
                <w:p w14:paraId="68192A81">
                  <w:pPr>
                    <w:pStyle w:val="220"/>
                    <w:rPr>
                      <w:color w:val="auto"/>
                      <w:kern w:val="0"/>
                      <w:highlight w:val="none"/>
                      <w:lang w:val="zh-CN"/>
                    </w:rPr>
                  </w:pPr>
                  <w:r>
                    <w:rPr>
                      <w:color w:val="auto"/>
                      <w:kern w:val="0"/>
                      <w:highlight w:val="none"/>
                      <w:lang w:val="zh-CN"/>
                    </w:rPr>
                    <w:t>防护措施</w:t>
                  </w:r>
                </w:p>
              </w:tc>
              <w:tc>
                <w:tcPr>
                  <w:tcW w:w="7273" w:type="dxa"/>
                  <w:noWrap w:val="0"/>
                  <w:vAlign w:val="center"/>
                </w:tcPr>
                <w:p w14:paraId="54E10EC6">
                  <w:pPr>
                    <w:pStyle w:val="220"/>
                    <w:rPr>
                      <w:color w:val="auto"/>
                      <w:highlight w:val="none"/>
                      <w:lang w:val="zh-CN"/>
                    </w:rPr>
                  </w:pPr>
                  <w:r>
                    <w:rPr>
                      <w:color w:val="auto"/>
                      <w:highlight w:val="none"/>
                      <w:lang w:val="zh-CN"/>
                    </w:rPr>
                    <w:t>工程控制：密闭操作，全面通风，工作现场严禁火种。</w:t>
                  </w:r>
                </w:p>
                <w:p w14:paraId="73C8322F">
                  <w:pPr>
                    <w:pStyle w:val="220"/>
                    <w:rPr>
                      <w:color w:val="auto"/>
                      <w:highlight w:val="none"/>
                      <w:lang w:val="zh-CN"/>
                    </w:rPr>
                  </w:pPr>
                  <w:r>
                    <w:rPr>
                      <w:color w:val="auto"/>
                      <w:highlight w:val="none"/>
                      <w:lang w:val="zh-CN"/>
                    </w:rPr>
                    <w:t>身体防护：穿防静电工作服。</w:t>
                  </w:r>
                </w:p>
                <w:p w14:paraId="62A35BC7">
                  <w:pPr>
                    <w:pStyle w:val="220"/>
                    <w:rPr>
                      <w:color w:val="auto"/>
                      <w:highlight w:val="none"/>
                      <w:lang w:val="zh-CN"/>
                    </w:rPr>
                  </w:pPr>
                  <w:r>
                    <w:rPr>
                      <w:color w:val="auto"/>
                      <w:highlight w:val="none"/>
                      <w:lang w:val="zh-CN"/>
                    </w:rPr>
                    <w:t>手防护：戴耐油手套。</w:t>
                  </w:r>
                </w:p>
              </w:tc>
            </w:tr>
            <w:tr w14:paraId="2B9368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noWrap w:val="0"/>
                  <w:vAlign w:val="center"/>
                </w:tcPr>
                <w:p w14:paraId="3CC47490">
                  <w:pPr>
                    <w:pStyle w:val="220"/>
                    <w:rPr>
                      <w:color w:val="auto"/>
                      <w:kern w:val="0"/>
                      <w:highlight w:val="none"/>
                      <w:lang w:val="zh-CN"/>
                    </w:rPr>
                  </w:pPr>
                  <w:r>
                    <w:rPr>
                      <w:color w:val="auto"/>
                      <w:kern w:val="0"/>
                      <w:highlight w:val="none"/>
                      <w:lang w:val="zh-CN"/>
                    </w:rPr>
                    <w:t>储运</w:t>
                  </w:r>
                </w:p>
              </w:tc>
              <w:tc>
                <w:tcPr>
                  <w:tcW w:w="7273" w:type="dxa"/>
                  <w:noWrap w:val="0"/>
                  <w:vAlign w:val="center"/>
                </w:tcPr>
                <w:p w14:paraId="357F313A">
                  <w:pPr>
                    <w:pStyle w:val="220"/>
                    <w:rPr>
                      <w:color w:val="auto"/>
                      <w:highlight w:val="none"/>
                      <w:lang w:val="zh-CN"/>
                    </w:rPr>
                  </w:pPr>
                  <w:r>
                    <w:rPr>
                      <w:color w:val="auto"/>
                      <w:highlight w:val="none"/>
                      <w:lang w:val="zh-CN"/>
                    </w:rPr>
                    <w:t>存储要保持容器密封，要有防火、防爆技术措施，禁止使用易产生火花的机械设备和工具。灌装时应注意流速。且有接地装置，防止静电积聚。</w:t>
                  </w:r>
                </w:p>
              </w:tc>
            </w:tr>
          </w:tbl>
          <w:p w14:paraId="7CDDCC24">
            <w:pPr>
              <w:pStyle w:val="19"/>
              <w:numPr>
                <w:ilvl w:val="0"/>
                <w:numId w:val="20"/>
              </w:numPr>
              <w:spacing w:line="360" w:lineRule="auto"/>
              <w:ind w:left="0" w:leftChars="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工艺过程危险性识别</w:t>
            </w:r>
          </w:p>
          <w:p w14:paraId="1212317D">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本项目属于维护性疏浚工程，项目疏浚过程中涉及的主要环境风险为施工船舶在进出港池过程中，由于船舶因素、人为因素、天气因素造成的搁浅、船舶互相碰撞或船舶撞击码头等事故，导致船载燃油泄漏入海、扩散，甚至引发火灾爆炸事故，污染周边海洋环境。</w:t>
            </w:r>
          </w:p>
          <w:p w14:paraId="7FF2F0E3">
            <w:pPr>
              <w:pStyle w:val="19"/>
              <w:numPr>
                <w:ilvl w:val="0"/>
                <w:numId w:val="20"/>
              </w:numPr>
              <w:spacing w:line="360" w:lineRule="auto"/>
              <w:ind w:left="0" w:leftChars="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环境风险评价等级</w:t>
            </w:r>
          </w:p>
          <w:p w14:paraId="033BF5D4">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根据《建设项目环境风险评价技术导则》（</w:t>
            </w:r>
            <w:r>
              <w:rPr>
                <w:rFonts w:hint="default" w:ascii="Times New Roman" w:hAnsi="Times New Roman" w:eastAsia="宋体" w:cs="Times New Roman"/>
                <w:color w:val="auto"/>
                <w:sz w:val="24"/>
                <w:highlight w:val="none"/>
                <w:u w:val="none"/>
                <w:lang w:val="en-US" w:eastAsia="zh-CN"/>
              </w:rPr>
              <w:t>HJ169-2018</w:t>
            </w:r>
            <w:r>
              <w:rPr>
                <w:rFonts w:hint="eastAsia" w:ascii="Times New Roman" w:hAnsi="Times New Roman" w:eastAsia="宋体" w:cs="Times New Roman"/>
                <w:color w:val="auto"/>
                <w:sz w:val="24"/>
                <w:highlight w:val="none"/>
                <w:u w:val="none"/>
                <w:lang w:val="en-US" w:eastAsia="zh-CN"/>
              </w:rPr>
              <w:t>）的规定，环境风险评价工作等级划分为一级、二级、三级和简单分析。根据建设项目涉及的物质及工艺系统危险性和所在地的环境敏感性确定环境风险潜势，确定评价工作等级。风险潜势为Ⅳ及以上，进行一级评价；风险潜势为Ⅲ，进行二级评价；风险潜势为Ⅱ，进行三级评价；风险潜势为Ⅰ，可开展简单分析。</w:t>
            </w:r>
          </w:p>
          <w:p w14:paraId="33F07E37">
            <w:pPr>
              <w:spacing w:line="360" w:lineRule="auto"/>
              <w:jc w:val="center"/>
              <w:rPr>
                <w:rFonts w:hint="default"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表4.1-7环境风险评价工作等级判据</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1573"/>
              <w:gridCol w:w="1402"/>
              <w:gridCol w:w="1692"/>
              <w:gridCol w:w="1695"/>
            </w:tblGrid>
            <w:tr w14:paraId="21E0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pct"/>
                  <w:noWrap w:val="0"/>
                  <w:vAlign w:val="center"/>
                </w:tcPr>
                <w:p w14:paraId="1C23EDF4">
                  <w:pPr>
                    <w:pStyle w:val="19"/>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环境风险潜势</w:t>
                  </w:r>
                </w:p>
              </w:tc>
              <w:tc>
                <w:tcPr>
                  <w:tcW w:w="930" w:type="pct"/>
                  <w:noWrap w:val="0"/>
                  <w:vAlign w:val="center"/>
                </w:tcPr>
                <w:p w14:paraId="05C76BB0">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0"/>
                      <w:szCs w:val="20"/>
                      <w:highlight w:val="none"/>
                      <w:lang w:val="en-US" w:eastAsia="zh-CN" w:bidi="ar"/>
                    </w:rPr>
                    <w:t>Ⅳ、Ⅳ</w:t>
                  </w:r>
                  <w:r>
                    <w:rPr>
                      <w:rFonts w:hint="default" w:ascii="Times New Roman" w:hAnsi="Times New Roman" w:eastAsia="宋体" w:cs="Times New Roman"/>
                      <w:color w:val="auto"/>
                      <w:kern w:val="0"/>
                      <w:sz w:val="13"/>
                      <w:szCs w:val="13"/>
                      <w:highlight w:val="none"/>
                      <w:lang w:val="en-US" w:eastAsia="zh-CN" w:bidi="ar"/>
                    </w:rPr>
                    <w:t>+</w:t>
                  </w:r>
                </w:p>
              </w:tc>
              <w:tc>
                <w:tcPr>
                  <w:tcW w:w="829" w:type="pct"/>
                  <w:noWrap w:val="0"/>
                  <w:vAlign w:val="center"/>
                </w:tcPr>
                <w:p w14:paraId="4754523B">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0"/>
                      <w:szCs w:val="20"/>
                      <w:highlight w:val="none"/>
                      <w:lang w:val="en-US" w:eastAsia="zh-CN" w:bidi="ar"/>
                    </w:rPr>
                    <w:t>Ⅲ</w:t>
                  </w:r>
                </w:p>
              </w:tc>
              <w:tc>
                <w:tcPr>
                  <w:tcW w:w="1000" w:type="pct"/>
                  <w:noWrap w:val="0"/>
                  <w:vAlign w:val="center"/>
                </w:tcPr>
                <w:p w14:paraId="7E96B741">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0"/>
                      <w:szCs w:val="20"/>
                      <w:highlight w:val="none"/>
                      <w:lang w:val="en-US" w:eastAsia="zh-CN" w:bidi="ar"/>
                    </w:rPr>
                    <w:t>Ⅱ</w:t>
                  </w:r>
                </w:p>
              </w:tc>
              <w:tc>
                <w:tcPr>
                  <w:tcW w:w="1000" w:type="pct"/>
                  <w:noWrap w:val="0"/>
                  <w:vAlign w:val="center"/>
                </w:tcPr>
                <w:p w14:paraId="087AF708">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0"/>
                      <w:szCs w:val="20"/>
                      <w:highlight w:val="none"/>
                      <w:lang w:val="en-US" w:eastAsia="zh-CN" w:bidi="ar"/>
                    </w:rPr>
                    <w:t>Ⅰ</w:t>
                  </w:r>
                </w:p>
              </w:tc>
            </w:tr>
            <w:tr w14:paraId="1E7B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pct"/>
                  <w:noWrap w:val="0"/>
                  <w:vAlign w:val="center"/>
                </w:tcPr>
                <w:p w14:paraId="22640D3B">
                  <w:pPr>
                    <w:pStyle w:val="19"/>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评价工作等级</w:t>
                  </w:r>
                </w:p>
              </w:tc>
              <w:tc>
                <w:tcPr>
                  <w:tcW w:w="930" w:type="pct"/>
                  <w:noWrap w:val="0"/>
                  <w:vAlign w:val="center"/>
                </w:tcPr>
                <w:p w14:paraId="612C9232">
                  <w:pPr>
                    <w:pStyle w:val="19"/>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一</w:t>
                  </w:r>
                </w:p>
              </w:tc>
              <w:tc>
                <w:tcPr>
                  <w:tcW w:w="829" w:type="pct"/>
                  <w:noWrap w:val="0"/>
                  <w:vAlign w:val="center"/>
                </w:tcPr>
                <w:p w14:paraId="2CCF3870">
                  <w:pPr>
                    <w:pStyle w:val="19"/>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二</w:t>
                  </w:r>
                </w:p>
              </w:tc>
              <w:tc>
                <w:tcPr>
                  <w:tcW w:w="1000" w:type="pct"/>
                  <w:noWrap w:val="0"/>
                  <w:vAlign w:val="center"/>
                </w:tcPr>
                <w:p w14:paraId="07FDDD49">
                  <w:pPr>
                    <w:pStyle w:val="19"/>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三</w:t>
                  </w:r>
                </w:p>
              </w:tc>
              <w:tc>
                <w:tcPr>
                  <w:tcW w:w="1000" w:type="pct"/>
                  <w:noWrap w:val="0"/>
                  <w:vAlign w:val="center"/>
                </w:tcPr>
                <w:p w14:paraId="4F59956C">
                  <w:pPr>
                    <w:pStyle w:val="19"/>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简单分析</w:t>
                  </w:r>
                  <w:r>
                    <w:rPr>
                      <w:rFonts w:hint="default" w:ascii="Times New Roman" w:hAnsi="Times New Roman" w:eastAsia="宋体" w:cs="Times New Roman"/>
                      <w:color w:val="auto"/>
                      <w:kern w:val="0"/>
                      <w:sz w:val="20"/>
                      <w:szCs w:val="20"/>
                      <w:highlight w:val="none"/>
                      <w:vertAlign w:val="superscript"/>
                      <w:lang w:val="en-US" w:eastAsia="zh-CN" w:bidi="ar"/>
                    </w:rPr>
                    <w:t>a</w:t>
                  </w:r>
                </w:p>
              </w:tc>
            </w:tr>
            <w:tr w14:paraId="0C80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top"/>
                </w:tcPr>
                <w:p w14:paraId="44E27F4F">
                  <w:pPr>
                    <w:keepNext w:val="0"/>
                    <w:keepLines w:val="0"/>
                    <w:widowControl/>
                    <w:suppressLineNumbers w:val="0"/>
                    <w:jc w:val="left"/>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0"/>
                      <w:szCs w:val="20"/>
                      <w:highlight w:val="none"/>
                      <w:lang w:val="en-US" w:eastAsia="zh-CN" w:bidi="ar"/>
                    </w:rPr>
                    <w:t>a是相对于详细评价工作内容而言，在描述危险物质、环境影响途径、环境危害后果、风险防范措施等给出定性说明。</w:t>
                  </w:r>
                </w:p>
              </w:tc>
            </w:tr>
          </w:tbl>
          <w:p w14:paraId="0485B0F0">
            <w:pPr>
              <w:pStyle w:val="19"/>
              <w:numPr>
                <w:ilvl w:val="0"/>
                <w:numId w:val="20"/>
              </w:numPr>
              <w:spacing w:line="360" w:lineRule="auto"/>
              <w:ind w:left="0" w:leftChars="0"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风险潜势初判</w:t>
            </w:r>
          </w:p>
          <w:p w14:paraId="3E8F8AC7">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根据《建设项目环境风险评价技术导则》（HJ169-2018）以及《环境影响评价技术导则 海洋环境》（HJ1409-2025），本项目涉及的物质和工艺系统的危险性及其所在地的环境敏感程度，结合事故影响下环境影响途径，对本项目潜在环境危害程度进行概化分析，确定环境风险潜势。</w:t>
            </w:r>
          </w:p>
          <w:p w14:paraId="53556BA5">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①Q值判定</w:t>
            </w:r>
          </w:p>
          <w:p w14:paraId="4203C62C">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A.计算公式的选取</w:t>
            </w:r>
          </w:p>
          <w:p w14:paraId="726F4863">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lang w:val="en-US" w:eastAsia="zh-CN"/>
              </w:rPr>
              <w:t>根据《环境影响评价技术导则 海洋生态环境》（HJ1409-2025），附录G中“危险物质主要考虑对海洋生态产生危害的物质，其中油类物质的临界量见表G.1，其他危险物质的临界量参照HJ169”，则油类物质（矿物油类，如石油、汽油、柴油等；生物柴油等）临界量为100t，</w:t>
            </w:r>
          </w:p>
          <w:p w14:paraId="2FCFABEF">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油类物质参照</w:t>
            </w:r>
            <w:r>
              <w:rPr>
                <w:rFonts w:hint="eastAsia" w:ascii="Times New Roman" w:hAnsi="Times New Roman" w:eastAsia="宋体" w:cs="Times New Roman"/>
                <w:color w:val="auto"/>
                <w:sz w:val="24"/>
                <w:highlight w:val="none"/>
                <w:lang w:val="en-US" w:eastAsia="zh-CN"/>
              </w:rPr>
              <w:t>《环境影响评价技术导则 海洋生态环境》（HJ1409-2025）附录G，</w:t>
            </w:r>
            <w:r>
              <w:rPr>
                <w:rFonts w:hint="eastAsia" w:ascii="Times New Roman" w:hAnsi="Times New Roman" w:eastAsia="宋体" w:cs="Times New Roman"/>
                <w:color w:val="auto"/>
                <w:sz w:val="24"/>
                <w:highlight w:val="none"/>
                <w:u w:val="none"/>
                <w:lang w:val="en-US" w:eastAsia="zh-CN"/>
              </w:rPr>
              <w:t>计算所涉及的每种危险物质在危险单元内的最大存在总量与对应临界量的比值Q。</w:t>
            </w:r>
          </w:p>
          <w:p w14:paraId="0122D9BE">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当只涉及一种危险物质时，计算该物质的总量与其临界量比值，即为Q:</w:t>
            </w:r>
          </w:p>
          <w:p w14:paraId="40B99A5E">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当存在多种危险物质时，则按式(</w:t>
            </w:r>
            <w:r>
              <w:rPr>
                <w:rFonts w:hint="eastAsia" w:ascii="Times New Roman" w:hAnsi="Times New Roman" w:eastAsia="宋体" w:cs="Times New Roman"/>
                <w:color w:val="auto"/>
                <w:sz w:val="24"/>
                <w:highlight w:val="none"/>
                <w:u w:val="none"/>
                <w:lang w:val="en-US" w:eastAsia="zh-CN"/>
              </w:rPr>
              <w:t>G</w:t>
            </w:r>
            <w:r>
              <w:rPr>
                <w:rFonts w:hint="default" w:ascii="Times New Roman" w:hAnsi="Times New Roman" w:eastAsia="宋体" w:cs="Times New Roman"/>
                <w:color w:val="auto"/>
                <w:sz w:val="24"/>
                <w:highlight w:val="none"/>
                <w:u w:val="none"/>
                <w:lang w:val="en-US" w:eastAsia="zh-CN"/>
              </w:rPr>
              <w:t>.1)计算物质总量与其临界量比值(Q)</w:t>
            </w:r>
          </w:p>
          <w:p w14:paraId="7D14B973">
            <w:pPr>
              <w:spacing w:line="360" w:lineRule="auto"/>
              <w:jc w:val="center"/>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Q=q</w:t>
            </w:r>
            <w:r>
              <w:rPr>
                <w:rFonts w:hint="default" w:ascii="Times New Roman" w:hAnsi="Times New Roman" w:eastAsia="宋体" w:cs="Times New Roman"/>
                <w:color w:val="auto"/>
                <w:sz w:val="24"/>
                <w:highlight w:val="none"/>
                <w:u w:val="none"/>
                <w:vertAlign w:val="subscript"/>
                <w:lang w:val="en-US" w:eastAsia="zh-CN"/>
              </w:rPr>
              <w:t>1</w:t>
            </w: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1</w:t>
            </w: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2</w:t>
            </w: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2</w:t>
            </w:r>
            <w:r>
              <w:rPr>
                <w:rFonts w:hint="default" w:ascii="Times New Roman" w:hAnsi="Times New Roman" w:eastAsia="宋体" w:cs="Times New Roman"/>
                <w:color w:val="auto"/>
                <w:sz w:val="24"/>
                <w:highlight w:val="none"/>
                <w:u w:val="none"/>
                <w:lang w:val="en-US" w:eastAsia="zh-CN"/>
              </w:rPr>
              <w:t>+...-+qn</w:t>
            </w:r>
            <w:r>
              <w:rPr>
                <w:rFonts w:hint="eastAsia" w:ascii="Times New Roman" w:hAnsi="Times New Roman" w:eastAsia="宋体" w:cs="Times New Roman"/>
                <w:color w:val="auto"/>
                <w:sz w:val="24"/>
                <w:highlight w:val="none"/>
                <w:u w:val="none"/>
                <w:lang w:val="en-US" w:eastAsia="zh-CN"/>
              </w:rPr>
              <w:t>/</w:t>
            </w:r>
            <w:r>
              <w:rPr>
                <w:rFonts w:hint="default" w:ascii="Times New Roman" w:hAnsi="Times New Roman" w:eastAsia="宋体" w:cs="Times New Roman"/>
                <w:color w:val="auto"/>
                <w:sz w:val="24"/>
                <w:highlight w:val="none"/>
                <w:u w:val="none"/>
                <w:lang w:val="en-US" w:eastAsia="zh-CN"/>
              </w:rPr>
              <w:t>Qn(</w:t>
            </w:r>
            <w:r>
              <w:rPr>
                <w:rFonts w:hint="eastAsia" w:ascii="Times New Roman" w:hAnsi="Times New Roman" w:eastAsia="宋体" w:cs="Times New Roman"/>
                <w:color w:val="auto"/>
                <w:sz w:val="24"/>
                <w:highlight w:val="none"/>
                <w:u w:val="none"/>
                <w:lang w:val="en-US" w:eastAsia="zh-CN"/>
              </w:rPr>
              <w:t>G</w:t>
            </w:r>
            <w:r>
              <w:rPr>
                <w:rFonts w:hint="default" w:ascii="Times New Roman" w:hAnsi="Times New Roman" w:eastAsia="宋体" w:cs="Times New Roman"/>
                <w:color w:val="auto"/>
                <w:sz w:val="24"/>
                <w:highlight w:val="none"/>
                <w:u w:val="none"/>
                <w:lang w:val="en-US" w:eastAsia="zh-CN"/>
              </w:rPr>
              <w:t>.1)</w:t>
            </w:r>
          </w:p>
          <w:p w14:paraId="23D86D04">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式中</w:t>
            </w:r>
            <w:r>
              <w:rPr>
                <w:rFonts w:hint="eastAsia" w:ascii="Times New Roman" w:hAnsi="Times New Roman" w:eastAsia="宋体" w:cs="Times New Roman"/>
                <w:color w:val="auto"/>
                <w:sz w:val="24"/>
                <w:highlight w:val="none"/>
                <w:u w:val="none"/>
                <w:lang w:val="en-US" w:eastAsia="zh-CN"/>
              </w:rPr>
              <w:t>：</w:t>
            </w:r>
          </w:p>
          <w:p w14:paraId="2EAB3404">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1</w:t>
            </w: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2</w:t>
            </w:r>
            <w:r>
              <w:rPr>
                <w:rFonts w:hint="default" w:ascii="Times New Roman" w:hAnsi="Times New Roman" w:eastAsia="宋体" w:cs="Times New Roman"/>
                <w:color w:val="auto"/>
                <w:sz w:val="24"/>
                <w:highlight w:val="none"/>
                <w:u w:val="none"/>
                <w:lang w:val="en-US" w:eastAsia="zh-CN"/>
              </w:rPr>
              <w:t>，…，qn--每种危险物质的最大存在总量，t</w:t>
            </w:r>
            <w:r>
              <w:rPr>
                <w:rFonts w:hint="eastAsia" w:ascii="Times New Roman" w:hAnsi="Times New Roman" w:eastAsia="宋体" w:cs="Times New Roman"/>
                <w:color w:val="auto"/>
                <w:sz w:val="24"/>
                <w:highlight w:val="none"/>
                <w:u w:val="none"/>
                <w:lang w:val="en-US" w:eastAsia="zh-CN"/>
              </w:rPr>
              <w:t>；</w:t>
            </w:r>
          </w:p>
          <w:p w14:paraId="46ABF06F">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l</w:t>
            </w: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2</w:t>
            </w:r>
            <w:r>
              <w:rPr>
                <w:rFonts w:hint="default" w:ascii="Times New Roman" w:hAnsi="Times New Roman" w:eastAsia="宋体" w:cs="Times New Roman"/>
                <w:color w:val="auto"/>
                <w:sz w:val="24"/>
                <w:highlight w:val="none"/>
                <w:u w:val="none"/>
                <w:lang w:val="en-US" w:eastAsia="zh-CN"/>
              </w:rPr>
              <w:t>，…，Qn--每种危险物质的临界量，t。</w:t>
            </w:r>
          </w:p>
          <w:p w14:paraId="0C556CC4">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将Q值划分为</w:t>
            </w:r>
            <w:r>
              <w:rPr>
                <w:rFonts w:hint="eastAsia" w:ascii="Times New Roman" w:hAnsi="Times New Roman" w:eastAsia="宋体" w:cs="Times New Roman"/>
                <w:color w:val="auto"/>
                <w:sz w:val="24"/>
                <w:highlight w:val="none"/>
                <w:u w:val="none"/>
                <w:lang w:val="en-US" w:eastAsia="zh-CN"/>
              </w:rPr>
              <w:t>：（1）</w:t>
            </w:r>
            <w:r>
              <w:rPr>
                <w:rFonts w:hint="default" w:ascii="Times New Roman" w:hAnsi="Times New Roman" w:eastAsia="宋体" w:cs="Times New Roman"/>
                <w:color w:val="auto"/>
                <w:sz w:val="24"/>
                <w:highlight w:val="none"/>
                <w:u w:val="none"/>
                <w:lang w:val="en-US" w:eastAsia="zh-CN"/>
              </w:rPr>
              <w:t>Q&lt;1</w:t>
            </w:r>
            <w:r>
              <w:rPr>
                <w:rFonts w:hint="eastAsia" w:ascii="Times New Roman" w:hAnsi="Times New Roman" w:eastAsia="宋体" w:cs="Times New Roman"/>
                <w:color w:val="auto"/>
                <w:sz w:val="24"/>
                <w:highlight w:val="none"/>
                <w:u w:val="none"/>
                <w:lang w:val="en-US" w:eastAsia="zh-CN"/>
              </w:rPr>
              <w:t>；（2）</w:t>
            </w:r>
            <w:r>
              <w:rPr>
                <w:rFonts w:hint="default" w:ascii="Times New Roman" w:hAnsi="Times New Roman" w:eastAsia="宋体" w:cs="Times New Roman"/>
                <w:color w:val="auto"/>
                <w:sz w:val="24"/>
                <w:highlight w:val="none"/>
                <w:u w:val="none"/>
                <w:lang w:val="en-US" w:eastAsia="zh-CN"/>
              </w:rPr>
              <w:t>1≤Q&lt;10</w:t>
            </w:r>
            <w:r>
              <w:rPr>
                <w:rFonts w:hint="eastAsia" w:ascii="Times New Roman" w:hAnsi="Times New Roman" w:eastAsia="宋体" w:cs="Times New Roman"/>
                <w:color w:val="auto"/>
                <w:sz w:val="24"/>
                <w:highlight w:val="none"/>
                <w:u w:val="none"/>
                <w:lang w:val="en-US" w:eastAsia="zh-CN"/>
              </w:rPr>
              <w:t>；（3）</w:t>
            </w:r>
            <w:r>
              <w:rPr>
                <w:rFonts w:hint="default" w:ascii="Times New Roman" w:hAnsi="Times New Roman" w:eastAsia="宋体" w:cs="Times New Roman"/>
                <w:color w:val="auto"/>
                <w:sz w:val="24"/>
                <w:highlight w:val="none"/>
                <w:u w:val="none"/>
                <w:lang w:val="en-US" w:eastAsia="zh-CN"/>
              </w:rPr>
              <w:t>10≤Q&lt;100</w:t>
            </w:r>
            <w:r>
              <w:rPr>
                <w:rFonts w:hint="eastAsia" w:ascii="Times New Roman" w:hAnsi="Times New Roman" w:eastAsia="宋体" w:cs="Times New Roman"/>
                <w:color w:val="auto"/>
                <w:sz w:val="24"/>
                <w:highlight w:val="none"/>
                <w:u w:val="none"/>
                <w:lang w:val="en-US" w:eastAsia="zh-CN"/>
              </w:rPr>
              <w:t>；（4）</w:t>
            </w:r>
            <w:r>
              <w:rPr>
                <w:rFonts w:hint="default" w:ascii="Times New Roman" w:hAnsi="Times New Roman" w:eastAsia="宋体" w:cs="Times New Roman"/>
                <w:color w:val="auto"/>
                <w:sz w:val="24"/>
                <w:highlight w:val="none"/>
                <w:u w:val="none"/>
                <w:lang w:val="en-US" w:eastAsia="zh-CN"/>
              </w:rPr>
              <w:t>Q≥100。</w:t>
            </w:r>
          </w:p>
          <w:p w14:paraId="2360912F">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B.船舶燃油量</w:t>
            </w:r>
          </w:p>
          <w:p w14:paraId="0781B2EB">
            <w:pPr>
              <w:pStyle w:val="19"/>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本项目属于维护性疏浚工程，不涉及危险化学品的储运，项目环境主要风险为船舶漏油溢油对水体的影响，溢油量按照设计代表船型的船用燃料油全部泄漏的数量确定。</w:t>
            </w:r>
          </w:p>
          <w:p w14:paraId="4C0B5DE3">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本项目施工拟投入1艘舱容为3500m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的耙吸船，吨位约5700t；1艘10m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抓斗挖泥船，吨位约200t；舱容为2500m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的泥驳船，吨位约4000t。根据《船舶污染海洋环境风险评价技术规范（试行）》附录4.1中的规定，非油轮船舶燃油最大携带量也可用船舶总吨推算，根据船型不同，一般取船舶总吨的8%～12%，本环评按照10%推算船舶燃油的最大携带量，按照最不利影响状况为3500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的耙吸船发生船舶溢油事故。施工期最多泄漏燃料油为5700×10%=570t。</w:t>
            </w:r>
          </w:p>
          <w:p w14:paraId="4E0AEBB5">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根据《环境影响评价技术导则 海洋生态环境》附录G ，船舶燃料油（油类物质）临界量为100t，详见下表。</w:t>
            </w:r>
          </w:p>
          <w:p w14:paraId="30CF8094">
            <w:pPr>
              <w:spacing w:line="360" w:lineRule="auto"/>
              <w:jc w:val="center"/>
              <w:rPr>
                <w:rFonts w:hint="default"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表4.1-8油类物质的临界量</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6"/>
              <w:gridCol w:w="1942"/>
            </w:tblGrid>
            <w:tr w14:paraId="35F9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52" w:type="pct"/>
                  <w:noWrap w:val="0"/>
                  <w:vAlign w:val="center"/>
                </w:tcPr>
                <w:p w14:paraId="2E9C6D18">
                  <w:pPr>
                    <w:pStyle w:val="19"/>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物质名称</w:t>
                  </w:r>
                </w:p>
              </w:tc>
              <w:tc>
                <w:tcPr>
                  <w:tcW w:w="1147" w:type="pct"/>
                  <w:noWrap w:val="0"/>
                  <w:vAlign w:val="center"/>
                </w:tcPr>
                <w:p w14:paraId="3FD9B6B2">
                  <w:pPr>
                    <w:pStyle w:val="19"/>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临界量t</w:t>
                  </w:r>
                </w:p>
              </w:tc>
            </w:tr>
            <w:tr w14:paraId="5B36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2" w:type="pct"/>
                  <w:noWrap w:val="0"/>
                  <w:vAlign w:val="center"/>
                </w:tcPr>
                <w:p w14:paraId="6DCC7659">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宋体" w:hAnsi="宋体" w:eastAsia="宋体" w:cs="宋体"/>
                      <w:color w:val="auto"/>
                      <w:kern w:val="0"/>
                      <w:sz w:val="21"/>
                      <w:szCs w:val="21"/>
                      <w:highlight w:val="none"/>
                      <w:lang w:val="en-US" w:eastAsia="zh-CN" w:bidi="ar"/>
                    </w:rPr>
                    <w:t>油类物质（矿物油类，如石油、汽油、柴油等；生物柴油等）</w:t>
                  </w:r>
                </w:p>
              </w:tc>
              <w:tc>
                <w:tcPr>
                  <w:tcW w:w="1147" w:type="pct"/>
                  <w:noWrap w:val="0"/>
                  <w:vAlign w:val="center"/>
                </w:tcPr>
                <w:p w14:paraId="412D6B70">
                  <w:pPr>
                    <w:pStyle w:val="19"/>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100</w:t>
                  </w:r>
                </w:p>
              </w:tc>
            </w:tr>
            <w:tr w14:paraId="5EB3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center"/>
                </w:tcPr>
                <w:p w14:paraId="35E873BD">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宋体" w:hAnsi="宋体" w:eastAsia="宋体" w:cs="宋体"/>
                      <w:color w:val="auto"/>
                      <w:kern w:val="0"/>
                      <w:sz w:val="21"/>
                      <w:szCs w:val="21"/>
                      <w:highlight w:val="none"/>
                      <w:lang w:val="en-US" w:eastAsia="zh-CN" w:bidi="ar"/>
                    </w:rPr>
                    <w:t>注：船舶在线量按单个船舶所载货油或船用燃料油全部舱容的数量确定。</w:t>
                  </w:r>
                </w:p>
              </w:tc>
            </w:tr>
          </w:tbl>
          <w:p w14:paraId="5DAB4F9E">
            <w:pPr>
              <w:pStyle w:val="19"/>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本项目危险物质（燃料油）与油类物质临界量比值Q=570/100=5.7，1</w:t>
            </w:r>
            <w:r>
              <w:rPr>
                <w:rFonts w:hint="default" w:ascii="Times New Roman" w:hAnsi="Times New Roman" w:eastAsia="宋体" w:cs="Times New Roman"/>
                <w:color w:val="auto"/>
                <w:sz w:val="24"/>
                <w:highlight w:val="none"/>
                <w:lang w:val="en-US" w:eastAsia="zh-CN"/>
              </w:rPr>
              <w:t>&lt;</w:t>
            </w:r>
            <w:r>
              <w:rPr>
                <w:rFonts w:hint="eastAsia" w:ascii="Times New Roman" w:hAnsi="Times New Roman" w:eastAsia="宋体" w:cs="Times New Roman"/>
                <w:color w:val="auto"/>
                <w:sz w:val="24"/>
                <w:highlight w:val="none"/>
                <w:lang w:val="en-US" w:eastAsia="zh-CN"/>
              </w:rPr>
              <w:t>Q=5.7</w:t>
            </w:r>
            <w:r>
              <w:rPr>
                <w:rFonts w:hint="default" w:ascii="Times New Roman" w:hAnsi="Times New Roman" w:eastAsia="宋体" w:cs="Times New Roman"/>
                <w:color w:val="auto"/>
                <w:sz w:val="24"/>
                <w:highlight w:val="none"/>
                <w:lang w:val="en-US" w:eastAsia="zh-CN"/>
              </w:rPr>
              <w:t>&lt;</w:t>
            </w:r>
            <w:r>
              <w:rPr>
                <w:rFonts w:hint="eastAsia" w:ascii="Times New Roman" w:hAnsi="Times New Roman" w:eastAsia="宋体" w:cs="Times New Roman"/>
                <w:color w:val="auto"/>
                <w:sz w:val="24"/>
                <w:highlight w:val="none"/>
                <w:lang w:val="en-US" w:eastAsia="zh-CN"/>
              </w:rPr>
              <w:t>10，项目的风险潜势为</w:t>
            </w:r>
            <w:r>
              <w:rPr>
                <w:rFonts w:hint="default" w:ascii="Times New Roman" w:hAnsi="Times New Roman" w:eastAsia="宋体" w:cs="Times New Roman"/>
                <w:color w:val="auto"/>
                <w:sz w:val="24"/>
                <w:highlight w:val="none"/>
                <w:lang w:val="en-US" w:eastAsia="zh-CN"/>
              </w:rPr>
              <w:t>Ⅱ</w:t>
            </w:r>
            <w:r>
              <w:rPr>
                <w:rFonts w:hint="eastAsia" w:ascii="Times New Roman" w:hAnsi="Times New Roman" w:eastAsia="宋体" w:cs="Times New Roman"/>
                <w:color w:val="auto"/>
                <w:sz w:val="24"/>
                <w:highlight w:val="none"/>
                <w:lang w:val="en-US" w:eastAsia="zh-CN"/>
              </w:rPr>
              <w:t>，则项目风险评价等级为三级评价。</w:t>
            </w:r>
          </w:p>
          <w:p w14:paraId="7E8D20B5">
            <w:pPr>
              <w:pStyle w:val="19"/>
              <w:numPr>
                <w:ilvl w:val="0"/>
                <w:numId w:val="20"/>
              </w:numPr>
              <w:spacing w:line="360" w:lineRule="auto"/>
              <w:ind w:left="0" w:leftChars="0"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环境风险类型识别</w:t>
            </w:r>
          </w:p>
          <w:p w14:paraId="100021F7">
            <w:pPr>
              <w:pStyle w:val="19"/>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属于维护性疏浚工程，施工期主要风险来源于船舶碰撞后可能出现的溢油和意外漏油事故，多为船舶相撞、操作失误或极端天气造成。另外，项目施工期间，施工船舶存在由于管理或操作失误等原因引起燃料油泄漏的可能性，但这种事故的影响和危害程度较小。</w:t>
            </w:r>
          </w:p>
          <w:p w14:paraId="0084BC75">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①自然灾害风险</w:t>
            </w:r>
          </w:p>
          <w:p w14:paraId="398A9196">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所处海域是热带气旋、风暴潮、暴雨多发海域，可能遭受热带气旋、海浪、暴雨等自然灾害的袭击。在热带气旋活动过程中往往伴随着狂风、暴雨、巨浪和暴潮，导致海堤被毁、房屋倒塌、农田被淹、通信和电力设施被毁，人民生命财产损失巨大。因此，对本工程直接造成不利影响的海洋灾害主要是热带气旋、灾害性波浪和风暴潮。强台风导致的海域超高潮位、巨浪正面袭击验潮站均会造成重大损失。</w:t>
            </w:r>
          </w:p>
          <w:p w14:paraId="133AAE5F">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因此，施工期间如遇恶劣天气及海况，施工单位应停止一切施工，做好相应的安全检查工作，制定事故应急预案，本项目施工期自然灾害的风险事故是可以避免的。</w:t>
            </w:r>
          </w:p>
          <w:p w14:paraId="25C21F60">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②溢油事故风险</w:t>
            </w:r>
          </w:p>
          <w:p w14:paraId="5E697F27">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根据《环境影响评价技术导则海洋生态环境》（</w:t>
            </w:r>
            <w:r>
              <w:rPr>
                <w:rFonts w:hint="default" w:ascii="Times New Roman" w:hAnsi="Times New Roman" w:eastAsia="宋体" w:cs="Times New Roman"/>
                <w:color w:val="auto"/>
                <w:sz w:val="24"/>
                <w:highlight w:val="none"/>
                <w:lang w:val="en-US" w:eastAsia="zh-CN"/>
              </w:rPr>
              <w:t>HJ1409-2025</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8.6</w:t>
            </w:r>
            <w:r>
              <w:rPr>
                <w:rFonts w:hint="eastAsia" w:ascii="Times New Roman" w:hAnsi="Times New Roman" w:eastAsia="宋体" w:cs="Times New Roman"/>
                <w:color w:val="auto"/>
                <w:sz w:val="24"/>
                <w:highlight w:val="none"/>
                <w:lang w:val="en-US" w:eastAsia="zh-CN"/>
              </w:rPr>
              <w:t>海洋生态环境风险预测”中“一、二级评价项目油和类油（漂浮型）有毒有害物质的漂移扩散过程按附录</w:t>
            </w:r>
            <w:r>
              <w:rPr>
                <w:rFonts w:hint="default" w:ascii="Times New Roman" w:hAnsi="Times New Roman" w:eastAsia="宋体" w:cs="Times New Roman"/>
                <w:color w:val="auto"/>
                <w:sz w:val="24"/>
                <w:highlight w:val="none"/>
                <w:lang w:val="en-US" w:eastAsia="zh-CN"/>
              </w:rPr>
              <w:t>D</w:t>
            </w:r>
            <w:r>
              <w:rPr>
                <w:rFonts w:hint="eastAsia" w:ascii="Times New Roman" w:hAnsi="Times New Roman" w:eastAsia="宋体" w:cs="Times New Roman"/>
                <w:color w:val="auto"/>
                <w:sz w:val="24"/>
                <w:highlight w:val="none"/>
                <w:lang w:val="en-US" w:eastAsia="zh-CN"/>
              </w:rPr>
              <w:t>中的“溢油粒子模型”进行预测；三级评价项目应定性分析说明海域环境影响后果”，本项目的风险潜势为Ⅱ，海洋环境风险评价等级为三级评价，因此，本项目溢油事故风险影响采用定性分析。</w:t>
            </w:r>
          </w:p>
          <w:p w14:paraId="34282EB8">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在施工期溢油风险的概率较低，但有可能出现因管理不严、措施不当而引起的环境污染等事故，主要是船舶碰撞后出现的溢油和意外漏油事故。发生溢油事故时，石油类在水体内发生扩展，难以依靠水体短时间内自净降解，致使水体内石油含量超标，油膜在海面上扩散，阻止海气交换，对海洋生态环境和景观造成一定影响。</w:t>
            </w:r>
          </w:p>
          <w:p w14:paraId="6BA3E0E8">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A.溢油对海洋环境及敏感资源的影响分析</w:t>
            </w:r>
          </w:p>
          <w:p w14:paraId="144E1780">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燃料油由多种烃类组成，各种烃类毒性都有非常大的差别。试验表明，沸点低的化合物（如芳烃）具有较为严重的毒性作用，特别是被限定在较小的范围内，溢漏的轻质油的毒性损害作用最大。低沸点的芳香族烃对一切生物均有毒害，而高沸点的芳香烃则是长效毒性，均会对海洋生物构成威胁和危害，直至死亡。船舶燃料油等持久性油类难溶于水、比重比水轻、黏度比较大，因此，泄漏的油品首先会因浮力而漂浮于海面，因重力而在海面发生扩展，因黏着力而形成具有一定厚度的成片油膜，因风、浪、潮的作用力而在水面漂移扩散。与此同时，在阳光、海面能量、微生物等环境因素的作用下，泄漏油品会发生一系列的溶解、乳化、光解、蒸发、分解等迁移转化反应，一旦遇到海岸、生物体、无机悬浮物，溢油还会发生附着、吸附和降解等变化，对环境的影响和损害较为严重，且持续时间较长。</w:t>
            </w:r>
          </w:p>
          <w:p w14:paraId="2EBEBCDC">
            <w:pPr>
              <w:pStyle w:val="19"/>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B.溢油对水质及底质的影响分析</w:t>
            </w:r>
          </w:p>
          <w:p w14:paraId="6A883447">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燃料油泄漏在海面形成油膜以后，受到破碎波的作用，使一部分以油滴形式进入水形成分散油，另外，由于机械动力，如涡旋、破碎浪花、湍流等因素，使油和水激烈混合，形成油包水乳物和水包油乳物化。这两种作用都将增加水质的油类浓度，特别是上层水中的浓度将明显增加。</w:t>
            </w:r>
          </w:p>
          <w:p w14:paraId="2FCB0E3C">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据有关资料及室内的模拟实验表明，油膜由分散作用和乳化作用而引起的海水上层海水中油类浓度增加值可超过</w:t>
            </w:r>
            <w:r>
              <w:rPr>
                <w:rFonts w:hint="default" w:ascii="Times New Roman" w:hAnsi="Times New Roman" w:eastAsia="宋体" w:cs="Times New Roman"/>
                <w:color w:val="auto"/>
                <w:sz w:val="24"/>
                <w:highlight w:val="none"/>
                <w:lang w:val="en-US" w:eastAsia="zh-CN"/>
              </w:rPr>
              <w:t>0.050mg/L</w:t>
            </w:r>
            <w:r>
              <w:rPr>
                <w:rFonts w:hint="eastAsia" w:ascii="Times New Roman" w:hAnsi="Times New Roman" w:eastAsia="宋体" w:cs="Times New Roman"/>
                <w:color w:val="auto"/>
                <w:sz w:val="24"/>
                <w:highlight w:val="none"/>
                <w:lang w:val="en-US" w:eastAsia="zh-CN"/>
              </w:rPr>
              <w:t>的二类海水水质标准。在近岸水域，由于粘附在岩石沙滩上油在波浪的往复作用，水质中油类浓度将大大增加，将超过</w:t>
            </w:r>
            <w:r>
              <w:rPr>
                <w:rFonts w:hint="default" w:ascii="Times New Roman" w:hAnsi="Times New Roman" w:eastAsia="宋体" w:cs="Times New Roman"/>
                <w:color w:val="auto"/>
                <w:sz w:val="24"/>
                <w:highlight w:val="none"/>
                <w:lang w:val="en-US" w:eastAsia="zh-CN"/>
              </w:rPr>
              <w:t>0.30mg/L</w:t>
            </w:r>
            <w:r>
              <w:rPr>
                <w:rFonts w:hint="eastAsia" w:ascii="Times New Roman" w:hAnsi="Times New Roman" w:eastAsia="宋体" w:cs="Times New Roman"/>
                <w:color w:val="auto"/>
                <w:sz w:val="24"/>
                <w:highlight w:val="none"/>
                <w:lang w:val="en-US" w:eastAsia="zh-CN"/>
              </w:rPr>
              <w:t>的三类海水水质标准。</w:t>
            </w:r>
          </w:p>
          <w:p w14:paraId="6C71DA7A">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另外，由于油膜覆盖，将影响水和气之间的交换，致使溶解氧减少。同时，溢油后，油的重组分可自行沉积，或黏附在海区悬浮物颗粒中，沉积在沉积物表面，从而对底质造成影响。</w:t>
            </w:r>
          </w:p>
          <w:p w14:paraId="112B0A6D">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C.溢油对海洋生物的影响分析</w:t>
            </w:r>
          </w:p>
          <w:p w14:paraId="5B65B405">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对浮游动植物：</w:t>
            </w:r>
            <w:r>
              <w:rPr>
                <w:rFonts w:hint="eastAsia" w:ascii="Times New Roman" w:hAnsi="Times New Roman" w:eastAsia="宋体" w:cs="Times New Roman"/>
                <w:color w:val="auto"/>
                <w:sz w:val="24"/>
                <w:highlight w:val="none"/>
                <w:lang w:val="en-US" w:eastAsia="zh-CN"/>
              </w:rPr>
              <w:t>在油膜覆盖下，将影响水</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气之间的交换，致使溶解氧减少，光照减弱，同时，油类的生物分解和其自身氧化作用又消耗水体中的溶解氧，使水体缺氧并可能导致生物体死亡。另外，油膜还能降低表层水体中的阳光辐射量，阻碍浮游植物的光合作用，甚至引起死亡，同时也使以浮游植物为主要食物来源的浮游动物大量减少或死亡。</w:t>
            </w:r>
          </w:p>
          <w:p w14:paraId="65C7583B">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对鱼类和虾类：据研究，在含油浓度为0.01mg/L的水体中，鱼类和贝类生活24小时后即可沾上油味，因此将这一浓度定为鱼、贝类发臭的临界浓度。鱼类产生臭味的途径是体表渗透和消化道、呼吸道的侵入，并以呼吸道侵入为主。燃料油中的油臭成分从鱼、贝的鳃、黏膜侵入，通过血液或体液迅速地扩散到全身。经济鱼、贝类产生油臭味后，大大降低了其销售和食用价值。</w:t>
            </w:r>
            <w:r>
              <w:rPr>
                <w:rFonts w:hint="eastAsia" w:ascii="Times New Roman" w:hAnsi="Times New Roman" w:eastAsia="宋体" w:cs="Times New Roman"/>
                <w:color w:val="auto"/>
                <w:sz w:val="24"/>
                <w:highlight w:val="none"/>
                <w:lang w:val="en-US" w:eastAsia="zh-CN"/>
              </w:rPr>
              <w:t>鱼类的早期发育阶段，特别是发育中的鱼卵，最易受油污染的伤害。由于燃料油对鱼卵的毒性作用以及油污染引起的水体亲和力的改变，将破坏发育中胚胎里的物质交换，因而孵出的前仔鱼大多发育异常，这样的前仔鱼几乎没有生命力。溢油污染不仅能引起水域的鱼虾回避或引起鱼类死亡，造成生物资源和渔业资源的损失。</w:t>
            </w:r>
          </w:p>
          <w:p w14:paraId="3CA59093">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对海洋贝类的影响：溢油一旦搁滩，在大量油品覆盖的滩面，固着性生物，如贝类、甲壳类生物和藻类会窒息死亡。在油膜蔓延的滩面上，幼贝发育不良，产量下降，成年贝会因沾染油臭而降低市场价值。在潮下带的养殖贝类，也会受到严重的油污染。漫滩的污油会随潮汐涨落在附近周期性摆动，面积逐渐扩大，在波浪扰动下部分被掩埋进入沉积环境；潮间带溢油也会由于风化和吸附沉降进入沉积环境。这些进入底泥中的油类靠化学降解作用去除需要数月之久。在此期间，会使贝类幼体或中毒发育不良或窒息死亡，使急性污染变成沉积环境的长期污染。</w:t>
            </w:r>
          </w:p>
          <w:p w14:paraId="42AD70D6">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亚致死效应：由于溢油的影响可持续一段时间，除急性致死效应影响外，还可能发生亚致死效应。该效应的作用机制主要表现为：生理和行为效应，主要表现为麻醉效应、干扰基础生物化学机制、降低浮游植物光合作用和生长率、影响视觉感觉及诱变效应等。据文献报道，燃料油浓度在</w:t>
            </w:r>
            <w:r>
              <w:rPr>
                <w:rFonts w:hint="default" w:ascii="Times New Roman" w:hAnsi="Times New Roman" w:eastAsia="宋体" w:cs="Times New Roman"/>
                <w:color w:val="auto"/>
                <w:sz w:val="24"/>
                <w:highlight w:val="none"/>
                <w:lang w:val="en-US" w:eastAsia="zh-CN"/>
              </w:rPr>
              <w:t>0.001~0.1mg/L</w:t>
            </w:r>
            <w:r>
              <w:rPr>
                <w:rFonts w:hint="eastAsia" w:ascii="Times New Roman" w:hAnsi="Times New Roman" w:eastAsia="宋体" w:cs="Times New Roman"/>
                <w:color w:val="auto"/>
                <w:sz w:val="24"/>
                <w:highlight w:val="none"/>
                <w:lang w:val="en-US" w:eastAsia="zh-CN"/>
              </w:rPr>
              <w:t>范围时，即会出现该效应；</w:t>
            </w:r>
            <w:r>
              <w:rPr>
                <w:rFonts w:hint="default" w:ascii="Times New Roman" w:hAnsi="Times New Roman" w:eastAsia="宋体" w:cs="Times New Roman"/>
                <w:color w:val="auto"/>
                <w:sz w:val="24"/>
                <w:highlight w:val="none"/>
                <w:lang w:val="en-US" w:eastAsia="zh-CN"/>
              </w:rPr>
              <w:t>b</w:t>
            </w:r>
            <w:r>
              <w:rPr>
                <w:rFonts w:hint="eastAsia" w:ascii="Times New Roman" w:hAnsi="Times New Roman" w:eastAsia="宋体" w:cs="Times New Roman"/>
                <w:color w:val="auto"/>
                <w:sz w:val="24"/>
                <w:highlight w:val="none"/>
                <w:lang w:val="en-US" w:eastAsia="zh-CN"/>
              </w:rPr>
              <w:t>生态效应，较长期暴露于</w:t>
            </w:r>
            <w:r>
              <w:rPr>
                <w:rFonts w:hint="default" w:ascii="Times New Roman" w:hAnsi="Times New Roman" w:eastAsia="宋体" w:cs="Times New Roman"/>
                <w:color w:val="auto"/>
                <w:sz w:val="24"/>
                <w:highlight w:val="none"/>
                <w:lang w:val="en-US" w:eastAsia="zh-CN"/>
              </w:rPr>
              <w:t>0.01~0.1mg/L</w:t>
            </w:r>
            <w:r>
              <w:rPr>
                <w:rFonts w:hint="eastAsia" w:ascii="Times New Roman" w:hAnsi="Times New Roman" w:eastAsia="宋体" w:cs="Times New Roman"/>
                <w:color w:val="auto"/>
                <w:sz w:val="24"/>
                <w:highlight w:val="none"/>
                <w:lang w:val="en-US" w:eastAsia="zh-CN"/>
              </w:rPr>
              <w:t>燃料油浓度中，可造成生态群落结构的破坏，群落结构中某些对燃料油敏感的种类消失或减少，代之以嗜污种类增加，使不同营养级生物比例失调而导致局部海域海洋生物链（网）的破坏；</w:t>
            </w:r>
            <w:r>
              <w:rPr>
                <w:rFonts w:hint="default" w:ascii="Times New Roman" w:hAnsi="Times New Roman" w:eastAsia="宋体" w:cs="Times New Roman"/>
                <w:color w:val="auto"/>
                <w:sz w:val="24"/>
                <w:highlight w:val="none"/>
                <w:lang w:val="en-US" w:eastAsia="zh-CN"/>
              </w:rPr>
              <w:t>c</w:t>
            </w:r>
            <w:r>
              <w:rPr>
                <w:rFonts w:hint="eastAsia" w:ascii="Times New Roman" w:hAnsi="Times New Roman" w:eastAsia="宋体" w:cs="Times New Roman"/>
                <w:color w:val="auto"/>
                <w:sz w:val="24"/>
                <w:highlight w:val="none"/>
                <w:lang w:val="en-US" w:eastAsia="zh-CN"/>
              </w:rPr>
              <w:t>异味效应，海洋生物具有从栖息环境中积累燃料油烃的能力，富集系数可达</w:t>
            </w:r>
            <w:r>
              <w:rPr>
                <w:rFonts w:hint="default" w:ascii="Times New Roman" w:hAnsi="Times New Roman" w:eastAsia="宋体" w:cs="Times New Roman"/>
                <w:color w:val="auto"/>
                <w:sz w:val="24"/>
                <w:highlight w:val="none"/>
                <w:lang w:val="en-US" w:eastAsia="zh-CN"/>
              </w:rPr>
              <w:t>102~107</w:t>
            </w:r>
            <w:r>
              <w:rPr>
                <w:rFonts w:hint="eastAsia" w:ascii="Times New Roman" w:hAnsi="Times New Roman" w:eastAsia="宋体" w:cs="Times New Roman"/>
                <w:color w:val="auto"/>
                <w:sz w:val="24"/>
                <w:highlight w:val="none"/>
                <w:lang w:val="en-US" w:eastAsia="zh-CN"/>
              </w:rPr>
              <w:t>（因种类而异），导致生物体产生异味，失去其经济价值。</w:t>
            </w:r>
          </w:p>
          <w:p w14:paraId="04B33868">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E.溢油对海洋生态长期累积影响</w:t>
            </w:r>
          </w:p>
          <w:p w14:paraId="0E90B9C1">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溢油事故对渔业资源的中、长期累积影响主要是造成渔业资源种类、数量及组成的改变，从而使渔业长期逐渐减产。这种影响在海域环境中可持续数年至十几年，因溢油规模及溢油地点而异。一般在近岸、河口或盐沼地发生溢油的恢复时间相对要长些。根据对法国布列塔尼发生的</w:t>
            </w:r>
            <w:r>
              <w:rPr>
                <w:rFonts w:hint="default" w:ascii="Times New Roman" w:hAnsi="Times New Roman" w:eastAsia="宋体" w:cs="Times New Roman"/>
                <w:color w:val="auto"/>
                <w:sz w:val="24"/>
                <w:highlight w:val="none"/>
                <w:lang w:val="en-US" w:eastAsia="zh-CN"/>
              </w:rPr>
              <w:t>AmocoCadiz</w:t>
            </w:r>
            <w:r>
              <w:rPr>
                <w:rFonts w:hint="eastAsia" w:ascii="Times New Roman" w:hAnsi="Times New Roman" w:eastAsia="宋体" w:cs="Times New Roman"/>
                <w:color w:val="auto"/>
                <w:sz w:val="24"/>
                <w:highlight w:val="none"/>
                <w:lang w:val="en-US" w:eastAsia="zh-CN"/>
              </w:rPr>
              <w:t>溢油影响的研究表明，溢油后一年，在两个湾里有几种鱼类的幼体完全消失而其成体的生长则显著减少，并且出现病态及畸变，估计其资源恢复到平衡至少需要几年时间。根据对美国马萨诸塞州</w:t>
            </w:r>
            <w:r>
              <w:rPr>
                <w:rFonts w:hint="default" w:ascii="Times New Roman" w:hAnsi="Times New Roman" w:eastAsia="宋体" w:cs="Times New Roman"/>
                <w:color w:val="auto"/>
                <w:sz w:val="24"/>
                <w:highlight w:val="none"/>
                <w:lang w:val="en-US" w:eastAsia="zh-CN"/>
              </w:rPr>
              <w:t>Buzzards</w:t>
            </w:r>
            <w:r>
              <w:rPr>
                <w:rFonts w:hint="eastAsia" w:ascii="Times New Roman" w:hAnsi="Times New Roman" w:eastAsia="宋体" w:cs="Times New Roman"/>
                <w:color w:val="auto"/>
                <w:sz w:val="24"/>
                <w:highlight w:val="none"/>
                <w:lang w:val="en-US" w:eastAsia="zh-CN"/>
              </w:rPr>
              <w:t>湾发生的佛罗里达号油驳轮溢油的研究发现，溢油后</w:t>
            </w:r>
            <w:r>
              <w:rPr>
                <w:rFonts w:hint="default" w:ascii="Times New Roman" w:hAnsi="Times New Roman" w:eastAsia="宋体" w:cs="Times New Roman"/>
                <w:color w:val="auto"/>
                <w:sz w:val="24"/>
                <w:highlight w:val="none"/>
                <w:lang w:val="en-US" w:eastAsia="zh-CN"/>
              </w:rPr>
              <w:t>3~4</w:t>
            </w:r>
            <w:r>
              <w:rPr>
                <w:rFonts w:hint="eastAsia" w:ascii="Times New Roman" w:hAnsi="Times New Roman" w:eastAsia="宋体" w:cs="Times New Roman"/>
                <w:color w:val="auto"/>
                <w:sz w:val="24"/>
                <w:highlight w:val="none"/>
                <w:lang w:val="en-US" w:eastAsia="zh-CN"/>
              </w:rPr>
              <w:t>年，大型底栖生物仍没有明显的恢复，而盐沼潮间带的某些蟹类在溢油</w:t>
            </w:r>
            <w:r>
              <w:rPr>
                <w:rFonts w:hint="default"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年后仍未完全恢复，估计溢油的影响最少持续</w:t>
            </w:r>
            <w:r>
              <w:rPr>
                <w:rFonts w:hint="default" w:ascii="Times New Roman" w:hAnsi="Times New Roman" w:eastAsia="宋体"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eastAsia="zh-CN"/>
              </w:rPr>
              <w:t>年。</w:t>
            </w:r>
          </w:p>
          <w:p w14:paraId="391E3378">
            <w:pPr>
              <w:pStyle w:val="19"/>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F.溢油对红树林的影响分析</w:t>
            </w:r>
          </w:p>
          <w:p w14:paraId="250C2FFE">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红树林是一种稀有的木本胎生植物，它生长于陆地与海洋交界带的滩涂浅滩，是陆地向海洋过渡的特殊生态系统。红树林的生物资源量非常丰富，红树林还具有防风消浪、促淤保滩、固岸护堤、净化海水和空气的功能。而溢油事故对于红树林具有非常大的破坏作用。</w:t>
            </w:r>
          </w:p>
          <w:p w14:paraId="42F9DBF2">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有相关研究表明，随着燃料油处理浓度的增加，红树植物叶片中烃的富集也增加，而白骨壤叶片中累积的烃类是其他3种红树植物的2~6倍。可见，燃料油还可在红树林沉积物中富集，引起沉积物pH值、溶解氧含量、氧化还原电位以及间隙水盐度下降，形成一个缺氧的强还原性环境，从而破坏该区生态环境。</w:t>
            </w:r>
          </w:p>
          <w:p w14:paraId="055A257E">
            <w:pPr>
              <w:pStyle w:val="19"/>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红树林有不少鸟类栖息，海面上的溢油对鸟类的危害最大，尤其是潜水摄食的鸟类。这些鸟类以海洋浮游生物及鱼类为食，当接触到油膜后，羽毛能浸吸油类，导致羽毛失去防水、保温能力，另一方面它们因不能觅食而用嘴整理自己的羽毛，摄取溢油，损伤内脏。最终它们会因饥饿、寒冷、中毒而死亡。在溢油事故发生时，从保护自然生态的角度急救鸟类的工作是非常重要的。</w:t>
            </w:r>
          </w:p>
          <w:p w14:paraId="164A8CE1">
            <w:pPr>
              <w:pStyle w:val="19"/>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G.对旅游休闲区的影响分析</w:t>
            </w:r>
          </w:p>
          <w:p w14:paraId="3EAE2B7A">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一旦污染物进入旅游休闲娱乐区，吸附在岸线上，将对旅游休闲娱乐区生态环境及景观环境造成重大损失，也对旅游休闲娱乐区的经济造成重大损害。</w:t>
            </w:r>
          </w:p>
          <w:p w14:paraId="3B2A0FAD">
            <w:pPr>
              <w:pStyle w:val="19"/>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H.对人体健康的间接影响</w:t>
            </w:r>
          </w:p>
          <w:p w14:paraId="1B68F475">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溢油通过食用油污染鱼虾或贝类对人体健康产生间接的影响。燃料油类物质对人体危害－指其致癌作用，燃料油类物质中对哺乳类有致癌作用的多环芳烃，如</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苯并芘和</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苯并蒽等。生物资源，特别是软体动物和藻类常含有较高量的多环芳烃。海洋生物体中多环芳烃的含量不仅取决于摄食，而且取决于它们积蓄和代谢这类化合物的能力。在积蓄和保护芳香族化合物和多环芳烃能力方面，富脂鱼胜于贫脂鱼，在某一鱼种体内，富脂组织胜于贫脂组织。鱼类和甲壳类动物能够代谢多环芳烃类，并以水溶性更大的羟基物形式排泄。软体动物在这方面的能力较差。软体动物富集多环芳烃类所达到的含量高于任何其他海洋生物，但在人类饮食中多环芳烃仅占很小的一部分，因而它们在加剧致癌危险方面的作用很小。</w:t>
            </w:r>
          </w:p>
          <w:p w14:paraId="5D51E98A">
            <w:pPr>
              <w:pStyle w:val="19"/>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I.溢油对浅水域及岸线的影响分析</w:t>
            </w:r>
          </w:p>
          <w:p w14:paraId="7DCA296B">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浅水域通常是海洋生物活动最集中的场所，如贝类、幼鱼、珊瑚等活动在该区域，也包括海草层。溢油对该类水域的污染异常敏感，造成的危害在社会上反映强烈。如果在这类水域使用溢油分散剂，造成的危害会更大。因此，当溢油污染会波及该类水域时，决策者的首选对策应是如何避免污染，而不是等待污染后再采取清除措施，更不适合使用分散剂。</w:t>
            </w:r>
          </w:p>
          <w:p w14:paraId="34F6ED63">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溢油对岸线沙滩的污染威胁，直接影响到旅游业。靠海滨浴场、沙滩发展的旅游业是有季节性的，在溢油发生的初始阶段首先要考虑这一问题，以便及时地采取措施，把溢油对旅游业的影响控制到最低程度。</w:t>
            </w:r>
          </w:p>
          <w:p w14:paraId="5ABAF82C">
            <w:pPr>
              <w:pStyle w:val="19"/>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J.对码头和工业的影响分析</w:t>
            </w:r>
          </w:p>
          <w:p w14:paraId="1D89BA57">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码头和游艇停泊区对溢油也是非常敏感的，通常情况下需要对港区水域进行清理，这势必会影响到船舶的进出港。要对被污染的游艇和船舶采取清洁措施，这种操作的费用也是较高的。</w:t>
            </w:r>
          </w:p>
          <w:p w14:paraId="5A9FC7AE">
            <w:pPr>
              <w:pStyle w:val="19"/>
              <w:numPr>
                <w:ilvl w:val="0"/>
                <w:numId w:val="20"/>
              </w:numPr>
              <w:spacing w:line="360" w:lineRule="auto"/>
              <w:ind w:left="0" w:leftChars="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施工期溢油事故风险影响分析</w:t>
            </w:r>
          </w:p>
          <w:p w14:paraId="77699BE5">
            <w:pPr>
              <w:pStyle w:val="1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本项目施工期采用</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艘舱容为3500m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的耙吸船、1艘舱容为2500m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的泥驳船、1艘10m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的抓斗挖泥船进行疏浚施工，项目疏浚过程施工船较少，且为小型船舶，施工区域位于码头港池及回旋水域内，为减少施工船舶对进出码头船舶的影响，项目采取分区域方式进行疏浚作业，先对没有船舶靠泊的港池施工，项目疏浚施工过程中发生船舶碰撞等事故造成海上溢油风险概率较低，同时，项目码头区域配备了相应的围油栏、吸油毡及储存装置等溢油应急物资，在做好船舶施工人员安全操作教育工作、并制定切实可行的溢油风险防范措施和应急预案的基础上，本项目船舶溢油事故所产生的环境风险可以控制在可接受风险水平内。</w:t>
            </w:r>
          </w:p>
          <w:p w14:paraId="258EF00E">
            <w:pPr>
              <w:pStyle w:val="19"/>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疏浚施工过程中，建设单位应与海事部门协商，加强施工船舶的管理，尽量减少施工过程对海上交通影响，同时掌握附近船舶航行活动规律，尽量避免船舶密集时穿越主航道，避免影响港区通航安全，避免因船舶碰撞而造成油品泄漏等环境风险。</w:t>
            </w:r>
          </w:p>
        </w:tc>
      </w:tr>
      <w:tr w14:paraId="55705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noWrap w:val="0"/>
            <w:tcMar>
              <w:left w:w="28" w:type="dxa"/>
              <w:right w:w="28" w:type="dxa"/>
            </w:tcMar>
            <w:vAlign w:val="center"/>
          </w:tcPr>
          <w:p w14:paraId="29D351E2">
            <w:pPr>
              <w:adjustRightInd w:val="0"/>
              <w:snapToGrid w:val="0"/>
              <w:jc w:val="center"/>
              <w:rPr>
                <w:bCs/>
                <w:color w:val="auto"/>
                <w:szCs w:val="21"/>
                <w:highlight w:val="none"/>
              </w:rPr>
            </w:pPr>
            <w:r>
              <w:rPr>
                <w:rFonts w:hint="eastAsia" w:ascii="宋体" w:hAnsi="宋体" w:cs="宋体"/>
                <w:color w:val="auto"/>
                <w:kern w:val="0"/>
                <w:sz w:val="24"/>
                <w:szCs w:val="21"/>
                <w:highlight w:val="none"/>
              </w:rPr>
              <w:t>运营期生态环境影响分析</w:t>
            </w:r>
          </w:p>
        </w:tc>
        <w:tc>
          <w:tcPr>
            <w:tcW w:w="4567" w:type="pct"/>
            <w:noWrap w:val="0"/>
            <w:vAlign w:val="center"/>
          </w:tcPr>
          <w:p w14:paraId="63B7345F">
            <w:pPr>
              <w:spacing w:line="360" w:lineRule="auto"/>
              <w:ind w:firstLine="480" w:firstLineChars="200"/>
              <w:rPr>
                <w:rFonts w:hint="default" w:eastAsia="宋体"/>
                <w:bCs/>
                <w:color w:val="auto"/>
                <w:spacing w:val="-10"/>
                <w:highlight w:val="none"/>
                <w:lang w:val="en-US" w:eastAsia="zh-CN"/>
              </w:rPr>
            </w:pPr>
            <w:r>
              <w:rPr>
                <w:rFonts w:hint="eastAsia" w:ascii="Times New Roman" w:hAnsi="Times New Roman" w:eastAsia="宋体" w:cs="Times New Roman"/>
                <w:color w:val="auto"/>
                <w:sz w:val="24"/>
                <w:highlight w:val="none"/>
                <w:u w:val="none"/>
                <w:lang w:val="en-US" w:eastAsia="zh-CN"/>
              </w:rPr>
              <w:t>本项目属于港口码头维护性疏浚，不涉及营运期，不会对营运期环境造成不良影响。</w:t>
            </w:r>
          </w:p>
        </w:tc>
      </w:tr>
      <w:tr w14:paraId="1380E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noWrap w:val="0"/>
            <w:tcMar>
              <w:left w:w="28" w:type="dxa"/>
              <w:right w:w="28" w:type="dxa"/>
            </w:tcMar>
            <w:vAlign w:val="center"/>
          </w:tcPr>
          <w:p w14:paraId="600D4829">
            <w:pPr>
              <w:adjustRightInd w:val="0"/>
              <w:snapToGrid w:val="0"/>
              <w:jc w:val="center"/>
              <w:rPr>
                <w:rFonts w:hint="eastAsia" w:ascii="宋体" w:hAnsi="宋体" w:cs="宋体"/>
                <w:color w:val="auto"/>
                <w:kern w:val="0"/>
                <w:sz w:val="24"/>
                <w:szCs w:val="21"/>
                <w:highlight w:val="none"/>
                <w:u w:val="none"/>
              </w:rPr>
            </w:pPr>
            <w:r>
              <w:rPr>
                <w:rFonts w:hint="eastAsia" w:ascii="宋体" w:hAnsi="宋体" w:cs="宋体"/>
                <w:color w:val="auto"/>
                <w:kern w:val="0"/>
                <w:sz w:val="24"/>
                <w:szCs w:val="21"/>
                <w:highlight w:val="none"/>
                <w:u w:val="none"/>
              </w:rPr>
              <w:t>选址选线环境合理性分析</w:t>
            </w:r>
          </w:p>
        </w:tc>
        <w:tc>
          <w:tcPr>
            <w:tcW w:w="4567" w:type="pct"/>
            <w:noWrap w:val="0"/>
            <w:vAlign w:val="center"/>
          </w:tcPr>
          <w:p w14:paraId="2E637ABB">
            <w:pPr>
              <w:spacing w:line="360" w:lineRule="auto"/>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4.3.1项目选址合理性</w:t>
            </w:r>
          </w:p>
          <w:p w14:paraId="04F97D24">
            <w:pPr>
              <w:spacing w:line="360" w:lineRule="auto"/>
              <w:ind w:firstLine="480" w:firstLineChars="200"/>
              <w:rPr>
                <w:rFonts w:hint="eastAsia"/>
                <w:color w:val="auto"/>
                <w:sz w:val="24"/>
                <w:highlight w:val="none"/>
                <w:u w:val="none"/>
                <w:lang w:eastAsia="zh-CN"/>
              </w:rPr>
            </w:pPr>
            <w:r>
              <w:rPr>
                <w:rFonts w:hint="eastAsia"/>
                <w:color w:val="auto"/>
                <w:sz w:val="24"/>
                <w:highlight w:val="none"/>
                <w:u w:val="none"/>
                <w:lang w:eastAsia="zh-CN"/>
              </w:rPr>
              <w:t>本项目位于钦州港金谷港区金鼓江作业区</w:t>
            </w:r>
            <w:r>
              <w:rPr>
                <w:rFonts w:hint="eastAsia"/>
                <w:color w:val="auto"/>
                <w:sz w:val="24"/>
                <w:highlight w:val="none"/>
                <w:u w:val="none"/>
                <w:lang w:val="en-US" w:eastAsia="zh-CN"/>
              </w:rPr>
              <w:t>19#</w:t>
            </w:r>
            <w:r>
              <w:rPr>
                <w:rFonts w:hint="eastAsia"/>
                <w:color w:val="auto"/>
                <w:sz w:val="24"/>
                <w:highlight w:val="none"/>
                <w:u w:val="none"/>
                <w:lang w:eastAsia="zh-CN"/>
              </w:rPr>
              <w:t>泊位停泊海域和回旋海域，本工程用海类型为交通运输用海，不占用生态保护红线，符合近岸海域环境管控单元生态环境准入条件。本项目为码头港池维护性疏浚</w:t>
            </w:r>
            <w:bookmarkStart w:id="137" w:name="_GoBack"/>
            <w:bookmarkEnd w:id="137"/>
            <w:r>
              <w:rPr>
                <w:rFonts w:hint="eastAsia"/>
                <w:color w:val="auto"/>
                <w:sz w:val="24"/>
                <w:highlight w:val="none"/>
                <w:u w:val="none"/>
                <w:lang w:eastAsia="zh-CN"/>
              </w:rPr>
              <w:t>项目建设对周边海洋、大气、声环境产生的环境影响是可控的，各项目污染物排放均具备经济合理的处理措施，环境影响程度较小。项目建设完成后改善区域水深条件，有利于进出港船舶航行，符合交通运输用海的功能定位。</w:t>
            </w:r>
          </w:p>
          <w:p w14:paraId="2E19C14A">
            <w:pPr>
              <w:spacing w:line="360" w:lineRule="auto"/>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4.3.2用海方式和平面布置合理性</w:t>
            </w:r>
          </w:p>
          <w:p w14:paraId="1A0CD070">
            <w:pPr>
              <w:numPr>
                <w:ilvl w:val="0"/>
                <w:numId w:val="21"/>
              </w:num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用海方式</w:t>
            </w:r>
          </w:p>
          <w:p w14:paraId="11499AA2">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本项目用海为钦州港金谷港区金鼓江作业区</w:t>
            </w:r>
            <w:r>
              <w:rPr>
                <w:rFonts w:hint="eastAsia"/>
                <w:color w:val="auto"/>
                <w:sz w:val="24"/>
                <w:highlight w:val="none"/>
                <w:u w:val="none"/>
                <w:lang w:val="en-US" w:eastAsia="zh-CN"/>
              </w:rPr>
              <w:t>19#泊位停泊水域和回旋水域清淤疏浚，用海方式为“围海”中的“港池、蓄水”，采用的 “港池、蓄水”的用海方式是对海洋环境影响较小的方式，因此本项目用海方式合理。</w:t>
            </w:r>
          </w:p>
          <w:p w14:paraId="0E001F6C">
            <w:pPr>
              <w:numPr>
                <w:ilvl w:val="0"/>
                <w:numId w:val="21"/>
              </w:num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用海平面布置</w:t>
            </w:r>
          </w:p>
          <w:p w14:paraId="3584AA00">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本工程为钦州港金谷港区金鼓江作业区</w:t>
            </w:r>
            <w:r>
              <w:rPr>
                <w:rFonts w:hint="eastAsia"/>
                <w:color w:val="auto"/>
                <w:sz w:val="24"/>
                <w:highlight w:val="none"/>
                <w:u w:val="none"/>
                <w:lang w:val="en-US" w:eastAsia="zh-CN"/>
              </w:rPr>
              <w:t>19#泊位停泊水域和回旋水域清淤疏浚</w:t>
            </w:r>
            <w:r>
              <w:rPr>
                <w:rFonts w:hint="eastAsia" w:ascii="Times New Roman" w:hAnsi="Times New Roman" w:eastAsia="宋体" w:cs="Times New Roman"/>
                <w:color w:val="auto"/>
                <w:sz w:val="24"/>
                <w:highlight w:val="none"/>
                <w:u w:val="none"/>
                <w:lang w:val="en-US" w:eastAsia="zh-CN"/>
              </w:rPr>
              <w:t>（维护性疏浚临时用海），项目用海类型为“交通运输用海”（一级类）中的“港口用海”（二级类），用海方式为“围海”中的“港池、蓄水”，项目用海区平面布置主要根据钦州港金谷港区金鼓江作业区 19#泊位工程运营期船舶掉头的需要，对 19#泊位码头停泊水域和回旋水域水深不足的区域进行疏浚，后续本疏浚区域为公共水域，也利于周边码头项目船舶的通航及掉头，本项目建设保证了对海域资源的充分利用。项目平面布置根据港口规划，并结合钦州港金谷港区金鼓江作业区 19#泊位建设要求和工程区前沿海域水深情况提出，体现了集约用海、高效用海的原则。因此，项目平面布置合理。</w:t>
            </w:r>
          </w:p>
          <w:p w14:paraId="45741E37">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p>
          <w:p w14:paraId="2FC67CF6">
            <w:pPr>
              <w:spacing w:line="360" w:lineRule="auto"/>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4.3.3用海选址和周边海域其他活动的适应性分析</w:t>
            </w:r>
          </w:p>
          <w:p w14:paraId="63787850">
            <w:pPr>
              <w:spacing w:line="360" w:lineRule="auto"/>
              <w:ind w:firstLine="480" w:firstLineChars="200"/>
              <w:rPr>
                <w:rFonts w:hint="eastAsia"/>
                <w:color w:val="auto"/>
                <w:sz w:val="24"/>
                <w:highlight w:val="none"/>
                <w:u w:val="none"/>
                <w:lang w:eastAsia="zh-CN"/>
              </w:rPr>
            </w:pPr>
            <w:r>
              <w:rPr>
                <w:rFonts w:hint="eastAsia"/>
                <w:color w:val="auto"/>
                <w:sz w:val="24"/>
                <w:highlight w:val="none"/>
                <w:u w:val="none"/>
                <w:lang w:eastAsia="zh-CN"/>
              </w:rPr>
              <w:t>（</w:t>
            </w:r>
            <w:r>
              <w:rPr>
                <w:rFonts w:hint="eastAsia"/>
                <w:color w:val="auto"/>
                <w:sz w:val="24"/>
                <w:highlight w:val="none"/>
                <w:u w:val="none"/>
                <w:lang w:val="en-US" w:eastAsia="zh-CN"/>
              </w:rPr>
              <w:t>1</w:t>
            </w:r>
            <w:r>
              <w:rPr>
                <w:rFonts w:hint="eastAsia"/>
                <w:color w:val="auto"/>
                <w:sz w:val="24"/>
                <w:highlight w:val="none"/>
                <w:u w:val="none"/>
                <w:lang w:eastAsia="zh-CN"/>
              </w:rPr>
              <w:t>）项目选址和周边港口航运的适应性分析</w:t>
            </w:r>
          </w:p>
          <w:p w14:paraId="2BC1DDA8">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color w:val="auto"/>
                <w:sz w:val="24"/>
                <w:highlight w:val="none"/>
                <w:u w:val="none"/>
                <w:lang w:eastAsia="zh-CN"/>
              </w:rPr>
              <w:t>本项目用海位于</w:t>
            </w:r>
            <w:r>
              <w:rPr>
                <w:rFonts w:hint="eastAsia" w:ascii="Times New Roman" w:hAnsi="Times New Roman" w:eastAsia="宋体" w:cs="Times New Roman"/>
                <w:color w:val="auto"/>
                <w:sz w:val="24"/>
                <w:highlight w:val="none"/>
                <w:u w:val="none"/>
                <w:lang w:val="en-US" w:eastAsia="zh-CN"/>
              </w:rPr>
              <w:t>金鼓江主航道的东侧，项目区所在金鼓江航道段设计为50000吨级。本项目施工船舶进出及作业需占用金鼓江航道，也就是说本项目的施工将加大该航道的通航密度，一定程度上给周边项目来往船舶正常通行造成影响，项目建设单位应切实落实相关安全保障措施和港口、海事主管部门的相关要求，施工期在施工船舶过往航道处的周边设置警示标志，提醒过往船舶提前避让，避免对航道的正常营运造成干扰。</w:t>
            </w:r>
          </w:p>
          <w:p w14:paraId="6711A2F8">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（2）项目选址和周边功能区的适应性分析</w:t>
            </w:r>
          </w:p>
          <w:p w14:paraId="1D777532">
            <w:pPr>
              <w:spacing w:line="360" w:lineRule="auto"/>
              <w:ind w:firstLine="480" w:firstLineChars="200"/>
              <w:rPr>
                <w:rFonts w:hint="eastAsia" w:ascii="Times New Roman" w:hAnsi="Times New Roman" w:eastAsia="宋体" w:cs="Times New Roman"/>
                <w:color w:val="auto"/>
                <w:sz w:val="24"/>
                <w:highlight w:val="none"/>
                <w:u w:val="none"/>
                <w:lang w:eastAsia="zh-CN"/>
              </w:rPr>
            </w:pPr>
            <w:r>
              <w:rPr>
                <w:rFonts w:hint="eastAsia" w:ascii="Times New Roman" w:hAnsi="Times New Roman" w:eastAsia="宋体" w:cs="Times New Roman"/>
                <w:color w:val="auto"/>
                <w:sz w:val="24"/>
                <w:highlight w:val="none"/>
                <w:u w:val="none"/>
                <w:lang w:val="en-US" w:eastAsia="zh-CN"/>
              </w:rPr>
              <w:t>项目用海区位于“A2-9 鹰岭-果子山-金鼓江港口航运区”，项目周边有农渔业区和旅游休闲娱乐区，</w:t>
            </w:r>
            <w:r>
              <w:rPr>
                <w:rFonts w:hint="eastAsia" w:ascii="Times New Roman" w:hAnsi="Times New Roman" w:eastAsia="宋体" w:cs="Times New Roman"/>
                <w:color w:val="auto"/>
                <w:sz w:val="24"/>
                <w:highlight w:val="none"/>
                <w:u w:val="none"/>
                <w:lang w:eastAsia="zh-CN"/>
              </w:rPr>
              <w:t>项目距离旅游休闲娱乐区较远，不会对旅游休闲娱乐区的景观造成不协调。根据悬浮物预测结果，施工产生的10mg/L 浓度悬浮泥沙不会进入周边农渔业区和旅游休闲娱乐区，项目建设不会对周边的旅游区、农渔业区造成影响。</w:t>
            </w:r>
          </w:p>
          <w:p w14:paraId="6C5ECDCE">
            <w:pPr>
              <w:numPr>
                <w:ilvl w:val="0"/>
                <w:numId w:val="21"/>
              </w:numPr>
              <w:spacing w:line="360" w:lineRule="auto"/>
              <w:ind w:left="0" w:leftChars="0"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项目选址和周边用海活动的适应性分析</w:t>
            </w:r>
          </w:p>
          <w:p w14:paraId="4443AA6F">
            <w:pPr>
              <w:pStyle w:val="228"/>
              <w:ind w:firstLine="48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本项目西侧为钦州港金鼓江作业区的码头工程，东侧钦州港大榄坪港区大榄坪作业区内的码头工程。项目施工用海可以的安全和环境风险为施工期悬浮泥沙和施工船舶风险溢油事故，需要定制和做好风险防范措施，将事故发生可能性降到最小。在做好防范措施的前提下，项目选址和周边资源其他用海活动相适应。</w:t>
            </w:r>
          </w:p>
          <w:p w14:paraId="7DA4AEA0">
            <w:pPr>
              <w:spacing w:line="360" w:lineRule="auto"/>
              <w:ind w:firstLine="480" w:firstLineChars="200"/>
              <w:rPr>
                <w:rFonts w:hint="eastAsia" w:eastAsia="宋体"/>
                <w:bCs/>
                <w:color w:val="auto"/>
                <w:spacing w:val="-10"/>
                <w:szCs w:val="21"/>
                <w:highlight w:val="none"/>
                <w:u w:val="none"/>
                <w:lang w:eastAsia="zh-CN"/>
              </w:rPr>
            </w:pPr>
            <w:r>
              <w:rPr>
                <w:rFonts w:hint="eastAsia" w:ascii="Times New Roman" w:hAnsi="Times New Roman" w:eastAsia="宋体" w:cs="Times New Roman"/>
                <w:color w:val="auto"/>
                <w:sz w:val="24"/>
                <w:highlight w:val="none"/>
                <w:u w:val="none"/>
                <w:lang w:val="en-US" w:eastAsia="zh-CN"/>
              </w:rPr>
              <w:t>施工前建设单位根据《中</w:t>
            </w:r>
            <w:r>
              <w:rPr>
                <w:rFonts w:hint="eastAsia" w:cs="Times New Roman"/>
                <w:color w:val="auto"/>
                <w:sz w:val="24"/>
                <w:highlight w:val="none"/>
                <w:u w:val="none"/>
                <w:lang w:val="en-US" w:eastAsia="zh-CN"/>
              </w:rPr>
              <w:t>华</w:t>
            </w:r>
            <w:r>
              <w:rPr>
                <w:rFonts w:hint="eastAsia" w:ascii="Times New Roman" w:hAnsi="Times New Roman" w:eastAsia="宋体" w:cs="Times New Roman"/>
                <w:color w:val="auto"/>
                <w:sz w:val="24"/>
                <w:highlight w:val="none"/>
                <w:u w:val="none"/>
                <w:lang w:val="en-US" w:eastAsia="zh-CN"/>
              </w:rPr>
              <w:t>人民共和国海域使用管理法》《临时海域使用暂行管理办法》等办理相关用海申请，取得海域使用权并按时缴纳海域使用金。</w:t>
            </w:r>
            <w:r>
              <w:rPr>
                <w:rFonts w:hint="eastAsia" w:ascii="Times New Roman" w:hAnsi="Times New Roman" w:eastAsia="宋体" w:cs="Times New Roman"/>
                <w:color w:val="auto"/>
                <w:sz w:val="24"/>
                <w:highlight w:val="none"/>
                <w:u w:val="none"/>
                <w:lang w:eastAsia="zh-CN"/>
              </w:rPr>
              <w:t>综上，本工程不存在环境制约因素，污染物均能达标排放或妥善处置，对生态环境影响较小。从环保角度分析，本工程的选址是合理的。</w:t>
            </w:r>
          </w:p>
        </w:tc>
      </w:tr>
    </w:tbl>
    <w:p w14:paraId="0B9705DA">
      <w:pPr>
        <w:pStyle w:val="40"/>
        <w:spacing w:before="0" w:beforeAutospacing="0" w:after="0" w:afterAutospacing="0" w:line="360" w:lineRule="auto"/>
        <w:jc w:val="both"/>
        <w:outlineLvl w:val="0"/>
        <w:rPr>
          <w:rStyle w:val="54"/>
          <w:rFonts w:hint="eastAsia"/>
          <w:color w:val="auto"/>
          <w:highlight w:val="none"/>
        </w:rPr>
        <w:sectPr>
          <w:pgSz w:w="11907" w:h="16840"/>
          <w:pgMar w:top="1701" w:right="1531" w:bottom="2127" w:left="1531" w:header="851" w:footer="851" w:gutter="0"/>
          <w:cols w:space="720" w:num="1"/>
          <w:docGrid w:linePitch="312" w:charSpace="0"/>
        </w:sectPr>
      </w:pPr>
    </w:p>
    <w:p w14:paraId="42CAF4A0">
      <w:pPr>
        <w:pStyle w:val="40"/>
        <w:spacing w:before="0" w:beforeAutospacing="0" w:after="0" w:afterAutospacing="0" w:line="360" w:lineRule="auto"/>
        <w:jc w:val="center"/>
        <w:outlineLvl w:val="0"/>
        <w:rPr>
          <w:rFonts w:ascii="Times New Roman" w:hAnsi="Times New Roman" w:eastAsia="黑体"/>
          <w:snapToGrid w:val="0"/>
          <w:color w:val="auto"/>
          <w:sz w:val="30"/>
          <w:szCs w:val="30"/>
          <w:highlight w:val="none"/>
        </w:rPr>
      </w:pPr>
      <w:bookmarkStart w:id="47" w:name="_Toc22675"/>
      <w:r>
        <w:rPr>
          <w:rStyle w:val="54"/>
          <w:rFonts w:hint="eastAsia"/>
          <w:color w:val="auto"/>
          <w:highlight w:val="none"/>
        </w:rPr>
        <w:t>五</w:t>
      </w:r>
      <w:r>
        <w:rPr>
          <w:rStyle w:val="54"/>
          <w:color w:val="auto"/>
          <w:highlight w:val="none"/>
        </w:rPr>
        <w:t>、</w:t>
      </w:r>
      <w:bookmarkEnd w:id="43"/>
      <w:bookmarkEnd w:id="44"/>
      <w:bookmarkEnd w:id="45"/>
      <w:r>
        <w:rPr>
          <w:rStyle w:val="54"/>
          <w:rFonts w:hint="eastAsia"/>
          <w:color w:val="auto"/>
          <w:highlight w:val="none"/>
        </w:rPr>
        <w:t>主要生态环境保护措</w:t>
      </w:r>
      <w:bookmarkEnd w:id="47"/>
      <w:r>
        <w:rPr>
          <w:rStyle w:val="54"/>
          <w:rFonts w:hint="eastAsia"/>
          <w:color w:val="auto"/>
          <w:highlight w:val="none"/>
        </w:rPr>
        <w:t>施</w:t>
      </w:r>
    </w:p>
    <w:tbl>
      <w:tblPr>
        <w:tblStyle w:val="4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248BF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46" w:type="dxa"/>
            <w:noWrap w:val="0"/>
            <w:tcMar>
              <w:left w:w="28" w:type="dxa"/>
              <w:right w:w="28" w:type="dxa"/>
            </w:tcMar>
            <w:vAlign w:val="center"/>
          </w:tcPr>
          <w:p w14:paraId="53A3D5F2">
            <w:pPr>
              <w:adjustRightInd w:val="0"/>
              <w:snapToGrid w:val="0"/>
              <w:jc w:val="center"/>
              <w:rPr>
                <w:bCs/>
                <w:color w:val="auto"/>
                <w:szCs w:val="21"/>
                <w:highlight w:val="none"/>
              </w:rPr>
            </w:pPr>
            <w:r>
              <w:rPr>
                <w:rFonts w:hint="eastAsia" w:ascii="宋体" w:hAnsi="宋体" w:cs="宋体"/>
                <w:color w:val="auto"/>
                <w:kern w:val="0"/>
                <w:sz w:val="24"/>
                <w:szCs w:val="21"/>
                <w:highlight w:val="none"/>
              </w:rPr>
              <w:t>施工期环境保护措施</w:t>
            </w:r>
          </w:p>
        </w:tc>
        <w:tc>
          <w:tcPr>
            <w:tcW w:w="8162" w:type="dxa"/>
            <w:noWrap w:val="0"/>
            <w:vAlign w:val="center"/>
          </w:tcPr>
          <w:p w14:paraId="01F22EBA">
            <w:pPr>
              <w:spacing w:line="360" w:lineRule="auto"/>
              <w:rPr>
                <w:rFonts w:hint="eastAsia" w:eastAsia="宋体"/>
                <w:b/>
                <w:bCs/>
                <w:color w:val="auto"/>
                <w:sz w:val="28"/>
                <w:szCs w:val="28"/>
                <w:highlight w:val="none"/>
                <w:lang w:eastAsia="zh-CN"/>
              </w:rPr>
            </w:pPr>
            <w:r>
              <w:rPr>
                <w:rFonts w:hint="eastAsia"/>
                <w:b/>
                <w:bCs/>
                <w:color w:val="auto"/>
                <w:sz w:val="28"/>
                <w:szCs w:val="28"/>
                <w:highlight w:val="none"/>
                <w:lang w:val="en-US" w:eastAsia="zh-CN"/>
              </w:rPr>
              <w:t>5.1.1</w:t>
            </w:r>
            <w:r>
              <w:rPr>
                <w:rFonts w:hint="eastAsia"/>
                <w:b/>
                <w:bCs/>
                <w:color w:val="auto"/>
                <w:sz w:val="28"/>
                <w:szCs w:val="28"/>
                <w:highlight w:val="none"/>
                <w:lang w:eastAsia="zh-CN"/>
              </w:rPr>
              <w:t>大气环境保护措施</w:t>
            </w:r>
          </w:p>
          <w:p w14:paraId="1B4A3896">
            <w:pPr>
              <w:spacing w:line="360" w:lineRule="auto"/>
              <w:ind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本项目施工期环境空气污染物为施工船舶的燃油废气。主要采取以下保护措施：</w:t>
            </w:r>
          </w:p>
          <w:p w14:paraId="0C4A271A">
            <w:pPr>
              <w:spacing w:line="360" w:lineRule="auto"/>
              <w:ind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）对入场施工机械进行管理，检查合格的机器才可进场作业，尽量减少施工船舶产生的燃油废气。</w:t>
            </w:r>
          </w:p>
          <w:p w14:paraId="72CE2A02">
            <w:pPr>
              <w:spacing w:line="360" w:lineRule="auto"/>
              <w:ind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）施工船舶燃气废气，属自然排放。要加强管理，采用符合标准的低含硫燃料。</w:t>
            </w:r>
          </w:p>
          <w:p w14:paraId="1DD3E07F">
            <w:pPr>
              <w:spacing w:line="360" w:lineRule="auto"/>
              <w:ind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以上措施均为常见的措施，具体经济可行性。</w:t>
            </w:r>
          </w:p>
          <w:p w14:paraId="1467E91F">
            <w:pPr>
              <w:spacing w:line="360" w:lineRule="auto"/>
              <w:rPr>
                <w:rFonts w:hint="eastAsia" w:eastAsia="宋体"/>
                <w:b/>
                <w:bCs/>
                <w:color w:val="auto"/>
                <w:sz w:val="28"/>
                <w:szCs w:val="28"/>
                <w:highlight w:val="none"/>
                <w:lang w:eastAsia="zh-CN"/>
              </w:rPr>
            </w:pPr>
            <w:r>
              <w:rPr>
                <w:rFonts w:hint="eastAsia"/>
                <w:b/>
                <w:bCs/>
                <w:color w:val="auto"/>
                <w:sz w:val="28"/>
                <w:szCs w:val="28"/>
                <w:highlight w:val="none"/>
                <w:lang w:val="en-US" w:eastAsia="zh-CN"/>
              </w:rPr>
              <w:t>5.1.2</w:t>
            </w:r>
            <w:r>
              <w:rPr>
                <w:rFonts w:hint="eastAsia"/>
                <w:b/>
                <w:bCs/>
                <w:color w:val="auto"/>
                <w:sz w:val="28"/>
                <w:szCs w:val="28"/>
                <w:highlight w:val="none"/>
                <w:lang w:eastAsia="zh-CN"/>
              </w:rPr>
              <w:t>水环境保护措施</w:t>
            </w:r>
          </w:p>
          <w:p w14:paraId="3D67F6D5">
            <w:pPr>
              <w:spacing w:line="360" w:lineRule="auto"/>
              <w:ind w:firstLine="482" w:firstLineChars="200"/>
              <w:jc w:val="left"/>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1、施工期水污染物防治措施</w:t>
            </w:r>
          </w:p>
          <w:p w14:paraId="7136A2E2">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项目施工期产生的废水主要来自施工人员生活污水以及船舶含油污水。</w:t>
            </w:r>
          </w:p>
          <w:p w14:paraId="3900BADE">
            <w:pPr>
              <w:numPr>
                <w:ilvl w:val="0"/>
                <w:numId w:val="22"/>
              </w:num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生活污水污染防治措施</w:t>
            </w:r>
          </w:p>
          <w:p w14:paraId="195C9921">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施工期间，各类工程船、锚艇等施工船舶上作业人员产生的生活污水，先利用船舶上的污水收集容器集中储藏，待船舶上岸后，利用船上自带的泵通过管道将污水泵送至接收车，转移至污水处理点统一处理，禁止直接排入大海。</w:t>
            </w:r>
          </w:p>
          <w:p w14:paraId="46AFB343">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以上施工期采取的废水污染防治措施属于适用范围广、通用性强的常规环保措施，并且在国内外类似的工程中经常应用到，在经济和技术等方面具有一定的可行性。</w:t>
            </w:r>
          </w:p>
          <w:p w14:paraId="32EE7756">
            <w:pPr>
              <w:numPr>
                <w:ilvl w:val="0"/>
                <w:numId w:val="22"/>
              </w:num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船舶含油污水污染防治措施</w:t>
            </w:r>
          </w:p>
          <w:p w14:paraId="7D6E5760">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本工程施工期间施工船舶均设置有油污水处理设施，仅在港口水域范围内航行、作业的船舶全部油污水必须排放上岸处置。</w:t>
            </w:r>
          </w:p>
          <w:p w14:paraId="021E1461">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施工船舶作业产生的含油污水贮存在船上的储污水箱中随船携带，待船舶靠岸后统一交由陆域处理，业主方在发包疏浚工程时应将施工方与钦州市相关资质单位分别签署协议，明确施工单位船舶污水接收单位，按工程量落实确定船舶污水接收单位与接收量，严禁船舶污水向海排放作为中标前置条件。</w:t>
            </w:r>
          </w:p>
          <w:p w14:paraId="0F0EE69E">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施工作业船舶存在一定的碰撞风险，建议业主方与施工单位签署协议时明确本工程整体施工进度计划，并指定专门的监管单位进行船舶作业监管与必要的调度，防止船舶碰撞事故引发水体污染事故。</w:t>
            </w:r>
          </w:p>
          <w:p w14:paraId="6334FAEF">
            <w:pPr>
              <w:numPr>
                <w:ilvl w:val="0"/>
                <w:numId w:val="23"/>
              </w:numPr>
              <w:spacing w:line="360" w:lineRule="auto"/>
              <w:ind w:firstLine="482" w:firstLineChars="200"/>
              <w:jc w:val="left"/>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疏浚作业水污染防治措施</w:t>
            </w:r>
          </w:p>
          <w:p w14:paraId="2692FC2A">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）合理安排施工作业时间，避免在水产养殖鱼苗期和其他鱼类物种繁殖期大规模疏浚作业。</w:t>
            </w:r>
          </w:p>
          <w:p w14:paraId="6DE53EF6">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）施工单</w:t>
            </w:r>
            <w:r>
              <w:rPr>
                <w:rFonts w:hint="eastAsia" w:cs="Times New Roman"/>
                <w:color w:val="auto"/>
                <w:kern w:val="0"/>
                <w:sz w:val="24"/>
                <w:highlight w:val="none"/>
                <w:lang w:val="en-US" w:eastAsia="zh-CN"/>
              </w:rPr>
              <w:t>位</w:t>
            </w:r>
            <w:r>
              <w:rPr>
                <w:rFonts w:hint="eastAsia" w:ascii="Times New Roman" w:hAnsi="Times New Roman" w:eastAsia="宋体" w:cs="Times New Roman"/>
                <w:color w:val="auto"/>
                <w:kern w:val="0"/>
                <w:sz w:val="24"/>
                <w:highlight w:val="none"/>
                <w:lang w:val="en-US" w:eastAsia="zh-CN"/>
              </w:rPr>
              <w:t>应合理选择疏浚设备和施工工艺，对整个工程的施工质量、进度和资源消耗作出合理安排，尽可能地缩短施工周期，以减小施工作业对水环境的影响。</w:t>
            </w:r>
          </w:p>
          <w:p w14:paraId="29BDC7D9">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（3）密切关注当地气象预报，在恶劣天气条件下应提前做好施工安全防护工作，避免造成船舶碰撞及护岸坍塌等事故。</w:t>
            </w:r>
          </w:p>
          <w:p w14:paraId="443BF236">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（4）项目施工期采用抓斗式挖泥船进行疏浚，为了降低疏浚土扩散的海洋污染，工程在疏浚坑周边设置防污帘。</w:t>
            </w:r>
          </w:p>
          <w:p w14:paraId="0B7D4FDC">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（5）为避免超挖土方引起多余扰动而产生的悬浮物，施工船舶应精确定位后再开始挖掘，尽可能减少疏浚作业中不必要的超深、超宽的疏浚土方量，从根本上减少对环境产生影响的悬浮物的数量。</w:t>
            </w:r>
          </w:p>
          <w:p w14:paraId="3D9183EC">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6）加强对挖泥船疏浚、外抛过程的监管，必须运至指定地点方可抛泥，严防半路抛洒或泄漏。做好施工设备的日常检查维修，重点对施工船舶的连接部件以及储泥船舱进行检查，防止断裂或泄漏造成污染事故。</w:t>
            </w:r>
          </w:p>
          <w:p w14:paraId="41FF63D2">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7</w:t>
            </w:r>
            <w:r>
              <w:rPr>
                <w:rFonts w:hint="eastAsia" w:ascii="Times New Roman" w:hAnsi="Times New Roman" w:eastAsia="宋体" w:cs="Times New Roman"/>
                <w:color w:val="auto"/>
                <w:kern w:val="0"/>
                <w:sz w:val="24"/>
                <w:highlight w:val="none"/>
                <w:lang w:val="en-US" w:eastAsia="zh-CN"/>
              </w:rPr>
              <w:t>）疏浚施工前，施工单位应向当地主管部门备案，施工船舶应当保持</w:t>
            </w:r>
            <w:r>
              <w:rPr>
                <w:rFonts w:hint="default" w:ascii="Times New Roman" w:hAnsi="Times New Roman" w:eastAsia="宋体" w:cs="Times New Roman"/>
                <w:color w:val="auto"/>
                <w:kern w:val="0"/>
                <w:sz w:val="24"/>
                <w:highlight w:val="none"/>
                <w:lang w:val="en-US" w:eastAsia="zh-CN"/>
              </w:rPr>
              <w:t>AIS</w:t>
            </w:r>
            <w:r>
              <w:rPr>
                <w:rFonts w:hint="eastAsia" w:ascii="Times New Roman" w:hAnsi="Times New Roman" w:eastAsia="宋体" w:cs="Times New Roman"/>
                <w:color w:val="auto"/>
                <w:kern w:val="0"/>
                <w:sz w:val="24"/>
                <w:highlight w:val="none"/>
                <w:lang w:val="en-US" w:eastAsia="zh-CN"/>
              </w:rPr>
              <w:t>定位系统打开，当地主管部门不定期抽查，加强监管，确保挖泥船舶在指定地点卸泥，防止船舶发生没有进入倾倒区提前倾倒或越界倾倒行为。</w:t>
            </w:r>
          </w:p>
          <w:p w14:paraId="178337F8">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采取上述措施后，可有效降低悬浮泥沙的扩散浓度及范围，技术可行，经济合理。</w:t>
            </w:r>
          </w:p>
          <w:p w14:paraId="320FEBAF">
            <w:pPr>
              <w:numPr>
                <w:ilvl w:val="0"/>
                <w:numId w:val="23"/>
              </w:numPr>
              <w:spacing w:line="360" w:lineRule="auto"/>
              <w:ind w:firstLine="482" w:firstLineChars="200"/>
              <w:jc w:val="left"/>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船舶污染防治措施</w:t>
            </w:r>
          </w:p>
          <w:p w14:paraId="2A68AD21">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）海上施工船舶的生活污水应收集在船上的生活污水集污仓中，统一收集上岸交由有接收能力的单位接收处理（施工前应与资质单位签订船舶污染物接收处理协议）。</w:t>
            </w:r>
          </w:p>
          <w:p w14:paraId="2CB33C78">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）施工应按照海事主管部门的要求，实施船舶污水的铅封管理。船舶产生的油类、油性混合物及其他污水，船舶垃圾、废弃物和其他有毒有害物质收集后上岸处理，严禁排放入海。加强舱底检查，防止舱底漏水。</w:t>
            </w:r>
          </w:p>
          <w:p w14:paraId="335A4F68">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）严禁施工船舶向施工海域排放废油、残油等污染物；不得在施工区域清洗油舱和有污染物质的容器。</w:t>
            </w:r>
          </w:p>
          <w:p w14:paraId="510213C7">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val="en-US" w:eastAsia="zh-CN"/>
              </w:rPr>
              <w:t>）在开工前应对所有的施工设备，尤其是对挖泥船泥舱门进行严格检查，发现有可能泄漏污染物（包括船用油和疏浚土）的必须先修复后才能施工；在施工过程中应密切注意有无泄漏污染物的现象，如有发生立即采取措施。</w:t>
            </w:r>
          </w:p>
          <w:p w14:paraId="735D368B">
            <w:pPr>
              <w:spacing w:line="360" w:lineRule="auto"/>
              <w:ind w:firstLine="480" w:firstLineChars="200"/>
              <w:jc w:val="left"/>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lang w:val="en-US" w:eastAsia="zh-CN"/>
              </w:rPr>
              <w:t>）施工船舶应加强管理，经常检查机械设备性能完好情况，对跑、冒、滴、漏严重的船只严禁参加作业，以防止发生机油溢漏事故。甲板上机械出现设备漏冒油时，立即停机处理，使用吸油棉及时吸取，并迅速堵塞泄水口，防止油水流入海中。</w:t>
            </w:r>
          </w:p>
          <w:p w14:paraId="5EE4D53B">
            <w:pPr>
              <w:spacing w:line="360" w:lineRule="auto"/>
              <w:rPr>
                <w:rFonts w:hint="eastAsia" w:eastAsia="宋体"/>
                <w:color w:val="auto"/>
                <w:kern w:val="0"/>
                <w:sz w:val="24"/>
                <w:highlight w:val="none"/>
                <w:lang w:eastAsia="zh-CN"/>
              </w:rPr>
            </w:pPr>
            <w:r>
              <w:rPr>
                <w:rFonts w:hint="eastAsia"/>
                <w:b/>
                <w:bCs/>
                <w:color w:val="auto"/>
                <w:sz w:val="28"/>
                <w:szCs w:val="28"/>
                <w:highlight w:val="none"/>
                <w:lang w:val="en-US" w:eastAsia="zh-CN"/>
              </w:rPr>
              <w:t>5.1.3</w:t>
            </w:r>
            <w:r>
              <w:rPr>
                <w:rFonts w:hint="eastAsia"/>
                <w:b/>
                <w:bCs/>
                <w:color w:val="auto"/>
                <w:sz w:val="28"/>
                <w:szCs w:val="28"/>
                <w:highlight w:val="none"/>
                <w:lang w:eastAsia="zh-CN"/>
              </w:rPr>
              <w:t>声环境保护措施</w:t>
            </w:r>
          </w:p>
          <w:p w14:paraId="544C39AB">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本工程施工海域离岸较远，且周围没有噪声敏感建筑物，本工程施工噪声可满足《建筑施工场界环境噪声排放标准》（GB12523-2011）的要求。</w:t>
            </w:r>
          </w:p>
          <w:p w14:paraId="09AD9043">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（1）施工船舶按规定鸣笛，不得无故鸣笛；</w:t>
            </w:r>
          </w:p>
          <w:p w14:paraId="79481028">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（2）加强施工机械设备的维修和保养，使施工机械处于良好的工作状态，以降低噪声源强；</w:t>
            </w:r>
          </w:p>
          <w:p w14:paraId="697FF5CA">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（3）对施工机械操作工人及现场施工人员按劳动卫生标准控制工作时间，亦可采取个人防护措施，如戴隔声耳塞、头盔等。</w:t>
            </w:r>
          </w:p>
          <w:p w14:paraId="1F89A00C">
            <w:pPr>
              <w:spacing w:line="36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val="en-US" w:eastAsia="zh-CN"/>
              </w:rPr>
              <w:t>5.1.4</w:t>
            </w:r>
            <w:r>
              <w:rPr>
                <w:rFonts w:hint="eastAsia" w:ascii="Times New Roman" w:hAnsi="Times New Roman" w:eastAsia="宋体" w:cs="Times New Roman"/>
                <w:b/>
                <w:bCs/>
                <w:color w:val="auto"/>
                <w:sz w:val="28"/>
                <w:szCs w:val="28"/>
                <w:highlight w:val="none"/>
              </w:rPr>
              <w:t>固体</w:t>
            </w:r>
            <w:r>
              <w:rPr>
                <w:rFonts w:hint="eastAsia" w:ascii="Times New Roman" w:hAnsi="Times New Roman" w:eastAsia="宋体" w:cs="Times New Roman"/>
                <w:b/>
                <w:bCs/>
                <w:color w:val="auto"/>
                <w:sz w:val="28"/>
                <w:szCs w:val="28"/>
                <w:highlight w:val="none"/>
                <w:lang w:eastAsia="zh-CN"/>
              </w:rPr>
              <w:t>废弃物污染防治措施</w:t>
            </w:r>
          </w:p>
          <w:p w14:paraId="5AC96993">
            <w:pPr>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项目施工期产生的固体废弃物主要有船舶生活垃圾、疏浚物。</w:t>
            </w:r>
          </w:p>
          <w:p w14:paraId="414F77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kern w:val="0"/>
                <w:sz w:val="24"/>
                <w:highlight w:val="none"/>
                <w:lang w:eastAsia="zh-CN"/>
              </w:rPr>
            </w:pPr>
            <w:r>
              <w:rPr>
                <w:rFonts w:hint="eastAsia" w:ascii="Times New Roman" w:hAnsi="Times New Roman" w:eastAsia="宋体" w:cs="Times New Roman"/>
                <w:b/>
                <w:bCs/>
                <w:color w:val="auto"/>
                <w:kern w:val="0"/>
                <w:sz w:val="24"/>
                <w:highlight w:val="none"/>
                <w:lang w:val="en-US" w:eastAsia="zh-CN"/>
              </w:rPr>
              <w:t>1、</w:t>
            </w:r>
            <w:r>
              <w:rPr>
                <w:rFonts w:hint="eastAsia" w:ascii="Times New Roman" w:hAnsi="Times New Roman" w:eastAsia="宋体" w:cs="Times New Roman"/>
                <w:b/>
                <w:bCs/>
                <w:color w:val="auto"/>
                <w:kern w:val="0"/>
                <w:sz w:val="24"/>
                <w:highlight w:val="none"/>
                <w:lang w:eastAsia="zh-CN"/>
              </w:rPr>
              <w:t>船舶生活垃圾污染防治措施</w:t>
            </w:r>
          </w:p>
          <w:p w14:paraId="3B72B6FE">
            <w:pPr>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施工船舶垃圾严格按照船舶污染物监管“联单制度”进行管理，由有资质的单位接收处置。</w:t>
            </w:r>
          </w:p>
          <w:p w14:paraId="12E5C2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2、疏浚物污染防治措施</w:t>
            </w:r>
          </w:p>
          <w:p w14:paraId="7F185C75">
            <w:pPr>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本项目维护性疏浚产生的疏浚物量约</w:t>
            </w:r>
            <w:r>
              <w:rPr>
                <w:rFonts w:hint="eastAsia" w:ascii="Times New Roman" w:hAnsi="Times New Roman" w:eastAsia="宋体" w:cs="Times New Roman"/>
                <w:color w:val="auto"/>
                <w:kern w:val="0"/>
                <w:sz w:val="24"/>
                <w:highlight w:val="none"/>
                <w:lang w:val="en-US" w:eastAsia="zh-CN"/>
              </w:rPr>
              <w:t>1.9万m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eastAsia="zh-CN"/>
              </w:rPr>
              <w:t>，疏浚物通过泥驳船和耙吸船运输至防城港2#倾倒区，疏浚施工前应取得倾倒许可证并缴纳废弃物海洋倾倒区，施工单位需在疏浚物运输船舶上安装GPS定位系统，方便管理部门监管。</w:t>
            </w:r>
          </w:p>
          <w:p w14:paraId="683C2749">
            <w:pPr>
              <w:spacing w:line="360" w:lineRule="auto"/>
              <w:ind w:firstLine="480" w:firstLineChars="200"/>
              <w:jc w:val="left"/>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项目距离防城港</w:t>
            </w:r>
            <w:r>
              <w:rPr>
                <w:rFonts w:hint="default"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倾倒区航线距离约45km，根据生态环境部2024年第9号关于设立防城港2#倾倒区等5个倾倒区的公告范围为108°30'29.47"E、21°24'54.76"N，108°30'29.47"E、21°22'44.54"N，108°31'49.80"E、21°22'43.96"N，108°31'48.57"E、21°24'56.49"N四点连线围成的区域，面积约9.3km</w:t>
            </w:r>
            <w:r>
              <w:rPr>
                <w:rFonts w:hint="eastAsia" w:ascii="Times New Roman" w:hAnsi="Times New Roman" w:eastAsia="宋体" w:cs="Times New Roman"/>
                <w:color w:val="auto"/>
                <w:kern w:val="0"/>
                <w:sz w:val="24"/>
                <w:highlight w:val="none"/>
                <w:vertAlign w:val="superscript"/>
                <w:lang w:val="en-US" w:eastAsia="zh-CN"/>
              </w:rPr>
              <w:t>2</w:t>
            </w:r>
            <w:r>
              <w:rPr>
                <w:rFonts w:hint="eastAsia" w:ascii="Times New Roman" w:hAnsi="Times New Roman" w:eastAsia="宋体" w:cs="Times New Roman"/>
                <w:color w:val="auto"/>
                <w:kern w:val="0"/>
                <w:sz w:val="24"/>
                <w:highlight w:val="none"/>
                <w:lang w:val="en-US" w:eastAsia="zh-CN"/>
              </w:rPr>
              <w:t>。允许倾倒容量为每年206万立方米，本项目外抛疏浚物为1.9万m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，倾倒量较少，防城港2#倾倒区仍有足够余量，可满足本项目倾倒需求。</w:t>
            </w:r>
          </w:p>
          <w:p w14:paraId="04EECB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3、疏浚物倾倒管理</w:t>
            </w:r>
          </w:p>
          <w:p w14:paraId="2C49020E">
            <w:pPr>
              <w:spacing w:line="360" w:lineRule="auto"/>
              <w:ind w:firstLine="480" w:firstLineChars="200"/>
              <w:jc w:val="left"/>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eastAsia="zh-CN"/>
              </w:rPr>
              <w:t>本工程疏浚物的处置方式为泥驳船和耙吸船运输至</w:t>
            </w:r>
            <w:r>
              <w:rPr>
                <w:rFonts w:hint="eastAsia" w:ascii="Times New Roman" w:hAnsi="Times New Roman" w:eastAsia="宋体" w:cs="Times New Roman"/>
                <w:color w:val="auto"/>
                <w:kern w:val="0"/>
                <w:sz w:val="24"/>
                <w:highlight w:val="none"/>
                <w:lang w:val="en-US" w:eastAsia="zh-CN"/>
              </w:rPr>
              <w:t>防城港2#倾倒区进行倾倒，疏浚物倾倒过程应采取以下管理措施：</w:t>
            </w:r>
          </w:p>
          <w:p w14:paraId="54321B67">
            <w:pPr>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）运泥船到位倾倒</w:t>
            </w:r>
          </w:p>
          <w:p w14:paraId="21670338">
            <w:pPr>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杜绝运泥船运输过程中随意倾倒疏浚物，运泥船舶必须将疏浚泥运往指定的抛泥区。</w:t>
            </w:r>
          </w:p>
          <w:p w14:paraId="34D7FE67">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）确保运泥船舱门密闭，严防泥浆泄漏</w:t>
            </w:r>
          </w:p>
          <w:p w14:paraId="38A2CD30">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运泥船在运输疏浚泥过程中应关闭舱门，并确定舱门关闭无误后方可航行。如泥舱关闭不严，在航行沿途中由于泥浆的泄漏入海，将导致污染事故的发生。同时，应加强同当地气象预报部门的联系，在恶劣天气条件下，应提前做好防护准备并停止疏浚作业。</w:t>
            </w:r>
          </w:p>
          <w:p w14:paraId="6370B10D">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）运泥船到位处置疏浚物</w:t>
            </w:r>
          </w:p>
          <w:p w14:paraId="3D81BF67">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本工程运泥船必须配置由海洋主管部门监管并铅封的、具有自动记录功能的</w:t>
            </w:r>
            <w:r>
              <w:rPr>
                <w:rFonts w:hint="default" w:ascii="Times New Roman" w:hAnsi="Times New Roman" w:eastAsia="宋体" w:cs="Times New Roman"/>
                <w:color w:val="auto"/>
                <w:kern w:val="0"/>
                <w:sz w:val="24"/>
                <w:highlight w:val="none"/>
                <w:lang w:val="en-US" w:eastAsia="zh-CN"/>
              </w:rPr>
              <w:t>DGPS</w:t>
            </w:r>
            <w:r>
              <w:rPr>
                <w:rFonts w:hint="eastAsia" w:ascii="Times New Roman" w:hAnsi="Times New Roman" w:eastAsia="宋体" w:cs="Times New Roman"/>
                <w:color w:val="auto"/>
                <w:kern w:val="0"/>
                <w:sz w:val="24"/>
                <w:highlight w:val="none"/>
                <w:lang w:val="en-US" w:eastAsia="zh-CN"/>
              </w:rPr>
              <w:t>接收机，每月由海洋部门取出检查是否到位处置疏浚物。</w:t>
            </w:r>
          </w:p>
          <w:p w14:paraId="4345A0C0">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val="en-US" w:eastAsia="zh-CN"/>
              </w:rPr>
              <w:t>）倾倒区环境污染防治措施</w:t>
            </w:r>
          </w:p>
          <w:p w14:paraId="31336F17">
            <w:pPr>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本工程疏浚土将全部倾倒至防城港2#倾倒区。根据《中华人民共和国海洋倾废管理条例》相关条例，需要向海洋倾倒废弃物的单位，应事先向主管部门提出申请，按规定的格式填报倾倒废弃物申请书，并附报废弃物特性和成分检验单。废弃物根据其毒性、有害物质含量和对海洋环境的影响等因素，分为三类：禁止倾倒的物质，需要获得特别许可证才能倾倒的物质，低毒或无毒的废弃物。</w:t>
            </w:r>
          </w:p>
          <w:p w14:paraId="6BCA1493">
            <w:pPr>
              <w:spacing w:line="360" w:lineRule="auto"/>
              <w:rPr>
                <w:rFonts w:hint="eastAsia"/>
                <w:b/>
                <w:bCs/>
                <w:color w:val="auto"/>
                <w:sz w:val="28"/>
                <w:szCs w:val="28"/>
                <w:highlight w:val="none"/>
                <w:lang w:eastAsia="zh-CN"/>
              </w:rPr>
            </w:pPr>
            <w:r>
              <w:rPr>
                <w:rFonts w:hint="eastAsia"/>
                <w:b/>
                <w:bCs/>
                <w:color w:val="auto"/>
                <w:sz w:val="28"/>
                <w:szCs w:val="28"/>
                <w:highlight w:val="none"/>
                <w:lang w:val="en-US" w:eastAsia="zh-CN"/>
              </w:rPr>
              <w:t>5.1.5</w:t>
            </w:r>
            <w:r>
              <w:rPr>
                <w:rFonts w:hint="eastAsia"/>
                <w:b/>
                <w:bCs/>
                <w:color w:val="auto"/>
                <w:sz w:val="28"/>
                <w:szCs w:val="28"/>
                <w:highlight w:val="none"/>
              </w:rPr>
              <w:t>生态环境</w:t>
            </w:r>
            <w:r>
              <w:rPr>
                <w:rFonts w:hint="eastAsia"/>
                <w:b/>
                <w:bCs/>
                <w:color w:val="auto"/>
                <w:sz w:val="28"/>
                <w:szCs w:val="28"/>
                <w:highlight w:val="none"/>
                <w:lang w:eastAsia="zh-CN"/>
              </w:rPr>
              <w:t>保护措施</w:t>
            </w:r>
          </w:p>
          <w:p w14:paraId="0804E885">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）加强宣传教育，增强员工对水生生态的保护意识，禁止捕捞濒危保护水生生物。若发现濒危保护水生生物，应及时联系当地海事及渔业管理部门，以便采取相应保护和救助措施。</w:t>
            </w:r>
          </w:p>
          <w:p w14:paraId="7FB5E414">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项目疏浚工程将对区域水生生态造成损失，环评要求项目业主应尽快落实本报告中提出的生态补偿措施要求，并对本次生态损失进行补偿。根据估算，生态补偿费计12.88万元；具体的放流种类、放流地点，建设单位应咨询当地渔业主管部门后确定。建设单位应做好增殖放流效果的跟踪监测、调查和评估工作。</w:t>
            </w:r>
          </w:p>
          <w:p w14:paraId="52D85E61">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下一步建设单位应委托专业单位编制生态补偿实施方案，实施方案经充分论证后再实施。根据实施方案中的金额、要求，落实下一步的增殖放流等生态补偿措施。</w:t>
            </w:r>
          </w:p>
          <w:p w14:paraId="478B3E54">
            <w:pPr>
              <w:spacing w:line="36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val="en-US" w:eastAsia="zh-CN"/>
              </w:rPr>
              <w:t>5.1.6</w:t>
            </w:r>
            <w:r>
              <w:rPr>
                <w:rFonts w:hint="eastAsia" w:ascii="Times New Roman" w:hAnsi="Times New Roman" w:eastAsia="宋体" w:cs="Times New Roman"/>
                <w:b/>
                <w:bCs/>
                <w:color w:val="auto"/>
                <w:sz w:val="28"/>
                <w:szCs w:val="28"/>
                <w:highlight w:val="none"/>
                <w:lang w:eastAsia="zh-CN"/>
              </w:rPr>
              <w:t>环境风险事故风险防范措施</w:t>
            </w:r>
          </w:p>
          <w:p w14:paraId="7000565A">
            <w:pPr>
              <w:spacing w:line="360" w:lineRule="auto"/>
              <w:ind w:firstLine="562" w:firstLineChars="200"/>
              <w:jc w:val="left"/>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5.1.6.1溢油风险管理</w:t>
            </w:r>
          </w:p>
          <w:p w14:paraId="7D36A11C">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项目施工产生的主要风险事故类型为船舶碰撞发生事故溢油。船舶溢油泄漏事故对海域的水质和鱼类的生存将产生不利影响。因此，需对溢油事故严加防范杜绝发生。一旦发生事故需尽快启动溢油应急预案。</w:t>
            </w:r>
          </w:p>
          <w:p w14:paraId="1E06D3C0">
            <w:pPr>
              <w:numPr>
                <w:ilvl w:val="0"/>
                <w:numId w:val="24"/>
              </w:num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建立有效的污染事故防范体系。</w:t>
            </w:r>
          </w:p>
          <w:p w14:paraId="47A5195A">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建设单位根据实际情况，已建立了风险防控管理制度，建立了安全管理机构，采取了相应的安全管理措施、安全技术和监控措施。建立起一套严格的日常的检查制度，当班人员的自查，环保负责人的日查，各工段不定期地抽查。</w:t>
            </w:r>
          </w:p>
          <w:p w14:paraId="4D397A00">
            <w:pPr>
              <w:numPr>
                <w:ilvl w:val="0"/>
                <w:numId w:val="24"/>
              </w:num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完善水域施工、船舶靠泊、导助航等防碰撞安全设施。</w:t>
            </w:r>
          </w:p>
          <w:p w14:paraId="272B1548">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①本工程港池水域与金鼓江航道相衔接，码头前方水域进出船舶密度较大，船舶交通流复杂。当码头船舶在回旋水域进行靠离泊操作时，与这些交通流容易形成交叉相遇局面。码头经营单位必要时应提前配置足够马力的拖轮进行辅助，以确保安全，尽量选择白天、视线良好、流速缓时进行，并且派有警戒艇上下维护，防止过往船舶干扰的情况下，才能进行回旋靠离泊作业。</w:t>
            </w:r>
          </w:p>
          <w:p w14:paraId="136B0A58">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②本工程船舶吨级整体较大，应加强区域导助航设施维护，码头经营单位应密切关注码头水域的冲淤变化，定期安排相应扫测工作，及时掌握通航水域水深情况，发现浅点时应及时实施维护性疏浚，确保港池水深满足到港船舶航行安全需求。</w:t>
            </w:r>
          </w:p>
          <w:p w14:paraId="3C6CA311">
            <w:pPr>
              <w:numPr>
                <w:ilvl w:val="0"/>
                <w:numId w:val="24"/>
              </w:num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加强船舶航行管理与操船作业</w:t>
            </w:r>
          </w:p>
          <w:p w14:paraId="14C05644">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接受海事部门船舶监管，建立进出港航道及该海域内的船舶交通管制系统，实施对船舶的全航程监控；加强导助航系统建设，配置覆盖锚地至码头作业区之间的导航设施；加强船舶航行的管理，可有效避免船舶碰撞、搁浅等。</w:t>
            </w:r>
          </w:p>
          <w:p w14:paraId="34951273">
            <w:pPr>
              <w:numPr>
                <w:ilvl w:val="0"/>
                <w:numId w:val="24"/>
              </w:num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建立防污应急联动机制，在防污染应急预案编制和完善过程中应充分考虑与国家、区域和地方相关应急预案的衔接；进一步加强与钦州市等相关上级应急预案的联动机制；确保应急反应的及时性、有效性；切实做到应急体系的完整性，有序性，及时有效控制污染事故影响范围及程度。</w:t>
            </w:r>
          </w:p>
          <w:p w14:paraId="5BE8426C">
            <w:pPr>
              <w:numPr>
                <w:ilvl w:val="0"/>
                <w:numId w:val="24"/>
              </w:num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与周边码头建立沟通协调机制，加强船舶进出港信息通报和交通组织，防范因交通事故引发的污染事故。</w:t>
            </w:r>
          </w:p>
          <w:p w14:paraId="33B8825C">
            <w:pPr>
              <w:numPr>
                <w:ilvl w:val="0"/>
                <w:numId w:val="24"/>
              </w:numPr>
              <w:spacing w:line="360" w:lineRule="auto"/>
              <w:ind w:left="0" w:leftChars="0"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建议管理部门长期存放一些防护性围油栏或吸油材料。一旦溢油在不利风向条件下向保护目标边缘或岸线漂移，立即动用就近应急物资，采取布放围油栏、吸油材料等防护措施，阻止污油登岸或进入保护目标范围内。</w:t>
            </w:r>
          </w:p>
          <w:p w14:paraId="5502D9E8">
            <w:pPr>
              <w:spacing w:line="360" w:lineRule="auto"/>
              <w:ind w:firstLine="562" w:firstLineChars="200"/>
              <w:jc w:val="left"/>
              <w:rPr>
                <w:rFonts w:hint="eastAsia" w:ascii="Times New Roman" w:hAnsi="Times New Roman" w:eastAsia="宋体" w:cs="Times New Roman"/>
                <w:b/>
                <w:bCs/>
                <w:color w:val="auto"/>
                <w:sz w:val="28"/>
                <w:szCs w:val="28"/>
                <w:highlight w:val="none"/>
                <w:u w:val="single"/>
                <w:lang w:val="en-US" w:eastAsia="zh-CN"/>
              </w:rPr>
            </w:pPr>
            <w:r>
              <w:rPr>
                <w:rFonts w:hint="eastAsia" w:ascii="Times New Roman" w:hAnsi="Times New Roman" w:eastAsia="宋体" w:cs="Times New Roman"/>
                <w:b/>
                <w:bCs/>
                <w:color w:val="auto"/>
                <w:sz w:val="28"/>
                <w:szCs w:val="28"/>
                <w:highlight w:val="none"/>
                <w:u w:val="single"/>
                <w:lang w:val="en-US" w:eastAsia="zh-CN"/>
              </w:rPr>
              <w:t>5.1.6.2溢油事故的防范对策措施</w:t>
            </w:r>
          </w:p>
          <w:p w14:paraId="6187480E">
            <w:pPr>
              <w:spacing w:line="360" w:lineRule="auto"/>
              <w:ind w:firstLine="480" w:firstLineChars="200"/>
              <w:jc w:val="left"/>
              <w:rPr>
                <w:rFonts w:hint="eastAsia" w:ascii="宋体" w:hAnsi="宋体" w:eastAsia="宋体" w:cs="宋体"/>
                <w:b w:val="0"/>
                <w:bCs w:val="0"/>
                <w:color w:val="auto"/>
                <w:sz w:val="24"/>
                <w:szCs w:val="24"/>
                <w:u w:val="single"/>
              </w:rPr>
            </w:pPr>
            <w:r>
              <w:rPr>
                <w:rFonts w:hint="eastAsia" w:ascii="宋体" w:hAnsi="宋体" w:eastAsia="宋体" w:cs="宋体"/>
                <w:b w:val="0"/>
                <w:bCs w:val="0"/>
                <w:color w:val="auto"/>
                <w:sz w:val="24"/>
                <w:szCs w:val="24"/>
                <w:u w:val="single"/>
              </w:rPr>
              <w:t>本项目为维护性疏浚工程，无新的施工建设。</w:t>
            </w:r>
          </w:p>
          <w:p w14:paraId="165F3EAF">
            <w:pPr>
              <w:spacing w:line="360" w:lineRule="auto"/>
              <w:ind w:firstLine="480" w:firstLineChars="200"/>
              <w:jc w:val="left"/>
              <w:rPr>
                <w:rFonts w:hint="eastAsia" w:ascii="宋体" w:hAnsi="宋体" w:eastAsia="宋体" w:cs="宋体"/>
                <w:b w:val="0"/>
                <w:bCs w:val="0"/>
                <w:color w:val="auto"/>
                <w:sz w:val="24"/>
                <w:szCs w:val="24"/>
                <w:u w:val="single"/>
                <w:lang w:eastAsia="zh-CN"/>
              </w:rPr>
            </w:pPr>
            <w:r>
              <w:rPr>
                <w:rFonts w:hint="eastAsia" w:ascii="宋体" w:hAnsi="宋体" w:eastAsia="宋体" w:cs="宋体"/>
                <w:b w:val="0"/>
                <w:bCs w:val="0"/>
                <w:color w:val="auto"/>
                <w:sz w:val="24"/>
                <w:szCs w:val="24"/>
                <w:u w:val="single"/>
              </w:rPr>
              <w:t>船舶必须服从海上安全监督局领导的海上通讯联络、船舶导航、助航、引航、航道航标指示、海难救助、海事警报、气象、海况等港航监督管理。船只本身应严格实施安全管理，加强与海上安全监督部门和港方以及过往船舶的通讯联络，注意海况气象条件，以及航道附近礁石、浅滩等海事环境，制定应急计划，配备相应的船舶安全防护设施和溢油防治设施。</w:t>
            </w:r>
          </w:p>
          <w:p w14:paraId="4E295FE4">
            <w:pPr>
              <w:spacing w:line="360" w:lineRule="auto"/>
              <w:ind w:firstLine="480" w:firstLineChars="200"/>
              <w:jc w:val="left"/>
              <w:rPr>
                <w:rFonts w:hint="eastAsia" w:ascii="宋体" w:hAnsi="宋体" w:eastAsia="宋体" w:cs="宋体"/>
                <w:b w:val="0"/>
                <w:bCs w:val="0"/>
                <w:color w:val="auto"/>
                <w:sz w:val="24"/>
                <w:szCs w:val="24"/>
                <w:u w:val="single"/>
              </w:rPr>
            </w:pPr>
            <w:r>
              <w:rPr>
                <w:rFonts w:hint="eastAsia" w:ascii="宋体" w:hAnsi="宋体" w:eastAsia="宋体" w:cs="宋体"/>
                <w:b w:val="0"/>
                <w:bCs w:val="0"/>
                <w:color w:val="auto"/>
                <w:sz w:val="24"/>
                <w:szCs w:val="24"/>
                <w:u w:val="single"/>
              </w:rPr>
              <w:t>交管中心和海事部门等应合理安排施工期船舶靠、离港及船舶在航道行驶，避免发生船舶碰撞事故。</w:t>
            </w:r>
          </w:p>
          <w:p w14:paraId="0396F155">
            <w:pPr>
              <w:spacing w:line="360" w:lineRule="auto"/>
              <w:ind w:firstLine="480" w:firstLineChars="200"/>
              <w:jc w:val="left"/>
              <w:rPr>
                <w:rFonts w:hint="eastAsia" w:ascii="宋体" w:hAnsi="宋体" w:eastAsia="宋体" w:cs="宋体"/>
                <w:b w:val="0"/>
                <w:bCs w:val="0"/>
                <w:color w:val="auto"/>
                <w:sz w:val="24"/>
                <w:szCs w:val="24"/>
                <w:u w:val="single"/>
              </w:rPr>
            </w:pPr>
            <w:r>
              <w:rPr>
                <w:rFonts w:hint="eastAsia" w:ascii="宋体" w:hAnsi="宋体" w:eastAsia="宋体" w:cs="宋体"/>
                <w:b w:val="0"/>
                <w:bCs w:val="0"/>
                <w:color w:val="auto"/>
                <w:sz w:val="24"/>
                <w:szCs w:val="24"/>
                <w:u w:val="single"/>
              </w:rPr>
              <w:t>一旦发生事故，应立即用无线或</w:t>
            </w:r>
            <w:r>
              <w:rPr>
                <w:rFonts w:hint="eastAsia" w:ascii="宋体" w:hAnsi="宋体" w:cs="宋体"/>
                <w:b w:val="0"/>
                <w:bCs w:val="0"/>
                <w:color w:val="auto"/>
                <w:sz w:val="24"/>
                <w:szCs w:val="24"/>
                <w:u w:val="single"/>
                <w:lang w:eastAsia="zh-CN"/>
              </w:rPr>
              <w:t>有线电话</w:t>
            </w:r>
            <w:r>
              <w:rPr>
                <w:rFonts w:hint="eastAsia" w:ascii="宋体" w:hAnsi="宋体" w:eastAsia="宋体" w:cs="宋体"/>
                <w:b w:val="0"/>
                <w:bCs w:val="0"/>
                <w:color w:val="auto"/>
                <w:sz w:val="24"/>
                <w:szCs w:val="24"/>
                <w:u w:val="single"/>
              </w:rPr>
              <w:t>将溢油的时间、地点、溢油的类型、数量、原因、气象及水文情况及已采取的措施等情况报告溢油应急指挥小组，并同时报告有关公司调度。指挥小组组织实施溢油应急救助行动。溢油应急指挥小组接到事故报告后，要迅速采取营救措施，同时派专业人员赶赴现场，调查了解事故区域、污染范围，可能造成的危害程度等情况。责令事故方迅速采取可能做到的防范措施，如关闭阀门、堵漏、驳油等，</w:t>
            </w:r>
            <w:r>
              <w:rPr>
                <w:rFonts w:hint="eastAsia" w:ascii="宋体" w:hAnsi="宋体" w:cs="宋体"/>
                <w:b w:val="0"/>
                <w:bCs w:val="0"/>
                <w:color w:val="auto"/>
                <w:sz w:val="24"/>
                <w:szCs w:val="24"/>
                <w:u w:val="single"/>
                <w:lang w:eastAsia="zh-CN"/>
              </w:rPr>
              <w:t>防止</w:t>
            </w:r>
            <w:r>
              <w:rPr>
                <w:rFonts w:hint="eastAsia" w:ascii="宋体" w:hAnsi="宋体" w:eastAsia="宋体" w:cs="宋体"/>
                <w:b w:val="0"/>
                <w:bCs w:val="0"/>
                <w:color w:val="auto"/>
                <w:sz w:val="24"/>
                <w:szCs w:val="24"/>
                <w:u w:val="single"/>
              </w:rPr>
              <w:t>溢油源继续溢出；根据溢油源的类型、数量、地点、原因，评价溢油事故的规模确定反应方案；调度应急防治队伍和应急防治船舶、设备、器材以及必要的后勤支援；可能发生火情时，即通知有关方面</w:t>
            </w:r>
            <w:r>
              <w:rPr>
                <w:rFonts w:hint="eastAsia" w:ascii="宋体" w:hAnsi="宋体" w:cs="宋体"/>
                <w:b w:val="0"/>
                <w:bCs w:val="0"/>
                <w:color w:val="auto"/>
                <w:sz w:val="24"/>
                <w:szCs w:val="24"/>
                <w:u w:val="single"/>
                <w:lang w:eastAsia="zh-CN"/>
              </w:rPr>
              <w:t>启动</w:t>
            </w:r>
            <w:r>
              <w:rPr>
                <w:rFonts w:hint="eastAsia" w:ascii="宋体" w:hAnsi="宋体" w:eastAsia="宋体" w:cs="宋体"/>
                <w:b w:val="0"/>
                <w:bCs w:val="0"/>
                <w:color w:val="auto"/>
                <w:sz w:val="24"/>
                <w:szCs w:val="24"/>
                <w:u w:val="single"/>
              </w:rPr>
              <w:t>消防应急预案；派遣船舶对溢油源周围实施警戒，并监视溢油在水上的扩散；根据溢油区域的气象、风向、水流、潮流等情况，控制溢油扩散方向。</w:t>
            </w:r>
          </w:p>
          <w:p w14:paraId="0E2C55C3">
            <w:pPr>
              <w:spacing w:line="360" w:lineRule="auto"/>
              <w:ind w:firstLine="480" w:firstLineChars="200"/>
              <w:jc w:val="left"/>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当发生环境风险事故超出企业/港区处置能力或可能扩大范围造成跨区域影响时，应立即向中国一马来西亚钦州产业园区行政审批局、钦州市生态环境局等管理部门报告，进一步启动《钦州市船舶污染应急反应预案》等上级预案。</w:t>
            </w:r>
          </w:p>
        </w:tc>
      </w:tr>
      <w:tr w14:paraId="2D2224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4" w:hRule="atLeast"/>
          <w:jc w:val="center"/>
        </w:trPr>
        <w:tc>
          <w:tcPr>
            <w:tcW w:w="746" w:type="dxa"/>
            <w:noWrap w:val="0"/>
            <w:tcMar>
              <w:left w:w="28" w:type="dxa"/>
              <w:right w:w="28" w:type="dxa"/>
            </w:tcMar>
            <w:vAlign w:val="center"/>
          </w:tcPr>
          <w:p w14:paraId="0984C70F">
            <w:pPr>
              <w:adjustRightInd w:val="0"/>
              <w:snapToGrid w:val="0"/>
              <w:jc w:val="center"/>
              <w:rPr>
                <w:bCs/>
                <w:color w:val="auto"/>
                <w:szCs w:val="21"/>
                <w:highlight w:val="none"/>
              </w:rPr>
            </w:pPr>
            <w:r>
              <w:rPr>
                <w:rFonts w:hint="eastAsia" w:ascii="宋体" w:hAnsi="宋体" w:cs="宋体"/>
                <w:color w:val="auto"/>
                <w:kern w:val="0"/>
                <w:sz w:val="24"/>
                <w:szCs w:val="21"/>
                <w:highlight w:val="none"/>
              </w:rPr>
              <w:t>运营期环境影响和保护措施</w:t>
            </w:r>
          </w:p>
        </w:tc>
        <w:tc>
          <w:tcPr>
            <w:tcW w:w="8162" w:type="dxa"/>
            <w:noWrap w:val="0"/>
            <w:vAlign w:val="center"/>
          </w:tcPr>
          <w:p w14:paraId="7AE3BCB5">
            <w:pPr>
              <w:pStyle w:val="204"/>
              <w:adjustRightInd/>
              <w:snapToGrid/>
              <w:spacing w:line="360" w:lineRule="auto"/>
              <w:ind w:firstLine="480" w:firstLineChars="200"/>
              <w:rPr>
                <w:bCs/>
                <w:color w:val="auto"/>
                <w:spacing w:val="-10"/>
                <w:highlight w:val="none"/>
              </w:rPr>
            </w:pPr>
            <w:r>
              <w:rPr>
                <w:rFonts w:hint="eastAsia"/>
                <w:color w:val="auto"/>
                <w:sz w:val="24"/>
                <w:szCs w:val="24"/>
                <w:highlight w:val="none"/>
                <w:lang w:eastAsia="zh-CN"/>
              </w:rPr>
              <w:t>无</w:t>
            </w:r>
          </w:p>
        </w:tc>
      </w:tr>
      <w:tr w14:paraId="0D065C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746" w:type="dxa"/>
            <w:noWrap w:val="0"/>
            <w:tcMar>
              <w:left w:w="28" w:type="dxa"/>
              <w:right w:w="28" w:type="dxa"/>
            </w:tcMar>
            <w:vAlign w:val="center"/>
          </w:tcPr>
          <w:p w14:paraId="1A7917C1">
            <w:pPr>
              <w:adjustRightInd w:val="0"/>
              <w:snapToGrid w:val="0"/>
              <w:jc w:val="center"/>
              <w:rPr>
                <w:rFonts w:hint="eastAsia" w:ascii="宋体" w:hAnsi="宋体" w:eastAsia="宋体" w:cs="宋体"/>
                <w:color w:val="auto"/>
                <w:kern w:val="0"/>
                <w:sz w:val="24"/>
                <w:szCs w:val="21"/>
                <w:highlight w:val="none"/>
                <w:lang w:eastAsia="zh-CN"/>
              </w:rPr>
            </w:pPr>
            <w:r>
              <w:rPr>
                <w:rFonts w:hint="eastAsia" w:ascii="宋体" w:hAnsi="宋体" w:cs="宋体"/>
                <w:color w:val="auto"/>
                <w:kern w:val="0"/>
                <w:sz w:val="24"/>
                <w:szCs w:val="21"/>
                <w:highlight w:val="none"/>
                <w:lang w:eastAsia="zh-CN"/>
              </w:rPr>
              <w:t>其他</w:t>
            </w:r>
          </w:p>
        </w:tc>
        <w:tc>
          <w:tcPr>
            <w:tcW w:w="8162" w:type="dxa"/>
            <w:noWrap w:val="0"/>
            <w:vAlign w:val="center"/>
          </w:tcPr>
          <w:p w14:paraId="1D034BF4">
            <w:pPr>
              <w:pStyle w:val="204"/>
              <w:numPr>
                <w:ilvl w:val="0"/>
                <w:numId w:val="0"/>
              </w:numPr>
              <w:adjustRightInd/>
              <w:snapToGrid/>
              <w:spacing w:line="360" w:lineRule="auto"/>
              <w:rPr>
                <w:rFonts w:hint="eastAsia"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5.3.1环境管理与监测计划</w:t>
            </w:r>
          </w:p>
          <w:p w14:paraId="65A3FFAB">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环境管理和环境监测是防止工程建设对环境造成污染的主要手段，在项目施工过程中会对周围环境产生一定的污染影响，通过采用环境污染控制措施减轻污染影响。</w:t>
            </w:r>
          </w:p>
          <w:p w14:paraId="77C2B57F">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环境管理</w:t>
            </w:r>
          </w:p>
          <w:p w14:paraId="73B42DC2">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为了有效保护项目所在区域环境质量，切实保证本报告提出各项施工期环境保护措施的落实，建设单位应加强施工期环境管理，设置环境管理机构，制定环境管理制度，具体如下：</w:t>
            </w:r>
          </w:p>
          <w:p w14:paraId="0F890C83">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①定期对施工人员进行环境保护知识的教育，加强环保知识宣传，明确环境保护的重要性，严格执行各种环境保护规章制度。</w:t>
            </w:r>
          </w:p>
          <w:p w14:paraId="0CC2D6FF">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②制定施工期的环境管理和环境保护行动计划，制定年度实施计划，纳入施工过程，并监督、落实监测计划等。</w:t>
            </w:r>
          </w:p>
          <w:p w14:paraId="6DDE5381">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③按环境影响报告表所提出的环境保护措施与对策建议，与施工单位和监理单位签订环境保护措施责任书，并负责监督检查各类施工船只执行环境影响报告表提出的各项环境保护措施的落实情况，确保建设项目主体工程与环保设施“三同时”。</w:t>
            </w:r>
          </w:p>
          <w:p w14:paraId="3EBBA487">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④制定施工期水质、生态环境监测计划，并组织监测计划的实施；组织人员定期检查和维修施工机械，监督其正常运转，减少事故的发生。</w:t>
            </w:r>
          </w:p>
          <w:p w14:paraId="1389A24C">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⑤负责环境状况及各种污染物排放监测数据的统计，上报与存档并定期向主管部门汇报。</w:t>
            </w:r>
          </w:p>
          <w:p w14:paraId="1C149033">
            <w:pPr>
              <w:numPr>
                <w:ilvl w:val="0"/>
                <w:numId w:val="22"/>
              </w:numPr>
              <w:spacing w:line="360" w:lineRule="auto"/>
              <w:ind w:left="0" w:leftChars="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监测计划</w:t>
            </w:r>
          </w:p>
          <w:p w14:paraId="58941D27">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环境监测作为环境监督管理的主要实施手段，通过监测可以及时掌握工程周边海域的环境变化情况，从而反馈给项目决策部门，为拟建项目的环境管理提供科学依据。结合项目施工特点和项目周围的环境敏感目标，提出以下施工期海洋环境监测方案</w:t>
            </w:r>
          </w:p>
          <w:p w14:paraId="405202F9">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①监测站位布设</w:t>
            </w:r>
          </w:p>
          <w:p w14:paraId="65CF230E">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根据《海洋监测规范》（GB17378-2007）监测站位布设原则，本项目主要在项目周边海域选择监测点，项目施工期共设</w:t>
            </w:r>
            <w:r>
              <w:rPr>
                <w:rFonts w:hint="default" w:ascii="Times New Roman" w:hAnsi="Times New Roman" w:eastAsia="宋体" w:cs="Times New Roman"/>
                <w:color w:val="auto"/>
                <w:sz w:val="24"/>
                <w:highlight w:val="none"/>
              </w:rPr>
              <w:t>3</w:t>
            </w:r>
            <w:r>
              <w:rPr>
                <w:rFonts w:hint="eastAsia" w:ascii="Times New Roman" w:hAnsi="Times New Roman" w:eastAsia="宋体" w:cs="Times New Roman"/>
                <w:color w:val="auto"/>
                <w:sz w:val="24"/>
                <w:highlight w:val="none"/>
              </w:rPr>
              <w:t>个</w:t>
            </w:r>
            <w:r>
              <w:rPr>
                <w:rFonts w:hint="eastAsia" w:cs="Times New Roman"/>
                <w:color w:val="auto"/>
                <w:sz w:val="24"/>
                <w:highlight w:val="none"/>
                <w:lang w:eastAsia="zh-CN"/>
              </w:rPr>
              <w:t>监测点位</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其中1个设在疏浚港池，另外2个分别设置在港池所在金鼓江上下游。</w:t>
            </w:r>
          </w:p>
          <w:p w14:paraId="333D728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②监测时间：大潮期</w:t>
            </w:r>
          </w:p>
          <w:p w14:paraId="52CD4CE8">
            <w:pPr>
              <w:numPr>
                <w:ilvl w:val="0"/>
                <w:numId w:val="25"/>
              </w:num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水质监测，监测项目：水温、pH、盐度、悬浮物、溶解氧</w:t>
            </w:r>
            <w:r>
              <w:rPr>
                <w:rFonts w:hint="default" w:ascii="Times New Roman" w:hAnsi="Times New Roman" w:eastAsia="宋体" w:cs="Times New Roman"/>
                <w:color w:val="auto"/>
                <w:sz w:val="24"/>
                <w:highlight w:val="none"/>
                <w:lang w:val="en-US" w:eastAsia="zh-CN"/>
              </w:rPr>
              <w:t>(DO)</w:t>
            </w:r>
            <w:r>
              <w:rPr>
                <w:rFonts w:hint="eastAsia" w:ascii="Times New Roman" w:hAnsi="Times New Roman" w:eastAsia="宋体" w:cs="Times New Roman"/>
                <w:color w:val="auto"/>
                <w:sz w:val="24"/>
                <w:highlight w:val="none"/>
                <w:lang w:val="en-US" w:eastAsia="zh-CN"/>
              </w:rPr>
              <w:t>、化学需氧量</w:t>
            </w:r>
            <w:r>
              <w:rPr>
                <w:rFonts w:hint="default" w:ascii="Times New Roman" w:hAnsi="Times New Roman" w:eastAsia="宋体" w:cs="Times New Roman"/>
                <w:color w:val="auto"/>
                <w:sz w:val="24"/>
                <w:highlight w:val="none"/>
                <w:lang w:val="en-US" w:eastAsia="zh-CN"/>
              </w:rPr>
              <w:t>(COD)</w:t>
            </w:r>
            <w:r>
              <w:rPr>
                <w:rFonts w:hint="eastAsia" w:ascii="Times New Roman" w:hAnsi="Times New Roman" w:eastAsia="宋体" w:cs="Times New Roman"/>
                <w:color w:val="auto"/>
                <w:sz w:val="24"/>
                <w:highlight w:val="none"/>
                <w:lang w:val="en-US" w:eastAsia="zh-CN"/>
              </w:rPr>
              <w:t>、生化需氧量（</w:t>
            </w:r>
            <w:r>
              <w:rPr>
                <w:rFonts w:hint="default" w:ascii="Times New Roman" w:hAnsi="Times New Roman" w:eastAsia="宋体" w:cs="Times New Roman"/>
                <w:color w:val="auto"/>
                <w:sz w:val="24"/>
                <w:highlight w:val="none"/>
                <w:lang w:val="en-US" w:eastAsia="zh-CN"/>
              </w:rPr>
              <w:t>BOD</w:t>
            </w:r>
            <w:r>
              <w:rPr>
                <w:rFonts w:hint="default"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）铵盐、硝酸盐、亚硝酸盐、无机氮、活性磷酸盐、石油类、挥发酚、铜</w:t>
            </w:r>
            <w:r>
              <w:rPr>
                <w:rFonts w:hint="default" w:ascii="Times New Roman" w:hAnsi="Times New Roman" w:eastAsia="宋体" w:cs="Times New Roman"/>
                <w:color w:val="auto"/>
                <w:sz w:val="24"/>
                <w:highlight w:val="none"/>
                <w:lang w:val="en-US" w:eastAsia="zh-CN"/>
              </w:rPr>
              <w:t>(Cu)</w:t>
            </w:r>
            <w:r>
              <w:rPr>
                <w:rFonts w:hint="eastAsia" w:ascii="Times New Roman" w:hAnsi="Times New Roman" w:eastAsia="宋体" w:cs="Times New Roman"/>
                <w:color w:val="auto"/>
                <w:sz w:val="24"/>
                <w:highlight w:val="none"/>
                <w:lang w:val="en-US" w:eastAsia="zh-CN"/>
              </w:rPr>
              <w:t>、铅</w:t>
            </w:r>
            <w:r>
              <w:rPr>
                <w:rFonts w:hint="default" w:ascii="Times New Roman" w:hAnsi="Times New Roman" w:eastAsia="宋体" w:cs="Times New Roman"/>
                <w:color w:val="auto"/>
                <w:sz w:val="24"/>
                <w:highlight w:val="none"/>
                <w:lang w:val="en-US" w:eastAsia="zh-CN"/>
              </w:rPr>
              <w:t>(Pb)</w:t>
            </w:r>
            <w:r>
              <w:rPr>
                <w:rFonts w:hint="eastAsia" w:ascii="Times New Roman" w:hAnsi="Times New Roman" w:eastAsia="宋体" w:cs="Times New Roman"/>
                <w:color w:val="auto"/>
                <w:sz w:val="24"/>
                <w:highlight w:val="none"/>
                <w:lang w:val="en-US" w:eastAsia="zh-CN"/>
              </w:rPr>
              <w:t>、镉</w:t>
            </w:r>
            <w:r>
              <w:rPr>
                <w:rFonts w:hint="default" w:ascii="Times New Roman" w:hAnsi="Times New Roman" w:eastAsia="宋体" w:cs="Times New Roman"/>
                <w:color w:val="auto"/>
                <w:sz w:val="24"/>
                <w:highlight w:val="none"/>
                <w:lang w:val="en-US" w:eastAsia="zh-CN"/>
              </w:rPr>
              <w:t>(Cd)</w:t>
            </w:r>
            <w:r>
              <w:rPr>
                <w:rFonts w:hint="eastAsia" w:ascii="Times New Roman" w:hAnsi="Times New Roman" w:eastAsia="宋体" w:cs="Times New Roman"/>
                <w:color w:val="auto"/>
                <w:sz w:val="24"/>
                <w:highlight w:val="none"/>
                <w:lang w:val="en-US" w:eastAsia="zh-CN"/>
              </w:rPr>
              <w:t>、锌</w:t>
            </w:r>
            <w:r>
              <w:rPr>
                <w:rFonts w:hint="default" w:ascii="Times New Roman" w:hAnsi="Times New Roman" w:eastAsia="宋体" w:cs="Times New Roman"/>
                <w:color w:val="auto"/>
                <w:sz w:val="24"/>
                <w:highlight w:val="none"/>
                <w:lang w:val="en-US" w:eastAsia="zh-CN"/>
              </w:rPr>
              <w:t>(Zn)</w:t>
            </w:r>
            <w:r>
              <w:rPr>
                <w:rFonts w:hint="eastAsia" w:ascii="Times New Roman" w:hAnsi="Times New Roman" w:eastAsia="宋体" w:cs="Times New Roman"/>
                <w:color w:val="auto"/>
                <w:sz w:val="24"/>
                <w:highlight w:val="none"/>
                <w:lang w:val="en-US" w:eastAsia="zh-CN"/>
              </w:rPr>
              <w:t>、总汞</w:t>
            </w:r>
            <w:r>
              <w:rPr>
                <w:rFonts w:hint="default" w:ascii="Times New Roman" w:hAnsi="Times New Roman" w:eastAsia="宋体" w:cs="Times New Roman"/>
                <w:color w:val="auto"/>
                <w:sz w:val="24"/>
                <w:highlight w:val="none"/>
                <w:lang w:val="en-US" w:eastAsia="zh-CN"/>
              </w:rPr>
              <w:t>(Hg)</w:t>
            </w:r>
            <w:r>
              <w:rPr>
                <w:rFonts w:hint="eastAsia" w:ascii="Times New Roman" w:hAnsi="Times New Roman" w:eastAsia="宋体" w:cs="Times New Roman"/>
                <w:color w:val="auto"/>
                <w:sz w:val="24"/>
                <w:highlight w:val="none"/>
                <w:lang w:val="en-US" w:eastAsia="zh-CN"/>
              </w:rPr>
              <w:t>、砷</w:t>
            </w:r>
            <w:r>
              <w:rPr>
                <w:rFonts w:hint="default" w:ascii="Times New Roman" w:hAnsi="Times New Roman" w:eastAsia="宋体" w:cs="Times New Roman"/>
                <w:color w:val="auto"/>
                <w:sz w:val="24"/>
                <w:highlight w:val="none"/>
                <w:lang w:val="en-US" w:eastAsia="zh-CN"/>
              </w:rPr>
              <w:t>(As)</w:t>
            </w:r>
            <w:r>
              <w:rPr>
                <w:rFonts w:hint="eastAsia" w:ascii="Times New Roman" w:hAnsi="Times New Roman" w:eastAsia="宋体" w:cs="Times New Roman"/>
                <w:color w:val="auto"/>
                <w:sz w:val="24"/>
                <w:highlight w:val="none"/>
                <w:lang w:val="en-US" w:eastAsia="zh-CN"/>
              </w:rPr>
              <w:t>和铬</w:t>
            </w:r>
            <w:r>
              <w:rPr>
                <w:rFonts w:hint="default" w:ascii="Times New Roman" w:hAnsi="Times New Roman" w:eastAsia="宋体" w:cs="Times New Roman"/>
                <w:color w:val="auto"/>
                <w:sz w:val="24"/>
                <w:highlight w:val="none"/>
                <w:lang w:val="en-US" w:eastAsia="zh-CN"/>
              </w:rPr>
              <w:t>(Cr)</w:t>
            </w:r>
            <w:r>
              <w:rPr>
                <w:rFonts w:hint="eastAsia" w:ascii="Times New Roman" w:hAnsi="Times New Roman" w:eastAsia="宋体" w:cs="Times New Roman"/>
                <w:color w:val="auto"/>
                <w:sz w:val="24"/>
                <w:highlight w:val="none"/>
                <w:lang w:val="en-US" w:eastAsia="zh-CN"/>
              </w:rPr>
              <w:t>共</w:t>
            </w:r>
            <w:r>
              <w:rPr>
                <w:rFonts w:hint="default" w:ascii="Times New Roman" w:hAnsi="Times New Roman" w:eastAsia="宋体" w:cs="Times New Roman"/>
                <w:color w:val="auto"/>
                <w:sz w:val="24"/>
                <w:highlight w:val="none"/>
                <w:lang w:val="en-US" w:eastAsia="zh-CN"/>
              </w:rPr>
              <w:t>21</w:t>
            </w:r>
            <w:r>
              <w:rPr>
                <w:rFonts w:hint="eastAsia" w:ascii="Times New Roman" w:hAnsi="Times New Roman" w:eastAsia="宋体" w:cs="Times New Roman"/>
                <w:color w:val="auto"/>
                <w:sz w:val="24"/>
                <w:highlight w:val="none"/>
                <w:lang w:val="en-US" w:eastAsia="zh-CN"/>
              </w:rPr>
              <w:t>项。</w:t>
            </w:r>
          </w:p>
          <w:p w14:paraId="49CE5E39">
            <w:pPr>
              <w:numPr>
                <w:ilvl w:val="0"/>
                <w:numId w:val="26"/>
              </w:num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沉积物监测，监测项目：</w:t>
            </w:r>
            <w:r>
              <w:rPr>
                <w:rFonts w:hint="default" w:ascii="Times New Roman" w:hAnsi="Times New Roman" w:eastAsia="宋体" w:cs="Times New Roman"/>
                <w:color w:val="auto"/>
                <w:sz w:val="24"/>
                <w:highlight w:val="none"/>
                <w:lang w:val="en-US" w:eastAsia="zh-CN"/>
              </w:rPr>
              <w:t>Cu</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Pb</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Zn</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Cd</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Hg</w:t>
            </w:r>
            <w:r>
              <w:rPr>
                <w:rFonts w:hint="eastAsia" w:ascii="Times New Roman" w:hAnsi="Times New Roman" w:eastAsia="宋体" w:cs="Times New Roman"/>
                <w:color w:val="auto"/>
                <w:sz w:val="24"/>
                <w:highlight w:val="none"/>
                <w:lang w:val="en-US" w:eastAsia="zh-CN"/>
              </w:rPr>
              <w:t>、石油类和有机碳等</w:t>
            </w:r>
            <w:r>
              <w:rPr>
                <w:rFonts w:hint="default"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项。</w:t>
            </w:r>
          </w:p>
          <w:p w14:paraId="7AA45797">
            <w:pPr>
              <w:numPr>
                <w:ilvl w:val="0"/>
                <w:numId w:val="26"/>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海洋生态监测，监测项目：底栖生物、鱼卵仔鱼。</w:t>
            </w:r>
          </w:p>
          <w:p w14:paraId="6F976C6C">
            <w:pPr>
              <w:numPr>
                <w:ilvl w:val="0"/>
                <w:numId w:val="0"/>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③监测频率：施工期开始后</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个月和结束后</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个月各监测一次。</w:t>
            </w:r>
          </w:p>
          <w:p w14:paraId="0AF51C04">
            <w:pPr>
              <w:numPr>
                <w:ilvl w:val="0"/>
                <w:numId w:val="22"/>
              </w:numPr>
              <w:spacing w:line="360" w:lineRule="auto"/>
              <w:ind w:left="0" w:leftChars="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其他要求</w:t>
            </w:r>
          </w:p>
          <w:p w14:paraId="73355589">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①施工期间，施工单位应在施工海域设置醒目的警示标志，预留船舶通航通道，并与码头管理处加强联系，密切协调，在周边码头船舶进出港时提前避让，确保通航安全。</w:t>
            </w:r>
          </w:p>
          <w:p w14:paraId="1264C69B">
            <w:pPr>
              <w:spacing w:line="360" w:lineRule="auto"/>
              <w:ind w:firstLine="480" w:firstLineChars="200"/>
              <w:rPr>
                <w:rFonts w:hint="default"/>
                <w:color w:val="auto"/>
                <w:highlight w:val="none"/>
                <w:lang w:val="en-US" w:eastAsia="zh-CN"/>
              </w:rPr>
            </w:pPr>
            <w:r>
              <w:rPr>
                <w:rFonts w:hint="eastAsia" w:ascii="Times New Roman" w:hAnsi="Times New Roman" w:eastAsia="宋体" w:cs="Times New Roman"/>
                <w:color w:val="auto"/>
                <w:sz w:val="24"/>
                <w:highlight w:val="none"/>
                <w:lang w:val="en-US" w:eastAsia="zh-CN"/>
              </w:rPr>
              <w:t>②建设单位应加强监督管理，制定相应的对策措施，尽量减少疏浚对周边码头通航环境的不利影响，避免风险事故的发生。</w:t>
            </w:r>
          </w:p>
          <w:p w14:paraId="766BA295">
            <w:pPr>
              <w:pStyle w:val="204"/>
              <w:numPr>
                <w:ilvl w:val="0"/>
                <w:numId w:val="0"/>
              </w:numPr>
              <w:adjustRightInd/>
              <w:snapToGrid/>
              <w:spacing w:line="360" w:lineRule="auto"/>
              <w:rPr>
                <w:rFonts w:hint="eastAsia"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5.3.2“三同时”环保设施验收一览表</w:t>
            </w:r>
          </w:p>
          <w:p w14:paraId="2F4095F7">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根据《国务院关于修改&lt;建设项目竣工环境保护管理条例</w:t>
            </w:r>
            <w:r>
              <w:rPr>
                <w:rFonts w:hint="default" w:ascii="Times New Roman" w:hAnsi="Times New Roman" w:eastAsia="宋体" w:cs="Times New Roman"/>
                <w:color w:val="auto"/>
                <w:sz w:val="24"/>
                <w:highlight w:val="none"/>
              </w:rPr>
              <w:t>&gt;</w:t>
            </w:r>
            <w:r>
              <w:rPr>
                <w:rFonts w:hint="eastAsia" w:ascii="Times New Roman" w:hAnsi="Times New Roman" w:eastAsia="宋体" w:cs="Times New Roman"/>
                <w:color w:val="auto"/>
                <w:sz w:val="24"/>
                <w:highlight w:val="none"/>
              </w:rPr>
              <w:t>的决定》（国务院令第</w:t>
            </w:r>
            <w:r>
              <w:rPr>
                <w:rFonts w:hint="default" w:ascii="Times New Roman" w:hAnsi="Times New Roman" w:eastAsia="宋体" w:cs="Times New Roman"/>
                <w:color w:val="auto"/>
                <w:sz w:val="24"/>
                <w:highlight w:val="none"/>
              </w:rPr>
              <w:t>682</w:t>
            </w:r>
            <w:r>
              <w:rPr>
                <w:rFonts w:hint="eastAsia" w:ascii="Times New Roman" w:hAnsi="Times New Roman" w:eastAsia="宋体" w:cs="Times New Roman"/>
                <w:color w:val="auto"/>
                <w:sz w:val="24"/>
                <w:highlight w:val="none"/>
              </w:rPr>
              <w:t>号），以及《环保部关于发布</w:t>
            </w:r>
            <w:r>
              <w:rPr>
                <w:rFonts w:hint="default" w:ascii="Times New Roman" w:hAnsi="Times New Roman" w:eastAsia="宋体" w:cs="Times New Roman"/>
                <w:color w:val="auto"/>
                <w:sz w:val="24"/>
                <w:highlight w:val="none"/>
              </w:rPr>
              <w:t>&lt;</w:t>
            </w:r>
            <w:r>
              <w:rPr>
                <w:rFonts w:hint="eastAsia" w:ascii="Times New Roman" w:hAnsi="Times New Roman" w:eastAsia="宋体" w:cs="Times New Roman"/>
                <w:color w:val="auto"/>
                <w:sz w:val="24"/>
                <w:highlight w:val="none"/>
              </w:rPr>
              <w:t>建设项目竣工环境保护验收暂行办法</w:t>
            </w:r>
            <w:r>
              <w:rPr>
                <w:rFonts w:hint="default" w:ascii="Times New Roman" w:hAnsi="Times New Roman" w:eastAsia="宋体" w:cs="Times New Roman"/>
                <w:color w:val="auto"/>
                <w:sz w:val="24"/>
                <w:highlight w:val="none"/>
              </w:rPr>
              <w:t>&gt;</w:t>
            </w:r>
            <w:r>
              <w:rPr>
                <w:rFonts w:hint="eastAsia" w:ascii="Times New Roman" w:hAnsi="Times New Roman" w:eastAsia="宋体" w:cs="Times New Roman"/>
                <w:color w:val="auto"/>
                <w:sz w:val="24"/>
                <w:highlight w:val="none"/>
              </w:rPr>
              <w:t>的公告》（国环规环评〔</w:t>
            </w:r>
            <w:r>
              <w:rPr>
                <w:rFonts w:hint="default" w:ascii="Times New Roman" w:hAnsi="Times New Roman" w:eastAsia="宋体" w:cs="Times New Roman"/>
                <w:color w:val="auto"/>
                <w:sz w:val="24"/>
                <w:highlight w:val="none"/>
              </w:rPr>
              <w:t>2017</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4</w:t>
            </w:r>
            <w:r>
              <w:rPr>
                <w:rFonts w:hint="eastAsia" w:ascii="Times New Roman" w:hAnsi="Times New Roman" w:eastAsia="宋体" w:cs="Times New Roman"/>
                <w:color w:val="auto"/>
                <w:sz w:val="24"/>
                <w:highlight w:val="none"/>
              </w:rPr>
              <w:t>号文）要求，建设单位应严格落实建设项目的环保措施，强化项目环境管理，严格落实“三同时”制度、企业自主环保竣工验收制度。对各项环保工程措施“三同时”的落实情况、效果及工程建设对环境影响进行调查。本项目环境保护措施及“三同时”验收要求</w:t>
            </w:r>
            <w:r>
              <w:rPr>
                <w:rFonts w:hint="eastAsia" w:ascii="Times New Roman" w:hAnsi="Times New Roman" w:eastAsia="宋体" w:cs="Times New Roman"/>
                <w:color w:val="auto"/>
                <w:sz w:val="24"/>
                <w:highlight w:val="none"/>
                <w:lang w:val="en-US" w:eastAsia="zh-CN"/>
              </w:rPr>
              <w:t>见下表。</w:t>
            </w:r>
          </w:p>
          <w:p w14:paraId="0195A1D8">
            <w:pPr>
              <w:spacing w:line="360" w:lineRule="auto"/>
              <w:ind w:firstLine="422" w:firstLineChars="200"/>
              <w:jc w:val="center"/>
              <w:rPr>
                <w:rFonts w:hint="default"/>
                <w:color w:val="auto"/>
                <w:highlight w:val="none"/>
                <w:lang w:val="en-US" w:eastAsia="zh-CN"/>
              </w:rPr>
            </w:pPr>
            <w:r>
              <w:rPr>
                <w:rFonts w:hint="eastAsia" w:ascii="Times New Roman" w:hAnsi="Times New Roman" w:eastAsia="宋体" w:cs="Times New Roman"/>
                <w:b/>
                <w:bCs/>
                <w:color w:val="auto"/>
                <w:kern w:val="2"/>
                <w:sz w:val="21"/>
                <w:szCs w:val="21"/>
                <w:highlight w:val="none"/>
                <w:lang w:val="en-US" w:eastAsia="zh-CN" w:bidi="ar-SA"/>
              </w:rPr>
              <w:t>表5.3-1</w:t>
            </w:r>
            <w:r>
              <w:rPr>
                <w:rFonts w:hint="eastAsia"/>
                <w:color w:val="auto"/>
                <w:highlight w:val="none"/>
                <w:lang w:val="en-US" w:eastAsia="zh-CN"/>
              </w:rPr>
              <w:t>“三同时”环境设施验收一览表</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1216"/>
              <w:gridCol w:w="3002"/>
              <w:gridCol w:w="1154"/>
              <w:gridCol w:w="2041"/>
            </w:tblGrid>
            <w:tr w14:paraId="7352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1662922">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类别</w:t>
                  </w:r>
                </w:p>
              </w:tc>
              <w:tc>
                <w:tcPr>
                  <w:tcW w:w="1216" w:type="dxa"/>
                  <w:noWrap w:val="0"/>
                  <w:vAlign w:val="center"/>
                </w:tcPr>
                <w:p w14:paraId="4F611E34">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项目</w:t>
                  </w:r>
                </w:p>
              </w:tc>
              <w:tc>
                <w:tcPr>
                  <w:tcW w:w="3002" w:type="dxa"/>
                  <w:noWrap w:val="0"/>
                  <w:vAlign w:val="center"/>
                </w:tcPr>
                <w:p w14:paraId="03352167">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环保治理措施</w:t>
                  </w:r>
                </w:p>
              </w:tc>
              <w:tc>
                <w:tcPr>
                  <w:tcW w:w="1154" w:type="dxa"/>
                  <w:noWrap w:val="0"/>
                  <w:vAlign w:val="center"/>
                </w:tcPr>
                <w:p w14:paraId="5AFAA700">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环保验收措施</w:t>
                  </w:r>
                </w:p>
              </w:tc>
              <w:tc>
                <w:tcPr>
                  <w:tcW w:w="2041" w:type="dxa"/>
                  <w:noWrap w:val="0"/>
                  <w:vAlign w:val="center"/>
                </w:tcPr>
                <w:p w14:paraId="189EDEFC">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验收标准或内容</w:t>
                  </w:r>
                </w:p>
              </w:tc>
            </w:tr>
            <w:tr w14:paraId="7BC5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14:paraId="1897449D">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废水</w:t>
                  </w:r>
                </w:p>
              </w:tc>
              <w:tc>
                <w:tcPr>
                  <w:tcW w:w="1216" w:type="dxa"/>
                  <w:noWrap w:val="0"/>
                  <w:vAlign w:val="center"/>
                </w:tcPr>
                <w:p w14:paraId="4EF7F689">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施工船舶生活污水</w:t>
                  </w:r>
                </w:p>
              </w:tc>
              <w:tc>
                <w:tcPr>
                  <w:tcW w:w="3002" w:type="dxa"/>
                  <w:noWrap w:val="0"/>
                  <w:vAlign w:val="center"/>
                </w:tcPr>
                <w:p w14:paraId="466B7BF3">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施工船舶生活污水采用船上配备的储污水箱进行收集和贮存，上岸后委托有处理能力单位回收处理，禁止在施工水域排放。</w:t>
                  </w:r>
                </w:p>
              </w:tc>
              <w:tc>
                <w:tcPr>
                  <w:tcW w:w="1154" w:type="dxa"/>
                  <w:noWrap w:val="0"/>
                  <w:vAlign w:val="center"/>
                </w:tcPr>
                <w:p w14:paraId="227D20AB">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相关处置协议</w:t>
                  </w:r>
                </w:p>
              </w:tc>
              <w:tc>
                <w:tcPr>
                  <w:tcW w:w="2041" w:type="dxa"/>
                  <w:vMerge w:val="restart"/>
                  <w:noWrap w:val="0"/>
                  <w:vAlign w:val="center"/>
                </w:tcPr>
                <w:p w14:paraId="72CA9D4F">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《船舶水污染物排放控制标准》（GB3552-2018）</w:t>
                  </w:r>
                </w:p>
              </w:tc>
            </w:tr>
            <w:tr w14:paraId="3305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46EB15E2">
                  <w:pPr>
                    <w:pStyle w:val="77"/>
                    <w:jc w:val="center"/>
                    <w:rPr>
                      <w:rFonts w:hint="default" w:ascii="Times New Roman" w:hAnsi="Times New Roman" w:eastAsia="宋体" w:cs="Times New Roman"/>
                      <w:color w:val="auto"/>
                      <w:sz w:val="21"/>
                      <w:szCs w:val="21"/>
                      <w:highlight w:val="none"/>
                      <w:vertAlign w:val="baseline"/>
                      <w:lang w:val="en-US" w:eastAsia="zh-CN"/>
                    </w:rPr>
                  </w:pPr>
                </w:p>
              </w:tc>
              <w:tc>
                <w:tcPr>
                  <w:tcW w:w="1216" w:type="dxa"/>
                  <w:noWrap w:val="0"/>
                  <w:vAlign w:val="center"/>
                </w:tcPr>
                <w:p w14:paraId="4CC163BC">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施工船舶含油污水</w:t>
                  </w:r>
                </w:p>
              </w:tc>
              <w:tc>
                <w:tcPr>
                  <w:tcW w:w="3002" w:type="dxa"/>
                  <w:noWrap w:val="0"/>
                  <w:vAlign w:val="center"/>
                </w:tcPr>
                <w:p w14:paraId="762604EC">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施工船舶含油污水交由具有相应接收能力从事船舶污染物接收的单位接收处理，禁止在施工水域排放。</w:t>
                  </w:r>
                </w:p>
              </w:tc>
              <w:tc>
                <w:tcPr>
                  <w:tcW w:w="1154" w:type="dxa"/>
                  <w:noWrap w:val="0"/>
                  <w:vAlign w:val="center"/>
                </w:tcPr>
                <w:p w14:paraId="474AE72E">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相关处置协议</w:t>
                  </w:r>
                </w:p>
              </w:tc>
              <w:tc>
                <w:tcPr>
                  <w:tcW w:w="2041" w:type="dxa"/>
                  <w:vMerge w:val="continue"/>
                  <w:noWrap w:val="0"/>
                  <w:vAlign w:val="center"/>
                </w:tcPr>
                <w:p w14:paraId="300899AC">
                  <w:pPr>
                    <w:pStyle w:val="77"/>
                    <w:jc w:val="center"/>
                    <w:rPr>
                      <w:rFonts w:hint="default" w:ascii="Times New Roman" w:hAnsi="Times New Roman" w:eastAsia="宋体" w:cs="Times New Roman"/>
                      <w:color w:val="auto"/>
                      <w:sz w:val="21"/>
                      <w:szCs w:val="21"/>
                      <w:highlight w:val="none"/>
                      <w:vertAlign w:val="baseline"/>
                      <w:lang w:val="en-US" w:eastAsia="zh-CN"/>
                    </w:rPr>
                  </w:pPr>
                </w:p>
              </w:tc>
            </w:tr>
            <w:tr w14:paraId="5BD2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9F76422">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废气</w:t>
                  </w:r>
                </w:p>
              </w:tc>
              <w:tc>
                <w:tcPr>
                  <w:tcW w:w="1216" w:type="dxa"/>
                  <w:noWrap w:val="0"/>
                  <w:vAlign w:val="center"/>
                </w:tcPr>
                <w:p w14:paraId="246C7AD6">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施工船舶废气</w:t>
                  </w:r>
                </w:p>
              </w:tc>
              <w:tc>
                <w:tcPr>
                  <w:tcW w:w="3002" w:type="dxa"/>
                  <w:noWrap w:val="0"/>
                  <w:vAlign w:val="center"/>
                </w:tcPr>
                <w:p w14:paraId="72A40ED6">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施工船舶使用合格的燃料油，选用硫含量小于等于0.5%m/m的船用燃油；加强施工船舶的日常维护保养，确保船舶正常运行，避免不正常运行产生的废气。</w:t>
                  </w:r>
                </w:p>
              </w:tc>
              <w:tc>
                <w:tcPr>
                  <w:tcW w:w="1154" w:type="dxa"/>
                  <w:noWrap w:val="0"/>
                  <w:vAlign w:val="center"/>
                </w:tcPr>
                <w:p w14:paraId="3BF57DED">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是否落实</w:t>
                  </w:r>
                </w:p>
              </w:tc>
              <w:tc>
                <w:tcPr>
                  <w:tcW w:w="2041" w:type="dxa"/>
                  <w:noWrap w:val="0"/>
                  <w:vAlign w:val="center"/>
                </w:tcPr>
                <w:p w14:paraId="553C30B3">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《船舶发动机排气污染物排放限值及测量方法（中国第一、二阶段）》（GB15097-2016）第二阶段标准</w:t>
                  </w:r>
                </w:p>
              </w:tc>
            </w:tr>
            <w:tr w14:paraId="59F9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14:paraId="223CB8A9">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固废</w:t>
                  </w:r>
                </w:p>
              </w:tc>
              <w:tc>
                <w:tcPr>
                  <w:tcW w:w="1216" w:type="dxa"/>
                  <w:noWrap w:val="0"/>
                  <w:vAlign w:val="center"/>
                </w:tcPr>
                <w:p w14:paraId="4AE23C13">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施工船舶生活垃圾</w:t>
                  </w:r>
                </w:p>
              </w:tc>
              <w:tc>
                <w:tcPr>
                  <w:tcW w:w="3002" w:type="dxa"/>
                  <w:noWrap w:val="0"/>
                  <w:vAlign w:val="center"/>
                </w:tcPr>
                <w:p w14:paraId="594C9664">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施工船舶生活垃圾应做好日常的收集、分类与储存工作，定期接收至岸上，交由环卫部门接收处理，严禁将船舶生活垃圾倾倒入海污染水域。</w:t>
                  </w:r>
                </w:p>
              </w:tc>
              <w:tc>
                <w:tcPr>
                  <w:tcW w:w="1154" w:type="dxa"/>
                  <w:noWrap w:val="0"/>
                  <w:vAlign w:val="center"/>
                </w:tcPr>
                <w:p w14:paraId="351ABD64">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相关处置协议</w:t>
                  </w:r>
                </w:p>
              </w:tc>
              <w:tc>
                <w:tcPr>
                  <w:tcW w:w="2041" w:type="dxa"/>
                  <w:noWrap w:val="0"/>
                  <w:vAlign w:val="center"/>
                </w:tcPr>
                <w:p w14:paraId="7D2E7975">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《船舶水污染物排放控制标准》（GB3552-2018）</w:t>
                  </w:r>
                </w:p>
              </w:tc>
            </w:tr>
            <w:tr w14:paraId="4587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5D58D886">
                  <w:pPr>
                    <w:pStyle w:val="77"/>
                    <w:jc w:val="center"/>
                    <w:rPr>
                      <w:rFonts w:hint="default" w:ascii="Times New Roman" w:hAnsi="Times New Roman" w:eastAsia="宋体" w:cs="Times New Roman"/>
                      <w:color w:val="auto"/>
                      <w:sz w:val="21"/>
                      <w:szCs w:val="21"/>
                      <w:highlight w:val="none"/>
                      <w:vertAlign w:val="baseline"/>
                      <w:lang w:val="en-US" w:eastAsia="zh-CN"/>
                    </w:rPr>
                  </w:pPr>
                </w:p>
              </w:tc>
              <w:tc>
                <w:tcPr>
                  <w:tcW w:w="1216" w:type="dxa"/>
                  <w:noWrap w:val="0"/>
                  <w:vAlign w:val="center"/>
                </w:tcPr>
                <w:p w14:paraId="67E360F2">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疏浚废弃物</w:t>
                  </w:r>
                </w:p>
              </w:tc>
              <w:tc>
                <w:tcPr>
                  <w:tcW w:w="3002" w:type="dxa"/>
                  <w:noWrap w:val="0"/>
                  <w:vAlign w:val="center"/>
                </w:tcPr>
                <w:p w14:paraId="05E2793C">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疏浚淤泥拟采用水下抛卸方式，外抛至防城港2＃倾倒区。</w:t>
                  </w:r>
                </w:p>
              </w:tc>
              <w:tc>
                <w:tcPr>
                  <w:tcW w:w="1154" w:type="dxa"/>
                  <w:noWrap w:val="0"/>
                  <w:vAlign w:val="center"/>
                </w:tcPr>
                <w:p w14:paraId="06460C53">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倾倒许可证及</w:t>
                  </w:r>
                  <w:r>
                    <w:rPr>
                      <w:rFonts w:hint="default" w:ascii="Times New Roman" w:hAnsi="Times New Roman" w:eastAsia="宋体" w:cs="Times New Roman"/>
                      <w:b w:val="0"/>
                      <w:bCs w:val="0"/>
                      <w:color w:val="auto"/>
                      <w:sz w:val="21"/>
                      <w:szCs w:val="21"/>
                      <w:highlight w:val="none"/>
                    </w:rPr>
                    <w:t>相关处置协议</w:t>
                  </w:r>
                </w:p>
              </w:tc>
              <w:tc>
                <w:tcPr>
                  <w:tcW w:w="2041" w:type="dxa"/>
                  <w:noWrap w:val="0"/>
                  <w:vAlign w:val="center"/>
                </w:tcPr>
                <w:p w14:paraId="41759913">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项目疏浚物抛卸至指定区域</w:t>
                  </w:r>
                </w:p>
              </w:tc>
            </w:tr>
            <w:tr w14:paraId="48E9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EFF94C1">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噪声</w:t>
                  </w:r>
                </w:p>
              </w:tc>
              <w:tc>
                <w:tcPr>
                  <w:tcW w:w="1216" w:type="dxa"/>
                  <w:noWrap w:val="0"/>
                  <w:vAlign w:val="center"/>
                </w:tcPr>
                <w:p w14:paraId="6CDACA1C">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施工船舶噪声</w:t>
                  </w:r>
                </w:p>
              </w:tc>
              <w:tc>
                <w:tcPr>
                  <w:tcW w:w="3002" w:type="dxa"/>
                  <w:noWrap w:val="0"/>
                  <w:vAlign w:val="center"/>
                </w:tcPr>
                <w:p w14:paraId="324727A1">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施工船舶采用低噪声船舶；做好施工船舶的维护保养工作，使施工机械保持良好的运行状态；加强施工船舶的管理，避免不必要的船舶汽笛鸣放。</w:t>
                  </w:r>
                </w:p>
              </w:tc>
              <w:tc>
                <w:tcPr>
                  <w:tcW w:w="1154" w:type="dxa"/>
                  <w:noWrap w:val="0"/>
                  <w:vAlign w:val="center"/>
                </w:tcPr>
                <w:p w14:paraId="271416CD">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是否落实</w:t>
                  </w:r>
                </w:p>
              </w:tc>
              <w:tc>
                <w:tcPr>
                  <w:tcW w:w="2041" w:type="dxa"/>
                  <w:noWrap w:val="0"/>
                  <w:vAlign w:val="center"/>
                </w:tcPr>
                <w:p w14:paraId="6C2251EB">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《建筑施工场界环境噪声排放标准》（GB12523-2011）</w:t>
                  </w:r>
                </w:p>
              </w:tc>
            </w:tr>
            <w:tr w14:paraId="310D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A9A9F67">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环境风险</w:t>
                  </w:r>
                </w:p>
              </w:tc>
              <w:tc>
                <w:tcPr>
                  <w:tcW w:w="1216" w:type="dxa"/>
                  <w:noWrap w:val="0"/>
                  <w:vAlign w:val="center"/>
                </w:tcPr>
                <w:p w14:paraId="5A7C263E">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环境风险防范措施</w:t>
                  </w:r>
                </w:p>
              </w:tc>
              <w:tc>
                <w:tcPr>
                  <w:tcW w:w="3002" w:type="dxa"/>
                  <w:noWrap w:val="0"/>
                  <w:vAlign w:val="center"/>
                </w:tcPr>
                <w:p w14:paraId="0063DC41">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做好风险防范措施</w:t>
                  </w:r>
                </w:p>
              </w:tc>
              <w:tc>
                <w:tcPr>
                  <w:tcW w:w="1154" w:type="dxa"/>
                  <w:noWrap w:val="0"/>
                  <w:vAlign w:val="center"/>
                </w:tcPr>
                <w:p w14:paraId="423D578A">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是否落实</w:t>
                  </w:r>
                </w:p>
              </w:tc>
              <w:tc>
                <w:tcPr>
                  <w:tcW w:w="2041" w:type="dxa"/>
                  <w:noWrap w:val="0"/>
                  <w:vAlign w:val="center"/>
                </w:tcPr>
                <w:p w14:paraId="0986D14B">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《建设项目环境风险评价技术导则》</w:t>
                  </w:r>
                </w:p>
              </w:tc>
            </w:tr>
            <w:tr w14:paraId="2F32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62B5FE9">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生态</w:t>
                  </w:r>
                </w:p>
              </w:tc>
              <w:tc>
                <w:tcPr>
                  <w:tcW w:w="1216" w:type="dxa"/>
                  <w:noWrap w:val="0"/>
                  <w:vAlign w:val="center"/>
                </w:tcPr>
                <w:p w14:paraId="5796EE75">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生态补偿</w:t>
                  </w:r>
                </w:p>
              </w:tc>
              <w:tc>
                <w:tcPr>
                  <w:tcW w:w="3002" w:type="dxa"/>
                  <w:noWrap w:val="0"/>
                  <w:vAlign w:val="center"/>
                </w:tcPr>
                <w:p w14:paraId="22555505">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委托专业的第三方机构开展生态补偿工作，具体的补偿措施和方案在实施之前，建设单位应协调主管部门确定</w:t>
                  </w:r>
                </w:p>
              </w:tc>
              <w:tc>
                <w:tcPr>
                  <w:tcW w:w="1154" w:type="dxa"/>
                  <w:noWrap w:val="0"/>
                  <w:vAlign w:val="center"/>
                </w:tcPr>
                <w:p w14:paraId="59A9A3C4">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相关委托协议及生态修复文件、照片</w:t>
                  </w:r>
                </w:p>
              </w:tc>
              <w:tc>
                <w:tcPr>
                  <w:tcW w:w="2041" w:type="dxa"/>
                  <w:noWrap w:val="0"/>
                  <w:vAlign w:val="center"/>
                </w:tcPr>
                <w:p w14:paraId="201DB357">
                  <w:pPr>
                    <w:pStyle w:val="77"/>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eastAsia="zh-CN"/>
                    </w:rPr>
                    <w:t>实施</w:t>
                  </w:r>
                  <w:r>
                    <w:rPr>
                      <w:rFonts w:hint="default" w:ascii="Times New Roman" w:hAnsi="Times New Roman" w:eastAsia="宋体" w:cs="Times New Roman"/>
                      <w:b w:val="0"/>
                      <w:bCs w:val="0"/>
                      <w:color w:val="auto"/>
                      <w:sz w:val="21"/>
                      <w:szCs w:val="21"/>
                      <w:highlight w:val="none"/>
                    </w:rPr>
                    <w:t>生态补偿方案</w:t>
                  </w:r>
                </w:p>
              </w:tc>
            </w:tr>
          </w:tbl>
          <w:p w14:paraId="4B0F4C00">
            <w:pPr>
              <w:pStyle w:val="77"/>
              <w:rPr>
                <w:rFonts w:hint="default"/>
                <w:color w:val="auto"/>
                <w:highlight w:val="none"/>
                <w:lang w:val="en-US" w:eastAsia="zh-CN"/>
              </w:rPr>
            </w:pPr>
          </w:p>
        </w:tc>
      </w:tr>
      <w:tr w14:paraId="264D79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43" w:hRule="atLeast"/>
          <w:jc w:val="center"/>
        </w:trPr>
        <w:tc>
          <w:tcPr>
            <w:tcW w:w="746" w:type="dxa"/>
            <w:noWrap w:val="0"/>
            <w:tcMar>
              <w:left w:w="28" w:type="dxa"/>
              <w:right w:w="28" w:type="dxa"/>
            </w:tcMar>
            <w:vAlign w:val="center"/>
          </w:tcPr>
          <w:p w14:paraId="5ABA1A52">
            <w:pPr>
              <w:adjustRightInd w:val="0"/>
              <w:snapToGrid w:val="0"/>
              <w:jc w:val="center"/>
              <w:rPr>
                <w:rFonts w:hint="eastAsia" w:ascii="宋体" w:hAnsi="宋体" w:cs="宋体"/>
                <w:color w:val="auto"/>
                <w:kern w:val="0"/>
                <w:sz w:val="24"/>
                <w:szCs w:val="21"/>
                <w:highlight w:val="none"/>
                <w:lang w:eastAsia="zh-CN"/>
              </w:rPr>
            </w:pPr>
            <w:r>
              <w:rPr>
                <w:rFonts w:hint="eastAsia" w:ascii="宋体" w:hAnsi="宋体" w:cs="宋体"/>
                <w:color w:val="auto"/>
                <w:kern w:val="0"/>
                <w:sz w:val="24"/>
                <w:szCs w:val="21"/>
                <w:highlight w:val="none"/>
                <w:lang w:eastAsia="zh-CN"/>
              </w:rPr>
              <w:t>环保投资</w:t>
            </w:r>
          </w:p>
        </w:tc>
        <w:tc>
          <w:tcPr>
            <w:tcW w:w="8162" w:type="dxa"/>
            <w:noWrap w:val="0"/>
            <w:vAlign w:val="center"/>
          </w:tcPr>
          <w:p w14:paraId="2DCF3134">
            <w:pPr>
              <w:adjustRightInd w:val="0"/>
              <w:snapToGrid w:val="0"/>
              <w:spacing w:line="360" w:lineRule="auto"/>
              <w:rPr>
                <w:b/>
                <w:bCs/>
                <w:color w:val="auto"/>
                <w:sz w:val="28"/>
                <w:szCs w:val="28"/>
                <w:highlight w:val="none"/>
              </w:rPr>
            </w:pPr>
            <w:r>
              <w:rPr>
                <w:rFonts w:hint="eastAsia"/>
                <w:b/>
                <w:bCs/>
                <w:color w:val="auto"/>
                <w:sz w:val="28"/>
                <w:szCs w:val="28"/>
                <w:highlight w:val="none"/>
                <w:lang w:val="en-US" w:eastAsia="zh-CN"/>
              </w:rPr>
              <w:t>5.4.1</w:t>
            </w:r>
            <w:r>
              <w:rPr>
                <w:rFonts w:hint="eastAsia"/>
                <w:b/>
                <w:bCs/>
                <w:color w:val="auto"/>
                <w:sz w:val="28"/>
                <w:szCs w:val="28"/>
                <w:highlight w:val="none"/>
              </w:rPr>
              <w:t>环保投资</w:t>
            </w:r>
          </w:p>
          <w:p w14:paraId="4B82D794">
            <w:pPr>
              <w:spacing w:line="360" w:lineRule="auto"/>
              <w:ind w:firstLine="480" w:firstLineChars="200"/>
              <w:rPr>
                <w:rFonts w:hint="eastAsia"/>
                <w:color w:val="auto"/>
                <w:highlight w:val="none"/>
              </w:rPr>
            </w:pPr>
            <w:r>
              <w:rPr>
                <w:rFonts w:hint="eastAsia"/>
                <w:color w:val="auto"/>
                <w:sz w:val="24"/>
                <w:highlight w:val="none"/>
                <w:lang w:eastAsia="zh-CN"/>
              </w:rPr>
              <w:t>项目总投资</w:t>
            </w:r>
            <w:r>
              <w:rPr>
                <w:rFonts w:hint="eastAsia" w:ascii="Times New Roman" w:hAnsi="Times New Roman" w:eastAsia="宋体" w:cs="Times New Roman"/>
                <w:color w:val="auto"/>
                <w:sz w:val="24"/>
                <w:highlight w:val="none"/>
                <w:lang w:val="en-US" w:eastAsia="zh-CN"/>
              </w:rPr>
              <w:t>***</w:t>
            </w:r>
            <w:r>
              <w:rPr>
                <w:rFonts w:hint="eastAsia"/>
                <w:color w:val="auto"/>
                <w:sz w:val="24"/>
                <w:highlight w:val="none"/>
                <w:lang w:val="en-US" w:eastAsia="zh-CN"/>
              </w:rPr>
              <w:t>万元，其中环保投资57.88万元，占总投资的</w:t>
            </w:r>
            <w:r>
              <w:rPr>
                <w:rFonts w:hint="eastAsia" w:ascii="Times New Roman" w:hAnsi="Times New Roman" w:eastAsia="宋体" w:cs="Times New Roman"/>
                <w:color w:val="auto"/>
                <w:sz w:val="24"/>
                <w:highlight w:val="none"/>
                <w:lang w:val="en-US" w:eastAsia="zh-CN"/>
              </w:rPr>
              <w:t>***</w:t>
            </w:r>
            <w:r>
              <w:rPr>
                <w:rFonts w:hint="eastAsia"/>
                <w:color w:val="auto"/>
                <w:sz w:val="24"/>
                <w:highlight w:val="none"/>
                <w:lang w:val="en-US" w:eastAsia="zh-CN"/>
              </w:rPr>
              <w:t>。</w:t>
            </w:r>
            <w:r>
              <w:rPr>
                <w:rFonts w:hint="eastAsia"/>
                <w:color w:val="auto"/>
                <w:sz w:val="24"/>
                <w:highlight w:val="none"/>
              </w:rPr>
              <w:t>根据本项目采取的环保措施，项目环保投资见下表。</w:t>
            </w:r>
          </w:p>
          <w:p w14:paraId="1A5290F0">
            <w:pPr>
              <w:adjustRightInd w:val="0"/>
              <w:snapToGrid w:val="0"/>
              <w:ind w:firstLine="391"/>
              <w:jc w:val="center"/>
              <w:rPr>
                <w:b/>
                <w:bCs/>
                <w:color w:val="auto"/>
                <w:szCs w:val="21"/>
                <w:highlight w:val="none"/>
              </w:rPr>
            </w:pPr>
            <w:r>
              <w:rPr>
                <w:b/>
                <w:bCs/>
                <w:color w:val="auto"/>
                <w:szCs w:val="21"/>
                <w:highlight w:val="none"/>
              </w:rPr>
              <w:t>表</w:t>
            </w:r>
            <w:r>
              <w:rPr>
                <w:rFonts w:hint="eastAsia"/>
                <w:b/>
                <w:bCs/>
                <w:color w:val="auto"/>
                <w:szCs w:val="21"/>
                <w:highlight w:val="none"/>
                <w:lang w:val="en-US" w:eastAsia="zh-CN"/>
              </w:rPr>
              <w:t>5.4-1</w:t>
            </w:r>
            <w:r>
              <w:rPr>
                <w:rFonts w:hint="eastAsia"/>
                <w:b/>
                <w:bCs/>
                <w:color w:val="auto"/>
                <w:szCs w:val="21"/>
                <w:highlight w:val="none"/>
              </w:rPr>
              <w:t>环保投资</w:t>
            </w:r>
            <w:r>
              <w:rPr>
                <w:b/>
                <w:bCs/>
                <w:color w:val="auto"/>
                <w:szCs w:val="21"/>
                <w:highlight w:val="none"/>
              </w:rPr>
              <w:t>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376"/>
              <w:gridCol w:w="3749"/>
              <w:gridCol w:w="1070"/>
              <w:gridCol w:w="1077"/>
            </w:tblGrid>
            <w:tr w14:paraId="46D6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4" w:type="dxa"/>
                  <w:noWrap w:val="0"/>
                  <w:vAlign w:val="center"/>
                </w:tcPr>
                <w:p w14:paraId="4871B47A">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阶段</w:t>
                  </w:r>
                </w:p>
              </w:tc>
              <w:tc>
                <w:tcPr>
                  <w:tcW w:w="1376" w:type="dxa"/>
                  <w:noWrap w:val="0"/>
                  <w:vAlign w:val="center"/>
                </w:tcPr>
                <w:p w14:paraId="712F8621">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类别</w:t>
                  </w:r>
                </w:p>
              </w:tc>
              <w:tc>
                <w:tcPr>
                  <w:tcW w:w="3749" w:type="dxa"/>
                  <w:noWrap w:val="0"/>
                  <w:vAlign w:val="center"/>
                </w:tcPr>
                <w:p w14:paraId="6E6E8E07">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环保措施</w:t>
                  </w:r>
                </w:p>
              </w:tc>
              <w:tc>
                <w:tcPr>
                  <w:tcW w:w="1070" w:type="dxa"/>
                  <w:noWrap w:val="0"/>
                  <w:vAlign w:val="center"/>
                </w:tcPr>
                <w:p w14:paraId="757B5009">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金额</w:t>
                  </w:r>
                </w:p>
                <w:p w14:paraId="67685FE1">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（万元）</w:t>
                  </w:r>
                </w:p>
              </w:tc>
              <w:tc>
                <w:tcPr>
                  <w:tcW w:w="1077" w:type="dxa"/>
                  <w:noWrap w:val="0"/>
                  <w:vAlign w:val="center"/>
                </w:tcPr>
                <w:p w14:paraId="158FEA71">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备注</w:t>
                  </w:r>
                </w:p>
              </w:tc>
            </w:tr>
            <w:tr w14:paraId="1142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4" w:type="dxa"/>
                  <w:vMerge w:val="restart"/>
                  <w:noWrap w:val="0"/>
                  <w:vAlign w:val="center"/>
                </w:tcPr>
                <w:p w14:paraId="2483DDE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施工期</w:t>
                  </w:r>
                </w:p>
              </w:tc>
              <w:tc>
                <w:tcPr>
                  <w:tcW w:w="1376" w:type="dxa"/>
                  <w:noWrap w:val="0"/>
                  <w:vAlign w:val="center"/>
                </w:tcPr>
                <w:p w14:paraId="3C374F52">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船舶污染物</w:t>
                  </w:r>
                </w:p>
              </w:tc>
              <w:tc>
                <w:tcPr>
                  <w:tcW w:w="3749" w:type="dxa"/>
                  <w:noWrap w:val="0"/>
                  <w:vAlign w:val="center"/>
                </w:tcPr>
                <w:p w14:paraId="666E44B9">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收集施工船舶生活污水、船舶舱底含油污水、船舶生活垃圾，交由有接收能力的单位接收处理</w:t>
                  </w:r>
                </w:p>
              </w:tc>
              <w:tc>
                <w:tcPr>
                  <w:tcW w:w="1070" w:type="dxa"/>
                  <w:noWrap w:val="0"/>
                  <w:vAlign w:val="center"/>
                </w:tcPr>
                <w:p w14:paraId="28A3274E">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w:t>
                  </w:r>
                </w:p>
              </w:tc>
              <w:tc>
                <w:tcPr>
                  <w:tcW w:w="1077" w:type="dxa"/>
                  <w:noWrap w:val="0"/>
                  <w:vAlign w:val="center"/>
                </w:tcPr>
                <w:p w14:paraId="5DE1622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2FB8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4" w:type="dxa"/>
                  <w:vMerge w:val="continue"/>
                  <w:noWrap w:val="0"/>
                  <w:vAlign w:val="center"/>
                </w:tcPr>
                <w:p w14:paraId="1E393E83">
                  <w:pPr>
                    <w:adjustRightInd w:val="0"/>
                    <w:snapToGrid w:val="0"/>
                    <w:jc w:val="center"/>
                    <w:rPr>
                      <w:rFonts w:hint="eastAsia" w:ascii="Times New Roman" w:hAnsi="Times New Roman" w:eastAsia="宋体" w:cs="Times New Roman"/>
                      <w:color w:val="auto"/>
                      <w:highlight w:val="none"/>
                      <w:lang w:val="en-US" w:eastAsia="zh-CN"/>
                    </w:rPr>
                  </w:pPr>
                </w:p>
              </w:tc>
              <w:tc>
                <w:tcPr>
                  <w:tcW w:w="1376" w:type="dxa"/>
                  <w:noWrap w:val="0"/>
                  <w:vAlign w:val="center"/>
                </w:tcPr>
                <w:p w14:paraId="46969343">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废水</w:t>
                  </w:r>
                </w:p>
              </w:tc>
              <w:tc>
                <w:tcPr>
                  <w:tcW w:w="3749" w:type="dxa"/>
                  <w:noWrap w:val="0"/>
                  <w:vAlign w:val="center"/>
                </w:tcPr>
                <w:p w14:paraId="04B911C9">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防污帘</w:t>
                  </w:r>
                </w:p>
              </w:tc>
              <w:tc>
                <w:tcPr>
                  <w:tcW w:w="1070" w:type="dxa"/>
                  <w:noWrap w:val="0"/>
                  <w:vAlign w:val="center"/>
                </w:tcPr>
                <w:p w14:paraId="1C544D42">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w:t>
                  </w:r>
                </w:p>
              </w:tc>
              <w:tc>
                <w:tcPr>
                  <w:tcW w:w="1077" w:type="dxa"/>
                  <w:noWrap w:val="0"/>
                  <w:vAlign w:val="center"/>
                </w:tcPr>
                <w:p w14:paraId="65B92878">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2C86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4" w:type="dxa"/>
                  <w:vMerge w:val="continue"/>
                  <w:noWrap w:val="0"/>
                  <w:vAlign w:val="center"/>
                </w:tcPr>
                <w:p w14:paraId="26CA97CD">
                  <w:pPr>
                    <w:adjustRightInd w:val="0"/>
                    <w:snapToGrid w:val="0"/>
                    <w:jc w:val="center"/>
                    <w:rPr>
                      <w:rFonts w:hint="eastAsia" w:ascii="Times New Roman" w:hAnsi="Times New Roman" w:eastAsia="宋体" w:cs="Times New Roman"/>
                      <w:color w:val="auto"/>
                      <w:highlight w:val="none"/>
                      <w:lang w:val="en-US" w:eastAsia="zh-CN"/>
                    </w:rPr>
                  </w:pPr>
                </w:p>
              </w:tc>
              <w:tc>
                <w:tcPr>
                  <w:tcW w:w="1376" w:type="dxa"/>
                  <w:noWrap w:val="0"/>
                  <w:vAlign w:val="center"/>
                </w:tcPr>
                <w:p w14:paraId="0C043991">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风险防范</w:t>
                  </w:r>
                </w:p>
              </w:tc>
              <w:tc>
                <w:tcPr>
                  <w:tcW w:w="3749" w:type="dxa"/>
                  <w:noWrap w:val="0"/>
                  <w:vAlign w:val="center"/>
                </w:tcPr>
                <w:p w14:paraId="6BB9506B">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溢油应急设施、吸油毡等物资</w:t>
                  </w:r>
                </w:p>
              </w:tc>
              <w:tc>
                <w:tcPr>
                  <w:tcW w:w="1070" w:type="dxa"/>
                  <w:noWrap w:val="0"/>
                  <w:vAlign w:val="center"/>
                </w:tcPr>
                <w:p w14:paraId="768005A4">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w:t>
                  </w:r>
                </w:p>
              </w:tc>
              <w:tc>
                <w:tcPr>
                  <w:tcW w:w="1077" w:type="dxa"/>
                  <w:noWrap w:val="0"/>
                  <w:vAlign w:val="center"/>
                </w:tcPr>
                <w:p w14:paraId="54362BA2">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0179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4" w:type="dxa"/>
                  <w:vMerge w:val="continue"/>
                  <w:noWrap w:val="0"/>
                  <w:vAlign w:val="center"/>
                </w:tcPr>
                <w:p w14:paraId="489F57B5">
                  <w:pPr>
                    <w:adjustRightInd w:val="0"/>
                    <w:snapToGrid w:val="0"/>
                    <w:jc w:val="center"/>
                    <w:rPr>
                      <w:rFonts w:hint="eastAsia" w:ascii="Times New Roman" w:hAnsi="Times New Roman" w:eastAsia="宋体" w:cs="Times New Roman"/>
                      <w:color w:val="auto"/>
                      <w:highlight w:val="none"/>
                      <w:lang w:val="en-US" w:eastAsia="zh-CN"/>
                    </w:rPr>
                  </w:pPr>
                </w:p>
              </w:tc>
              <w:tc>
                <w:tcPr>
                  <w:tcW w:w="1376" w:type="dxa"/>
                  <w:noWrap w:val="0"/>
                  <w:vAlign w:val="center"/>
                </w:tcPr>
                <w:p w14:paraId="4DD7410C">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环境监测</w:t>
                  </w:r>
                </w:p>
              </w:tc>
              <w:tc>
                <w:tcPr>
                  <w:tcW w:w="3749" w:type="dxa"/>
                  <w:noWrap w:val="0"/>
                  <w:vAlign w:val="center"/>
                </w:tcPr>
                <w:p w14:paraId="63C3CB02">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施工期水质、沉积物、生态等监测费用</w:t>
                  </w:r>
                </w:p>
              </w:tc>
              <w:tc>
                <w:tcPr>
                  <w:tcW w:w="1070" w:type="dxa"/>
                  <w:noWrap w:val="0"/>
                  <w:vAlign w:val="center"/>
                </w:tcPr>
                <w:p w14:paraId="76B1B2B8">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1077" w:type="dxa"/>
                  <w:noWrap w:val="0"/>
                  <w:vAlign w:val="center"/>
                </w:tcPr>
                <w:p w14:paraId="752860A0">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3B9A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40" w:type="dxa"/>
                  <w:gridSpan w:val="2"/>
                  <w:noWrap w:val="0"/>
                  <w:vAlign w:val="center"/>
                </w:tcPr>
                <w:p w14:paraId="2120F038">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环保监理</w:t>
                  </w:r>
                </w:p>
              </w:tc>
              <w:tc>
                <w:tcPr>
                  <w:tcW w:w="3749" w:type="dxa"/>
                  <w:noWrap w:val="0"/>
                  <w:vAlign w:val="center"/>
                </w:tcPr>
                <w:p w14:paraId="7B80651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监理费</w:t>
                  </w:r>
                </w:p>
              </w:tc>
              <w:tc>
                <w:tcPr>
                  <w:tcW w:w="1070" w:type="dxa"/>
                  <w:noWrap w:val="0"/>
                  <w:vAlign w:val="center"/>
                </w:tcPr>
                <w:p w14:paraId="0912D57F">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w:t>
                  </w:r>
                </w:p>
              </w:tc>
              <w:tc>
                <w:tcPr>
                  <w:tcW w:w="1077" w:type="dxa"/>
                  <w:noWrap w:val="0"/>
                  <w:vAlign w:val="center"/>
                </w:tcPr>
                <w:p w14:paraId="3AAE1767">
                  <w:pPr>
                    <w:adjustRightInd w:val="0"/>
                    <w:snapToGrid w:val="0"/>
                    <w:jc w:val="center"/>
                    <w:rPr>
                      <w:rFonts w:hint="eastAsia" w:ascii="Times New Roman" w:hAnsi="Times New Roman" w:eastAsia="宋体" w:cs="Times New Roman"/>
                      <w:color w:val="auto"/>
                      <w:highlight w:val="none"/>
                      <w:lang w:val="en-US" w:eastAsia="zh-CN"/>
                    </w:rPr>
                  </w:pPr>
                </w:p>
              </w:tc>
            </w:tr>
            <w:tr w14:paraId="087B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40" w:type="dxa"/>
                  <w:gridSpan w:val="2"/>
                  <w:noWrap w:val="0"/>
                  <w:vAlign w:val="center"/>
                </w:tcPr>
                <w:p w14:paraId="5E925FF2">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生态补偿</w:t>
                  </w:r>
                </w:p>
              </w:tc>
              <w:tc>
                <w:tcPr>
                  <w:tcW w:w="3749" w:type="dxa"/>
                  <w:noWrap w:val="0"/>
                  <w:vAlign w:val="center"/>
                </w:tcPr>
                <w:p w14:paraId="5ADED284">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水生生态补偿（渔业增殖放流等）</w:t>
                  </w:r>
                </w:p>
              </w:tc>
              <w:tc>
                <w:tcPr>
                  <w:tcW w:w="1070" w:type="dxa"/>
                  <w:noWrap w:val="0"/>
                  <w:vAlign w:val="center"/>
                </w:tcPr>
                <w:p w14:paraId="49C9FC5E">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12.88</w:t>
                  </w:r>
                </w:p>
              </w:tc>
              <w:tc>
                <w:tcPr>
                  <w:tcW w:w="1077" w:type="dxa"/>
                  <w:noWrap w:val="0"/>
                  <w:vAlign w:val="center"/>
                </w:tcPr>
                <w:p w14:paraId="6950F115">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影响期限低于3年，按照3年进行补偿</w:t>
                  </w:r>
                </w:p>
              </w:tc>
            </w:tr>
            <w:tr w14:paraId="0228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9" w:type="dxa"/>
                  <w:gridSpan w:val="3"/>
                  <w:noWrap w:val="0"/>
                  <w:vAlign w:val="center"/>
                </w:tcPr>
                <w:p w14:paraId="2CDE01C0">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合计/</w:t>
                  </w:r>
                </w:p>
              </w:tc>
              <w:tc>
                <w:tcPr>
                  <w:tcW w:w="1070" w:type="dxa"/>
                  <w:noWrap w:val="0"/>
                  <w:vAlign w:val="center"/>
                </w:tcPr>
                <w:p w14:paraId="14D556E2">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57.88</w:t>
                  </w:r>
                </w:p>
              </w:tc>
              <w:tc>
                <w:tcPr>
                  <w:tcW w:w="1077" w:type="dxa"/>
                  <w:noWrap w:val="0"/>
                  <w:vAlign w:val="center"/>
                </w:tcPr>
                <w:p w14:paraId="36ABCB4E">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bl>
          <w:p w14:paraId="1174C784">
            <w:pPr>
              <w:pStyle w:val="19"/>
              <w:rPr>
                <w:bCs/>
                <w:color w:val="auto"/>
                <w:spacing w:val="-10"/>
                <w:highlight w:val="none"/>
              </w:rPr>
            </w:pPr>
          </w:p>
        </w:tc>
      </w:tr>
    </w:tbl>
    <w:p w14:paraId="0CDD0DA0">
      <w:pPr>
        <w:adjustRightInd w:val="0"/>
        <w:snapToGrid w:val="0"/>
        <w:spacing w:line="360" w:lineRule="auto"/>
        <w:rPr>
          <w:b/>
          <w:color w:val="auto"/>
          <w:kern w:val="0"/>
          <w:sz w:val="28"/>
          <w:szCs w:val="28"/>
          <w:highlight w:val="none"/>
        </w:rPr>
        <w:sectPr>
          <w:pgSz w:w="11907" w:h="16840"/>
          <w:pgMar w:top="1701" w:right="1531" w:bottom="2127" w:left="1531" w:header="851" w:footer="851" w:gutter="0"/>
          <w:cols w:space="720" w:num="1"/>
          <w:docGrid w:linePitch="312" w:charSpace="0"/>
        </w:sectPr>
      </w:pPr>
    </w:p>
    <w:p w14:paraId="7F423E6A">
      <w:pPr>
        <w:pStyle w:val="2"/>
        <w:snapToGrid/>
        <w:spacing w:before="0" w:after="0" w:line="360" w:lineRule="auto"/>
        <w:jc w:val="center"/>
        <w:rPr>
          <w:color w:val="auto"/>
          <w:highlight w:val="none"/>
        </w:rPr>
      </w:pPr>
      <w:bookmarkStart w:id="48" w:name="_Toc5837"/>
      <w:bookmarkStart w:id="49" w:name="_Toc10116"/>
      <w:bookmarkStart w:id="50" w:name="_Toc15519"/>
      <w:bookmarkStart w:id="51" w:name="_Toc23076"/>
      <w:r>
        <w:rPr>
          <w:rFonts w:hint="eastAsia"/>
          <w:color w:val="auto"/>
          <w:highlight w:val="none"/>
        </w:rPr>
        <w:t>六</w:t>
      </w:r>
      <w:r>
        <w:rPr>
          <w:color w:val="auto"/>
          <w:highlight w:val="none"/>
        </w:rPr>
        <w:t>、</w:t>
      </w:r>
      <w:bookmarkStart w:id="52" w:name="_Hlk54167917"/>
      <w:r>
        <w:rPr>
          <w:rFonts w:hint="eastAsia"/>
          <w:color w:val="auto"/>
          <w:highlight w:val="none"/>
        </w:rPr>
        <w:t>生态</w:t>
      </w:r>
      <w:r>
        <w:rPr>
          <w:color w:val="auto"/>
          <w:highlight w:val="none"/>
        </w:rPr>
        <w:t>环境保护措施监督检查清单</w:t>
      </w:r>
      <w:bookmarkEnd w:id="48"/>
      <w:bookmarkEnd w:id="49"/>
      <w:bookmarkEnd w:id="50"/>
      <w:bookmarkEnd w:id="51"/>
      <w:bookmarkEnd w:id="52"/>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4032"/>
        <w:gridCol w:w="2122"/>
        <w:gridCol w:w="941"/>
        <w:gridCol w:w="787"/>
      </w:tblGrid>
      <w:tr w14:paraId="03B2E2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tblHeader/>
          <w:jc w:val="center"/>
        </w:trPr>
        <w:tc>
          <w:tcPr>
            <w:tcW w:w="1178" w:type="dxa"/>
            <w:vMerge w:val="restart"/>
            <w:tcBorders>
              <w:tl2br w:val="single" w:color="auto" w:sz="4" w:space="0"/>
            </w:tcBorders>
            <w:noWrap w:val="0"/>
            <w:vAlign w:val="top"/>
          </w:tcPr>
          <w:p w14:paraId="79E0C14F">
            <w:pPr>
              <w:pStyle w:val="40"/>
              <w:adjustRightInd w:val="0"/>
              <w:snapToGrid w:val="0"/>
              <w:spacing w:before="72" w:beforeLines="30" w:beforeAutospacing="0" w:after="0" w:afterAutospacing="0"/>
              <w:jc w:val="center"/>
              <w:rPr>
                <w:rFonts w:hint="eastAsia" w:ascii="Times New Roman" w:hAnsi="Times New Roman" w:eastAsia="宋体"/>
                <w:color w:val="auto"/>
                <w:kern w:val="2"/>
                <w:sz w:val="21"/>
                <w:szCs w:val="21"/>
                <w:highlight w:val="none"/>
                <w:lang w:eastAsia="zh-CN"/>
              </w:rPr>
            </w:pPr>
            <w:bookmarkStart w:id="53" w:name="_Toc22775"/>
            <w:bookmarkStart w:id="54" w:name="_Toc14402"/>
            <w:bookmarkStart w:id="55" w:name="_Toc12768"/>
            <w:r>
              <w:rPr>
                <w:rFonts w:ascii="Times New Roman" w:hAnsi="Times New Roman"/>
                <w:color w:val="auto"/>
                <w:kern w:val="2"/>
                <w:sz w:val="21"/>
                <w:szCs w:val="21"/>
                <w:highlight w:val="none"/>
              </w:rPr>
              <w:t>内容</w:t>
            </w:r>
            <w:bookmarkEnd w:id="53"/>
            <w:bookmarkEnd w:id="54"/>
            <w:bookmarkEnd w:id="55"/>
          </w:p>
          <w:p w14:paraId="4877FF7D">
            <w:pPr>
              <w:pStyle w:val="40"/>
              <w:adjustRightInd w:val="0"/>
              <w:snapToGrid w:val="0"/>
              <w:spacing w:before="72" w:beforeLines="30" w:beforeAutospacing="0" w:after="0" w:afterAutospacing="0"/>
              <w:jc w:val="center"/>
              <w:outlineLvl w:val="0"/>
              <w:rPr>
                <w:rFonts w:hint="eastAsia" w:ascii="Times New Roman" w:hAnsi="Times New Roman" w:eastAsia="宋体"/>
                <w:color w:val="auto"/>
                <w:kern w:val="2"/>
                <w:sz w:val="21"/>
                <w:szCs w:val="21"/>
                <w:highlight w:val="none"/>
                <w:lang w:eastAsia="zh-CN"/>
              </w:rPr>
            </w:pPr>
          </w:p>
          <w:p w14:paraId="27371FFD">
            <w:pPr>
              <w:pStyle w:val="40"/>
              <w:adjustRightInd w:val="0"/>
              <w:snapToGrid w:val="0"/>
              <w:spacing w:before="0" w:beforeAutospacing="0" w:after="0" w:afterAutospacing="0" w:line="14" w:lineRule="auto"/>
              <w:rPr>
                <w:rFonts w:hint="eastAsia" w:ascii="Times New Roman" w:hAnsi="Times New Roman" w:eastAsia="宋体"/>
                <w:color w:val="auto"/>
                <w:kern w:val="2"/>
                <w:sz w:val="21"/>
                <w:szCs w:val="21"/>
                <w:highlight w:val="none"/>
                <w:lang w:eastAsia="zh-CN"/>
              </w:rPr>
            </w:pPr>
          </w:p>
          <w:p w14:paraId="4422D927">
            <w:pPr>
              <w:pStyle w:val="40"/>
              <w:adjustRightInd w:val="0"/>
              <w:snapToGrid w:val="0"/>
              <w:spacing w:before="0" w:beforeAutospacing="0" w:after="0" w:afterAutospacing="0"/>
              <w:outlineLvl w:val="0"/>
              <w:rPr>
                <w:rFonts w:ascii="Times New Roman" w:hAnsi="Times New Roman"/>
                <w:color w:val="auto"/>
                <w:kern w:val="2"/>
                <w:sz w:val="21"/>
                <w:szCs w:val="21"/>
                <w:highlight w:val="none"/>
              </w:rPr>
            </w:pPr>
            <w:bookmarkStart w:id="56" w:name="_Toc30139"/>
            <w:bookmarkStart w:id="57" w:name="_Toc31996"/>
            <w:bookmarkStart w:id="58" w:name="_Toc1682"/>
            <w:bookmarkStart w:id="59" w:name="_Toc11463"/>
            <w:bookmarkStart w:id="60" w:name="_Toc22177"/>
            <w:bookmarkStart w:id="61" w:name="_Toc11667"/>
            <w:bookmarkStart w:id="62" w:name="_Toc22319"/>
            <w:bookmarkStart w:id="63" w:name="_Toc25369"/>
            <w:bookmarkStart w:id="64" w:name="_Toc3766"/>
            <w:bookmarkStart w:id="65" w:name="_Toc19227"/>
            <w:bookmarkStart w:id="66" w:name="_Toc18720"/>
            <w:r>
              <w:rPr>
                <w:rFonts w:ascii="Times New Roman" w:hAnsi="Times New Roman"/>
                <w:color w:val="auto"/>
                <w:kern w:val="2"/>
                <w:sz w:val="21"/>
                <w:szCs w:val="21"/>
                <w:highlight w:val="none"/>
              </w:rPr>
              <w:t>要素</w:t>
            </w:r>
            <w:bookmarkEnd w:id="56"/>
            <w:bookmarkEnd w:id="57"/>
            <w:bookmarkEnd w:id="58"/>
            <w:bookmarkEnd w:id="59"/>
            <w:bookmarkEnd w:id="60"/>
            <w:bookmarkEnd w:id="61"/>
            <w:bookmarkEnd w:id="62"/>
            <w:bookmarkEnd w:id="63"/>
            <w:bookmarkEnd w:id="64"/>
            <w:bookmarkEnd w:id="65"/>
            <w:bookmarkEnd w:id="66"/>
          </w:p>
        </w:tc>
        <w:tc>
          <w:tcPr>
            <w:tcW w:w="6154" w:type="dxa"/>
            <w:gridSpan w:val="2"/>
            <w:noWrap w:val="0"/>
            <w:vAlign w:val="center"/>
          </w:tcPr>
          <w:p w14:paraId="681020C6">
            <w:pPr>
              <w:pStyle w:val="40"/>
              <w:adjustRightInd w:val="0"/>
              <w:snapToGrid w:val="0"/>
              <w:spacing w:before="0" w:beforeAutospacing="0" w:after="0" w:afterAutospacing="0"/>
              <w:jc w:val="center"/>
              <w:outlineLvl w:val="0"/>
              <w:rPr>
                <w:rFonts w:ascii="Times New Roman" w:hAnsi="Times New Roman"/>
                <w:color w:val="auto"/>
                <w:kern w:val="2"/>
                <w:sz w:val="21"/>
                <w:szCs w:val="21"/>
                <w:highlight w:val="none"/>
              </w:rPr>
            </w:pPr>
            <w:bookmarkStart w:id="67" w:name="_Toc18546"/>
            <w:bookmarkStart w:id="68" w:name="_Toc17397"/>
            <w:bookmarkStart w:id="69" w:name="_Toc4499"/>
            <w:bookmarkStart w:id="70" w:name="_Toc10347"/>
            <w:bookmarkStart w:id="71" w:name="_Toc32053"/>
            <w:bookmarkStart w:id="72" w:name="_Toc31966"/>
            <w:bookmarkStart w:id="73" w:name="_Toc6855"/>
            <w:bookmarkStart w:id="74" w:name="_Toc2074"/>
            <w:bookmarkStart w:id="75" w:name="_Toc5768"/>
            <w:bookmarkStart w:id="76" w:name="_Toc20613"/>
            <w:bookmarkStart w:id="77" w:name="_Toc12464"/>
            <w:r>
              <w:rPr>
                <w:rFonts w:ascii="Times New Roman" w:hAnsi="Times New Roman"/>
                <w:color w:val="auto"/>
                <w:kern w:val="2"/>
                <w:sz w:val="21"/>
                <w:szCs w:val="21"/>
                <w:highlight w:val="none"/>
              </w:rPr>
              <w:t>施工期</w:t>
            </w:r>
            <w:bookmarkEnd w:id="67"/>
            <w:bookmarkEnd w:id="68"/>
            <w:bookmarkEnd w:id="69"/>
            <w:bookmarkEnd w:id="70"/>
            <w:bookmarkEnd w:id="71"/>
            <w:bookmarkEnd w:id="72"/>
            <w:bookmarkEnd w:id="73"/>
            <w:bookmarkEnd w:id="74"/>
            <w:bookmarkEnd w:id="75"/>
            <w:bookmarkEnd w:id="76"/>
            <w:bookmarkEnd w:id="77"/>
          </w:p>
        </w:tc>
        <w:tc>
          <w:tcPr>
            <w:tcW w:w="1728" w:type="dxa"/>
            <w:gridSpan w:val="2"/>
            <w:noWrap w:val="0"/>
            <w:vAlign w:val="center"/>
          </w:tcPr>
          <w:p w14:paraId="12B72169">
            <w:pPr>
              <w:pStyle w:val="40"/>
              <w:adjustRightInd w:val="0"/>
              <w:snapToGrid w:val="0"/>
              <w:spacing w:before="0" w:beforeAutospacing="0" w:after="0" w:afterAutospacing="0"/>
              <w:jc w:val="center"/>
              <w:outlineLvl w:val="0"/>
              <w:rPr>
                <w:rFonts w:ascii="Times New Roman" w:hAnsi="Times New Roman"/>
                <w:color w:val="auto"/>
                <w:kern w:val="2"/>
                <w:sz w:val="21"/>
                <w:szCs w:val="21"/>
                <w:highlight w:val="none"/>
              </w:rPr>
            </w:pPr>
            <w:bookmarkStart w:id="78" w:name="_Toc12042"/>
            <w:bookmarkStart w:id="79" w:name="_Toc7858"/>
            <w:bookmarkStart w:id="80" w:name="_Toc19003"/>
            <w:bookmarkStart w:id="81" w:name="_Toc17943"/>
            <w:bookmarkStart w:id="82" w:name="_Toc16883"/>
            <w:bookmarkStart w:id="83" w:name="_Toc26005"/>
            <w:bookmarkStart w:id="84" w:name="_Toc23011"/>
            <w:bookmarkStart w:id="85" w:name="_Toc31349"/>
            <w:bookmarkStart w:id="86" w:name="_Toc18212"/>
            <w:bookmarkStart w:id="87" w:name="_Toc30749"/>
            <w:bookmarkStart w:id="88" w:name="_Toc26295"/>
            <w:r>
              <w:rPr>
                <w:rFonts w:ascii="Times New Roman" w:hAnsi="Times New Roman"/>
                <w:color w:val="auto"/>
                <w:kern w:val="2"/>
                <w:sz w:val="21"/>
                <w:szCs w:val="21"/>
                <w:highlight w:val="none"/>
              </w:rPr>
              <w:t>运营期</w:t>
            </w:r>
            <w:bookmarkEnd w:id="78"/>
            <w:bookmarkEnd w:id="79"/>
            <w:bookmarkEnd w:id="80"/>
            <w:bookmarkEnd w:id="81"/>
            <w:bookmarkEnd w:id="82"/>
            <w:bookmarkEnd w:id="83"/>
            <w:bookmarkEnd w:id="84"/>
            <w:bookmarkEnd w:id="85"/>
            <w:bookmarkEnd w:id="86"/>
            <w:bookmarkEnd w:id="87"/>
            <w:bookmarkEnd w:id="88"/>
          </w:p>
        </w:tc>
      </w:tr>
      <w:tr w14:paraId="64B33A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tblHeader/>
          <w:jc w:val="center"/>
        </w:trPr>
        <w:tc>
          <w:tcPr>
            <w:tcW w:w="1178" w:type="dxa"/>
            <w:vMerge w:val="continue"/>
            <w:noWrap w:val="0"/>
            <w:vAlign w:val="top"/>
          </w:tcPr>
          <w:p w14:paraId="6AEFF2B7">
            <w:pPr>
              <w:pStyle w:val="40"/>
              <w:adjustRightInd w:val="0"/>
              <w:snapToGrid w:val="0"/>
              <w:spacing w:before="0" w:beforeAutospacing="0" w:after="0" w:afterAutospacing="0"/>
              <w:ind w:firstLine="840"/>
              <w:jc w:val="center"/>
              <w:rPr>
                <w:rFonts w:ascii="Times New Roman" w:hAnsi="Times New Roman"/>
                <w:color w:val="auto"/>
                <w:kern w:val="2"/>
                <w:sz w:val="21"/>
                <w:szCs w:val="21"/>
                <w:highlight w:val="none"/>
              </w:rPr>
            </w:pPr>
          </w:p>
        </w:tc>
        <w:tc>
          <w:tcPr>
            <w:tcW w:w="4032" w:type="dxa"/>
            <w:noWrap w:val="0"/>
            <w:vAlign w:val="center"/>
          </w:tcPr>
          <w:p w14:paraId="2D687447">
            <w:pPr>
              <w:pStyle w:val="40"/>
              <w:adjustRightInd w:val="0"/>
              <w:snapToGrid w:val="0"/>
              <w:spacing w:before="0" w:beforeAutospacing="0" w:after="0" w:afterAutospacing="0"/>
              <w:jc w:val="center"/>
              <w:outlineLvl w:val="0"/>
              <w:rPr>
                <w:rFonts w:ascii="Times New Roman" w:hAnsi="Times New Roman"/>
                <w:color w:val="auto"/>
                <w:kern w:val="2"/>
                <w:sz w:val="21"/>
                <w:szCs w:val="21"/>
                <w:highlight w:val="none"/>
              </w:rPr>
            </w:pPr>
            <w:bookmarkStart w:id="89" w:name="_Toc4209"/>
            <w:bookmarkStart w:id="90" w:name="_Toc27944"/>
            <w:bookmarkStart w:id="91" w:name="_Toc18958"/>
            <w:bookmarkStart w:id="92" w:name="_Toc14613"/>
            <w:bookmarkStart w:id="93" w:name="_Toc27848"/>
            <w:bookmarkStart w:id="94" w:name="_Toc23597"/>
            <w:bookmarkStart w:id="95" w:name="_Toc26055"/>
            <w:bookmarkStart w:id="96" w:name="_Toc3918"/>
            <w:bookmarkStart w:id="97" w:name="_Toc639"/>
            <w:bookmarkStart w:id="98" w:name="_Toc30541"/>
            <w:bookmarkStart w:id="99" w:name="_Toc26652"/>
            <w:r>
              <w:rPr>
                <w:rFonts w:ascii="Times New Roman" w:hAnsi="Times New Roman"/>
                <w:color w:val="auto"/>
                <w:kern w:val="2"/>
                <w:sz w:val="21"/>
                <w:szCs w:val="21"/>
                <w:highlight w:val="none"/>
              </w:rPr>
              <w:t>环境保护措施</w:t>
            </w:r>
            <w:bookmarkEnd w:id="89"/>
            <w:bookmarkEnd w:id="90"/>
            <w:bookmarkEnd w:id="91"/>
            <w:bookmarkEnd w:id="92"/>
            <w:bookmarkEnd w:id="93"/>
            <w:bookmarkEnd w:id="94"/>
            <w:bookmarkEnd w:id="95"/>
            <w:bookmarkEnd w:id="96"/>
            <w:bookmarkEnd w:id="97"/>
            <w:bookmarkEnd w:id="98"/>
            <w:bookmarkEnd w:id="99"/>
          </w:p>
        </w:tc>
        <w:tc>
          <w:tcPr>
            <w:tcW w:w="2122" w:type="dxa"/>
            <w:noWrap w:val="0"/>
            <w:vAlign w:val="center"/>
          </w:tcPr>
          <w:p w14:paraId="77442555">
            <w:pPr>
              <w:pStyle w:val="40"/>
              <w:adjustRightInd w:val="0"/>
              <w:snapToGrid w:val="0"/>
              <w:spacing w:before="0" w:beforeAutospacing="0" w:after="0" w:afterAutospacing="0"/>
              <w:jc w:val="center"/>
              <w:outlineLvl w:val="0"/>
              <w:rPr>
                <w:rFonts w:ascii="Times New Roman" w:hAnsi="Times New Roman"/>
                <w:color w:val="auto"/>
                <w:kern w:val="2"/>
                <w:sz w:val="21"/>
                <w:szCs w:val="21"/>
                <w:highlight w:val="none"/>
              </w:rPr>
            </w:pPr>
            <w:bookmarkStart w:id="100" w:name="_Toc17016"/>
            <w:bookmarkStart w:id="101" w:name="_Toc15073"/>
            <w:bookmarkStart w:id="102" w:name="_Toc22159"/>
            <w:bookmarkStart w:id="103" w:name="_Toc23014"/>
            <w:bookmarkStart w:id="104" w:name="_Toc9897"/>
            <w:bookmarkStart w:id="105" w:name="_Toc25281"/>
            <w:bookmarkStart w:id="106" w:name="_Toc25889"/>
            <w:bookmarkStart w:id="107" w:name="_Toc28107"/>
            <w:bookmarkStart w:id="108" w:name="_Toc4734"/>
            <w:bookmarkStart w:id="109" w:name="_Toc8927"/>
            <w:bookmarkStart w:id="110" w:name="_Toc18165"/>
            <w:r>
              <w:rPr>
                <w:rFonts w:ascii="Times New Roman" w:hAnsi="Times New Roman"/>
                <w:color w:val="auto"/>
                <w:kern w:val="2"/>
                <w:sz w:val="21"/>
                <w:szCs w:val="21"/>
                <w:highlight w:val="none"/>
              </w:rPr>
              <w:t>验收要求</w:t>
            </w:r>
            <w:bookmarkEnd w:id="100"/>
            <w:bookmarkEnd w:id="101"/>
            <w:bookmarkEnd w:id="102"/>
            <w:bookmarkEnd w:id="103"/>
            <w:bookmarkEnd w:id="104"/>
            <w:bookmarkEnd w:id="105"/>
            <w:bookmarkEnd w:id="106"/>
            <w:bookmarkEnd w:id="107"/>
            <w:bookmarkEnd w:id="108"/>
            <w:bookmarkEnd w:id="109"/>
            <w:bookmarkEnd w:id="110"/>
          </w:p>
        </w:tc>
        <w:tc>
          <w:tcPr>
            <w:tcW w:w="941" w:type="dxa"/>
            <w:noWrap w:val="0"/>
            <w:vAlign w:val="center"/>
          </w:tcPr>
          <w:p w14:paraId="1BA209C1">
            <w:pPr>
              <w:pStyle w:val="40"/>
              <w:adjustRightInd w:val="0"/>
              <w:snapToGrid w:val="0"/>
              <w:spacing w:before="0" w:beforeAutospacing="0" w:after="0" w:afterAutospacing="0"/>
              <w:jc w:val="center"/>
              <w:outlineLvl w:val="0"/>
              <w:rPr>
                <w:rFonts w:ascii="Times New Roman" w:hAnsi="Times New Roman"/>
                <w:color w:val="auto"/>
                <w:kern w:val="2"/>
                <w:sz w:val="21"/>
                <w:szCs w:val="21"/>
                <w:highlight w:val="none"/>
              </w:rPr>
            </w:pPr>
            <w:bookmarkStart w:id="111" w:name="_Toc22128"/>
            <w:bookmarkStart w:id="112" w:name="_Toc22597"/>
            <w:bookmarkStart w:id="113" w:name="_Toc28875"/>
            <w:bookmarkStart w:id="114" w:name="_Toc13976"/>
            <w:bookmarkStart w:id="115" w:name="_Toc29706"/>
            <w:bookmarkStart w:id="116" w:name="_Toc3476"/>
            <w:bookmarkStart w:id="117" w:name="_Toc11743"/>
            <w:bookmarkStart w:id="118" w:name="_Toc28363"/>
            <w:bookmarkStart w:id="119" w:name="_Toc2197"/>
            <w:bookmarkStart w:id="120" w:name="_Toc8713"/>
            <w:bookmarkStart w:id="121" w:name="_Toc7256"/>
            <w:r>
              <w:rPr>
                <w:rFonts w:ascii="Times New Roman" w:hAnsi="Times New Roman"/>
                <w:color w:val="auto"/>
                <w:kern w:val="2"/>
                <w:sz w:val="21"/>
                <w:szCs w:val="21"/>
                <w:highlight w:val="none"/>
              </w:rPr>
              <w:t>环境保护措施</w:t>
            </w:r>
            <w:bookmarkEnd w:id="111"/>
            <w:bookmarkEnd w:id="112"/>
            <w:bookmarkEnd w:id="113"/>
            <w:bookmarkEnd w:id="114"/>
            <w:bookmarkEnd w:id="115"/>
            <w:bookmarkEnd w:id="116"/>
            <w:bookmarkEnd w:id="117"/>
            <w:bookmarkEnd w:id="118"/>
            <w:bookmarkEnd w:id="119"/>
            <w:bookmarkEnd w:id="120"/>
            <w:bookmarkEnd w:id="121"/>
          </w:p>
        </w:tc>
        <w:tc>
          <w:tcPr>
            <w:tcW w:w="787" w:type="dxa"/>
            <w:noWrap w:val="0"/>
            <w:vAlign w:val="center"/>
          </w:tcPr>
          <w:p w14:paraId="107C88C2">
            <w:pPr>
              <w:pStyle w:val="40"/>
              <w:adjustRightInd w:val="0"/>
              <w:snapToGrid w:val="0"/>
              <w:spacing w:before="0" w:beforeAutospacing="0" w:after="0" w:afterAutospacing="0"/>
              <w:jc w:val="center"/>
              <w:outlineLvl w:val="0"/>
              <w:rPr>
                <w:rFonts w:ascii="Times New Roman" w:hAnsi="Times New Roman"/>
                <w:color w:val="auto"/>
                <w:kern w:val="2"/>
                <w:sz w:val="21"/>
                <w:szCs w:val="21"/>
                <w:highlight w:val="none"/>
              </w:rPr>
            </w:pPr>
            <w:bookmarkStart w:id="122" w:name="_Toc21660"/>
            <w:bookmarkStart w:id="123" w:name="_Toc21906"/>
            <w:bookmarkStart w:id="124" w:name="_Toc7244"/>
            <w:bookmarkStart w:id="125" w:name="_Toc12994"/>
            <w:bookmarkStart w:id="126" w:name="_Toc5297"/>
            <w:bookmarkStart w:id="127" w:name="_Toc15925"/>
            <w:bookmarkStart w:id="128" w:name="_Toc19666"/>
            <w:bookmarkStart w:id="129" w:name="_Toc2427"/>
            <w:bookmarkStart w:id="130" w:name="_Toc4026"/>
            <w:bookmarkStart w:id="131" w:name="_Toc11791"/>
            <w:bookmarkStart w:id="132" w:name="_Toc3628"/>
            <w:r>
              <w:rPr>
                <w:rFonts w:ascii="Times New Roman" w:hAnsi="Times New Roman"/>
                <w:color w:val="auto"/>
                <w:kern w:val="2"/>
                <w:sz w:val="21"/>
                <w:szCs w:val="21"/>
                <w:highlight w:val="none"/>
              </w:rPr>
              <w:t>验收要求</w:t>
            </w:r>
            <w:bookmarkEnd w:id="122"/>
            <w:bookmarkEnd w:id="123"/>
            <w:bookmarkEnd w:id="124"/>
            <w:bookmarkEnd w:id="125"/>
            <w:bookmarkEnd w:id="126"/>
            <w:bookmarkEnd w:id="127"/>
            <w:bookmarkEnd w:id="128"/>
            <w:bookmarkEnd w:id="129"/>
            <w:bookmarkEnd w:id="130"/>
            <w:bookmarkEnd w:id="131"/>
            <w:bookmarkEnd w:id="132"/>
          </w:p>
        </w:tc>
      </w:tr>
      <w:tr w14:paraId="093DFA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178" w:type="dxa"/>
            <w:noWrap w:val="0"/>
            <w:vAlign w:val="center"/>
          </w:tcPr>
          <w:p w14:paraId="04485819">
            <w:pPr>
              <w:adjustRightInd w:val="0"/>
              <w:snapToGrid w:val="0"/>
              <w:jc w:val="center"/>
              <w:rPr>
                <w:color w:val="auto"/>
                <w:szCs w:val="21"/>
                <w:highlight w:val="none"/>
              </w:rPr>
            </w:pPr>
            <w:r>
              <w:rPr>
                <w:color w:val="auto"/>
                <w:szCs w:val="21"/>
                <w:highlight w:val="none"/>
              </w:rPr>
              <w:t>陆生生态</w:t>
            </w:r>
          </w:p>
        </w:tc>
        <w:tc>
          <w:tcPr>
            <w:tcW w:w="4032" w:type="dxa"/>
            <w:noWrap w:val="0"/>
            <w:vAlign w:val="center"/>
          </w:tcPr>
          <w:p w14:paraId="0B09E6D1">
            <w:pPr>
              <w:adjustRightInd w:val="0"/>
              <w:snapToGrid w:val="0"/>
              <w:jc w:val="center"/>
              <w:rPr>
                <w:rFonts w:hint="eastAsia" w:eastAsia="宋体"/>
                <w:color w:val="auto"/>
                <w:szCs w:val="21"/>
                <w:highlight w:val="none"/>
                <w:lang w:val="en-US" w:eastAsia="zh-CN"/>
              </w:rPr>
            </w:pPr>
            <w:r>
              <w:rPr>
                <w:rFonts w:hint="eastAsia"/>
                <w:color w:val="auto"/>
                <w:spacing w:val="-4"/>
                <w:szCs w:val="21"/>
                <w:highlight w:val="none"/>
                <w:lang w:val="en-US" w:eastAsia="zh-CN"/>
              </w:rPr>
              <w:t>/</w:t>
            </w:r>
          </w:p>
        </w:tc>
        <w:tc>
          <w:tcPr>
            <w:tcW w:w="2122" w:type="dxa"/>
            <w:noWrap w:val="0"/>
            <w:vAlign w:val="center"/>
          </w:tcPr>
          <w:p w14:paraId="01252B9F">
            <w:pPr>
              <w:adjustRightInd w:val="0"/>
              <w:snapToGrid w:val="0"/>
              <w:jc w:val="center"/>
              <w:rPr>
                <w:rFonts w:hint="default"/>
                <w:color w:val="auto"/>
                <w:szCs w:val="21"/>
                <w:highlight w:val="none"/>
                <w:lang w:val="en-US"/>
              </w:rPr>
            </w:pPr>
            <w:r>
              <w:rPr>
                <w:rFonts w:hint="eastAsia"/>
                <w:color w:val="auto"/>
                <w:spacing w:val="-4"/>
                <w:szCs w:val="21"/>
                <w:highlight w:val="none"/>
                <w:lang w:val="en-US" w:eastAsia="zh-CN"/>
              </w:rPr>
              <w:t>/</w:t>
            </w:r>
          </w:p>
        </w:tc>
        <w:tc>
          <w:tcPr>
            <w:tcW w:w="941" w:type="dxa"/>
            <w:noWrap w:val="0"/>
            <w:vAlign w:val="center"/>
          </w:tcPr>
          <w:p w14:paraId="1D614D15">
            <w:pPr>
              <w:adjustRightInd w:val="0"/>
              <w:snapToGrid w:val="0"/>
              <w:jc w:val="center"/>
              <w:rPr>
                <w:rFonts w:hint="default"/>
                <w:color w:val="auto"/>
                <w:szCs w:val="21"/>
                <w:highlight w:val="none"/>
                <w:lang w:val="en-US"/>
              </w:rPr>
            </w:pPr>
            <w:r>
              <w:rPr>
                <w:rFonts w:hint="eastAsia"/>
                <w:color w:val="auto"/>
                <w:spacing w:val="-4"/>
                <w:szCs w:val="21"/>
                <w:highlight w:val="none"/>
                <w:lang w:val="en-US" w:eastAsia="zh-CN"/>
              </w:rPr>
              <w:t>/</w:t>
            </w:r>
          </w:p>
        </w:tc>
        <w:tc>
          <w:tcPr>
            <w:tcW w:w="787" w:type="dxa"/>
            <w:noWrap w:val="0"/>
            <w:vAlign w:val="center"/>
          </w:tcPr>
          <w:p w14:paraId="25A93BB8">
            <w:pPr>
              <w:adjustRightInd w:val="0"/>
              <w:snapToGrid w:val="0"/>
              <w:jc w:val="center"/>
              <w:rPr>
                <w:rFonts w:hint="default"/>
                <w:color w:val="auto"/>
                <w:szCs w:val="21"/>
                <w:highlight w:val="none"/>
                <w:lang w:val="en-US"/>
              </w:rPr>
            </w:pPr>
            <w:r>
              <w:rPr>
                <w:rFonts w:hint="eastAsia"/>
                <w:color w:val="auto"/>
                <w:spacing w:val="-4"/>
                <w:szCs w:val="21"/>
                <w:highlight w:val="none"/>
                <w:lang w:val="en-US" w:eastAsia="zh-CN"/>
              </w:rPr>
              <w:t>/</w:t>
            </w:r>
          </w:p>
        </w:tc>
      </w:tr>
      <w:tr w14:paraId="5E852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0B9C918F">
            <w:pPr>
              <w:adjustRightInd w:val="0"/>
              <w:snapToGrid w:val="0"/>
              <w:jc w:val="center"/>
              <w:rPr>
                <w:color w:val="auto"/>
                <w:szCs w:val="21"/>
                <w:highlight w:val="none"/>
              </w:rPr>
            </w:pPr>
            <w:r>
              <w:rPr>
                <w:rFonts w:hint="eastAsia"/>
                <w:color w:val="auto"/>
                <w:szCs w:val="21"/>
                <w:highlight w:val="none"/>
              </w:rPr>
              <w:t>水生生态</w:t>
            </w:r>
          </w:p>
        </w:tc>
        <w:tc>
          <w:tcPr>
            <w:tcW w:w="4032" w:type="dxa"/>
            <w:noWrap w:val="0"/>
            <w:vAlign w:val="center"/>
          </w:tcPr>
          <w:p w14:paraId="4E1206F9">
            <w:pPr>
              <w:pStyle w:val="77"/>
              <w:jc w:val="center"/>
              <w:rPr>
                <w:rFonts w:hint="eastAsia"/>
                <w:color w:val="auto"/>
                <w:spacing w:val="-4"/>
                <w:szCs w:val="21"/>
                <w:highlight w:val="none"/>
              </w:rPr>
            </w:pPr>
            <w:r>
              <w:rPr>
                <w:rFonts w:hint="eastAsia" w:ascii="宋体" w:hAnsi="宋体" w:eastAsia="宋体" w:cs="宋体"/>
                <w:b w:val="0"/>
                <w:bCs w:val="0"/>
                <w:color w:val="auto"/>
                <w:sz w:val="21"/>
                <w:szCs w:val="21"/>
                <w:highlight w:val="none"/>
              </w:rPr>
              <w:t>委托专业的第三方机构开展生态补偿工作，具体的补偿措施和方案在实施之前，建设单位应协调主管部门确定</w:t>
            </w:r>
          </w:p>
        </w:tc>
        <w:tc>
          <w:tcPr>
            <w:tcW w:w="2122" w:type="dxa"/>
            <w:noWrap w:val="0"/>
            <w:vAlign w:val="center"/>
          </w:tcPr>
          <w:p w14:paraId="02D07FA8">
            <w:pPr>
              <w:pStyle w:val="77"/>
              <w:jc w:val="center"/>
              <w:rPr>
                <w:rFonts w:hint="eastAsia"/>
                <w:color w:val="auto"/>
                <w:spacing w:val="-4"/>
                <w:szCs w:val="21"/>
                <w:highlight w:val="none"/>
              </w:rPr>
            </w:pPr>
            <w:r>
              <w:rPr>
                <w:rFonts w:hint="eastAsia" w:ascii="宋体" w:hAnsi="宋体" w:eastAsia="宋体" w:cs="宋体"/>
                <w:b w:val="0"/>
                <w:bCs w:val="0"/>
                <w:color w:val="auto"/>
                <w:sz w:val="21"/>
                <w:szCs w:val="21"/>
                <w:highlight w:val="none"/>
              </w:rPr>
              <w:t>相关委托协议及生态修复文件、照片</w:t>
            </w:r>
          </w:p>
        </w:tc>
        <w:tc>
          <w:tcPr>
            <w:tcW w:w="941" w:type="dxa"/>
            <w:noWrap w:val="0"/>
            <w:vAlign w:val="center"/>
          </w:tcPr>
          <w:p w14:paraId="520E5D5F">
            <w:pPr>
              <w:adjustRightInd w:val="0"/>
              <w:snapToGrid w:val="0"/>
              <w:jc w:val="center"/>
              <w:rPr>
                <w:rFonts w:hint="eastAsia"/>
                <w:color w:val="auto"/>
                <w:szCs w:val="21"/>
                <w:highlight w:val="none"/>
              </w:rPr>
            </w:pPr>
            <w:r>
              <w:rPr>
                <w:color w:val="auto"/>
                <w:szCs w:val="21"/>
                <w:highlight w:val="none"/>
              </w:rPr>
              <w:t>/</w:t>
            </w:r>
          </w:p>
        </w:tc>
        <w:tc>
          <w:tcPr>
            <w:tcW w:w="787" w:type="dxa"/>
            <w:noWrap w:val="0"/>
            <w:vAlign w:val="center"/>
          </w:tcPr>
          <w:p w14:paraId="1D2133B5">
            <w:pPr>
              <w:adjustRightInd w:val="0"/>
              <w:snapToGrid w:val="0"/>
              <w:jc w:val="center"/>
              <w:rPr>
                <w:rFonts w:hint="eastAsia"/>
                <w:color w:val="auto"/>
                <w:szCs w:val="21"/>
                <w:highlight w:val="none"/>
              </w:rPr>
            </w:pPr>
            <w:r>
              <w:rPr>
                <w:color w:val="auto"/>
                <w:szCs w:val="21"/>
                <w:highlight w:val="none"/>
              </w:rPr>
              <w:t>/</w:t>
            </w:r>
          </w:p>
        </w:tc>
      </w:tr>
      <w:tr w14:paraId="37F38E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vMerge w:val="restart"/>
            <w:noWrap w:val="0"/>
            <w:vAlign w:val="center"/>
          </w:tcPr>
          <w:p w14:paraId="42BBD7D6">
            <w:pPr>
              <w:adjustRightInd w:val="0"/>
              <w:snapToGrid w:val="0"/>
              <w:jc w:val="center"/>
              <w:rPr>
                <w:color w:val="auto"/>
                <w:szCs w:val="21"/>
                <w:highlight w:val="none"/>
              </w:rPr>
            </w:pPr>
            <w:r>
              <w:rPr>
                <w:color w:val="auto"/>
                <w:szCs w:val="21"/>
                <w:highlight w:val="none"/>
              </w:rPr>
              <w:t>地表水</w:t>
            </w:r>
          </w:p>
          <w:p w14:paraId="4E7C8BA0">
            <w:pPr>
              <w:adjustRightInd w:val="0"/>
              <w:snapToGrid w:val="0"/>
              <w:jc w:val="center"/>
              <w:rPr>
                <w:color w:val="auto"/>
                <w:szCs w:val="21"/>
                <w:highlight w:val="none"/>
              </w:rPr>
            </w:pPr>
            <w:r>
              <w:rPr>
                <w:color w:val="auto"/>
                <w:szCs w:val="21"/>
                <w:highlight w:val="none"/>
              </w:rPr>
              <w:t>环境</w:t>
            </w:r>
          </w:p>
        </w:tc>
        <w:tc>
          <w:tcPr>
            <w:tcW w:w="4032" w:type="dxa"/>
            <w:noWrap w:val="0"/>
            <w:vAlign w:val="center"/>
          </w:tcPr>
          <w:p w14:paraId="62C22DD8">
            <w:pPr>
              <w:pStyle w:val="77"/>
              <w:jc w:val="center"/>
              <w:rPr>
                <w:rFonts w:hint="eastAsia" w:ascii="宋体" w:hAnsi="Courier New" w:eastAsia="Times New Roman"/>
                <w:color w:val="auto"/>
                <w:kern w:val="2"/>
                <w:sz w:val="24"/>
                <w:szCs w:val="21"/>
                <w:highlight w:val="none"/>
                <w:lang w:val="en-US" w:eastAsia="zh-CN" w:bidi="ar-SA"/>
              </w:rPr>
            </w:pPr>
            <w:r>
              <w:rPr>
                <w:rFonts w:hint="eastAsia" w:ascii="宋体" w:hAnsi="宋体" w:eastAsia="宋体" w:cs="宋体"/>
                <w:b w:val="0"/>
                <w:bCs w:val="0"/>
                <w:color w:val="auto"/>
                <w:sz w:val="21"/>
                <w:szCs w:val="21"/>
                <w:highlight w:val="none"/>
              </w:rPr>
              <w:t>施工船舶生活污水采用船上配备的储污水箱进行收集和贮存，上岸后委托有处理能力单位回收处理，禁止在施工水域排放。</w:t>
            </w:r>
          </w:p>
        </w:tc>
        <w:tc>
          <w:tcPr>
            <w:tcW w:w="2122" w:type="dxa"/>
            <w:noWrap w:val="0"/>
            <w:vAlign w:val="center"/>
          </w:tcPr>
          <w:p w14:paraId="46A9FCE0">
            <w:pPr>
              <w:jc w:val="center"/>
              <w:rPr>
                <w:color w:val="auto"/>
                <w:szCs w:val="21"/>
                <w:highlight w:val="none"/>
              </w:rPr>
            </w:pPr>
            <w:r>
              <w:rPr>
                <w:rFonts w:hint="eastAsia" w:ascii="宋体" w:hAnsi="宋体" w:eastAsia="宋体" w:cs="宋体"/>
                <w:b w:val="0"/>
                <w:bCs w:val="0"/>
                <w:color w:val="auto"/>
                <w:sz w:val="21"/>
                <w:szCs w:val="21"/>
                <w:highlight w:val="none"/>
              </w:rPr>
              <w:t>相关处置协议</w:t>
            </w:r>
          </w:p>
        </w:tc>
        <w:tc>
          <w:tcPr>
            <w:tcW w:w="941" w:type="dxa"/>
            <w:noWrap w:val="0"/>
            <w:vAlign w:val="center"/>
          </w:tcPr>
          <w:p w14:paraId="1BFE4D3F">
            <w:pPr>
              <w:adjustRightInd w:val="0"/>
              <w:snapToGrid w:val="0"/>
              <w:jc w:val="center"/>
              <w:rPr>
                <w:rFonts w:hint="eastAsia"/>
                <w:color w:val="auto"/>
                <w:szCs w:val="21"/>
                <w:highlight w:val="none"/>
              </w:rPr>
            </w:pPr>
            <w:r>
              <w:rPr>
                <w:color w:val="auto"/>
                <w:szCs w:val="21"/>
                <w:highlight w:val="none"/>
              </w:rPr>
              <w:t>/</w:t>
            </w:r>
          </w:p>
        </w:tc>
        <w:tc>
          <w:tcPr>
            <w:tcW w:w="787" w:type="dxa"/>
            <w:noWrap w:val="0"/>
            <w:vAlign w:val="center"/>
          </w:tcPr>
          <w:p w14:paraId="1E89A44F">
            <w:pPr>
              <w:adjustRightInd w:val="0"/>
              <w:snapToGrid w:val="0"/>
              <w:jc w:val="center"/>
              <w:rPr>
                <w:rFonts w:hint="eastAsia"/>
                <w:color w:val="auto"/>
                <w:szCs w:val="21"/>
                <w:highlight w:val="none"/>
              </w:rPr>
            </w:pPr>
            <w:r>
              <w:rPr>
                <w:color w:val="auto"/>
                <w:szCs w:val="21"/>
                <w:highlight w:val="none"/>
              </w:rPr>
              <w:t>/</w:t>
            </w:r>
          </w:p>
        </w:tc>
      </w:tr>
      <w:tr w14:paraId="2A0DC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vMerge w:val="continue"/>
            <w:noWrap w:val="0"/>
            <w:vAlign w:val="center"/>
          </w:tcPr>
          <w:p w14:paraId="1105E553">
            <w:pPr>
              <w:adjustRightInd w:val="0"/>
              <w:snapToGrid w:val="0"/>
              <w:jc w:val="center"/>
              <w:rPr>
                <w:color w:val="auto"/>
                <w:szCs w:val="21"/>
                <w:highlight w:val="none"/>
              </w:rPr>
            </w:pPr>
          </w:p>
        </w:tc>
        <w:tc>
          <w:tcPr>
            <w:tcW w:w="4032" w:type="dxa"/>
            <w:noWrap w:val="0"/>
            <w:vAlign w:val="center"/>
          </w:tcPr>
          <w:p w14:paraId="58F5B530">
            <w:pPr>
              <w:pStyle w:val="77"/>
              <w:jc w:val="center"/>
              <w:rPr>
                <w:rFonts w:hint="eastAsia" w:ascii="宋体" w:hAnsi="Courier New" w:eastAsia="Times New Roman"/>
                <w:color w:val="auto"/>
                <w:kern w:val="2"/>
                <w:sz w:val="24"/>
                <w:szCs w:val="21"/>
                <w:highlight w:val="none"/>
                <w:lang w:val="en-US" w:eastAsia="zh-CN" w:bidi="ar-SA"/>
              </w:rPr>
            </w:pPr>
            <w:r>
              <w:rPr>
                <w:rFonts w:hint="eastAsia" w:ascii="宋体" w:hAnsi="宋体" w:eastAsia="宋体" w:cs="宋体"/>
                <w:b w:val="0"/>
                <w:bCs w:val="0"/>
                <w:color w:val="auto"/>
                <w:sz w:val="21"/>
                <w:szCs w:val="21"/>
                <w:highlight w:val="none"/>
              </w:rPr>
              <w:t>施工船舶含油污水交由具有相应接收能力从事船舶污染物接收的单位接收处理，禁止在施工水域排放。</w:t>
            </w:r>
          </w:p>
        </w:tc>
        <w:tc>
          <w:tcPr>
            <w:tcW w:w="2122" w:type="dxa"/>
            <w:noWrap w:val="0"/>
            <w:vAlign w:val="center"/>
          </w:tcPr>
          <w:p w14:paraId="3FAB7EB6">
            <w:pPr>
              <w:jc w:val="center"/>
              <w:rPr>
                <w:color w:val="auto"/>
                <w:szCs w:val="21"/>
                <w:highlight w:val="none"/>
              </w:rPr>
            </w:pPr>
            <w:r>
              <w:rPr>
                <w:rFonts w:hint="eastAsia" w:ascii="宋体" w:hAnsi="宋体" w:eastAsia="宋体" w:cs="宋体"/>
                <w:b w:val="0"/>
                <w:bCs w:val="0"/>
                <w:color w:val="auto"/>
                <w:sz w:val="21"/>
                <w:szCs w:val="21"/>
                <w:highlight w:val="none"/>
              </w:rPr>
              <w:t>相关处置协议</w:t>
            </w:r>
          </w:p>
        </w:tc>
        <w:tc>
          <w:tcPr>
            <w:tcW w:w="941" w:type="dxa"/>
            <w:noWrap w:val="0"/>
            <w:vAlign w:val="center"/>
          </w:tcPr>
          <w:p w14:paraId="7F8761D6">
            <w:pPr>
              <w:adjustRightInd w:val="0"/>
              <w:snapToGrid w:val="0"/>
              <w:jc w:val="center"/>
              <w:rPr>
                <w:rFonts w:hint="eastAsia"/>
                <w:color w:val="auto"/>
                <w:szCs w:val="21"/>
                <w:highlight w:val="none"/>
              </w:rPr>
            </w:pPr>
            <w:r>
              <w:rPr>
                <w:color w:val="auto"/>
                <w:szCs w:val="21"/>
                <w:highlight w:val="none"/>
              </w:rPr>
              <w:t>/</w:t>
            </w:r>
          </w:p>
        </w:tc>
        <w:tc>
          <w:tcPr>
            <w:tcW w:w="787" w:type="dxa"/>
            <w:noWrap w:val="0"/>
            <w:vAlign w:val="center"/>
          </w:tcPr>
          <w:p w14:paraId="018899CE">
            <w:pPr>
              <w:adjustRightInd w:val="0"/>
              <w:snapToGrid w:val="0"/>
              <w:jc w:val="center"/>
              <w:rPr>
                <w:rFonts w:hint="eastAsia"/>
                <w:color w:val="auto"/>
                <w:szCs w:val="21"/>
                <w:highlight w:val="none"/>
              </w:rPr>
            </w:pPr>
            <w:r>
              <w:rPr>
                <w:color w:val="auto"/>
                <w:szCs w:val="21"/>
                <w:highlight w:val="none"/>
              </w:rPr>
              <w:t>/</w:t>
            </w:r>
          </w:p>
        </w:tc>
      </w:tr>
      <w:tr w14:paraId="5EFC5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0B07253D">
            <w:pPr>
              <w:adjustRightInd w:val="0"/>
              <w:snapToGrid w:val="0"/>
              <w:jc w:val="center"/>
              <w:rPr>
                <w:rFonts w:hint="eastAsia"/>
                <w:color w:val="auto"/>
                <w:szCs w:val="21"/>
                <w:highlight w:val="none"/>
              </w:rPr>
            </w:pPr>
            <w:r>
              <w:rPr>
                <w:rFonts w:hint="eastAsia"/>
                <w:color w:val="auto"/>
                <w:szCs w:val="21"/>
                <w:highlight w:val="none"/>
              </w:rPr>
              <w:t>地下水及土壤环境</w:t>
            </w:r>
          </w:p>
        </w:tc>
        <w:tc>
          <w:tcPr>
            <w:tcW w:w="4032" w:type="dxa"/>
            <w:noWrap w:val="0"/>
            <w:vAlign w:val="center"/>
          </w:tcPr>
          <w:p w14:paraId="1D4E2C0E">
            <w:pPr>
              <w:adjustRightInd w:val="0"/>
              <w:snapToGrid w:val="0"/>
              <w:jc w:val="center"/>
              <w:rPr>
                <w:b/>
                <w:bCs/>
                <w:color w:val="auto"/>
                <w:szCs w:val="21"/>
                <w:highlight w:val="none"/>
              </w:rPr>
            </w:pPr>
            <w:r>
              <w:rPr>
                <w:color w:val="auto"/>
                <w:szCs w:val="21"/>
                <w:highlight w:val="none"/>
              </w:rPr>
              <w:t>/</w:t>
            </w:r>
          </w:p>
        </w:tc>
        <w:tc>
          <w:tcPr>
            <w:tcW w:w="2122" w:type="dxa"/>
            <w:noWrap w:val="0"/>
            <w:vAlign w:val="center"/>
          </w:tcPr>
          <w:p w14:paraId="76FE31CA">
            <w:pPr>
              <w:adjustRightInd w:val="0"/>
              <w:snapToGrid w:val="0"/>
              <w:jc w:val="center"/>
              <w:rPr>
                <w:color w:val="auto"/>
                <w:szCs w:val="21"/>
                <w:highlight w:val="none"/>
              </w:rPr>
            </w:pPr>
            <w:r>
              <w:rPr>
                <w:color w:val="auto"/>
                <w:szCs w:val="21"/>
                <w:highlight w:val="none"/>
              </w:rPr>
              <w:t>/</w:t>
            </w:r>
          </w:p>
        </w:tc>
        <w:tc>
          <w:tcPr>
            <w:tcW w:w="941" w:type="dxa"/>
            <w:noWrap w:val="0"/>
            <w:vAlign w:val="center"/>
          </w:tcPr>
          <w:p w14:paraId="6327FC31">
            <w:pPr>
              <w:adjustRightInd w:val="0"/>
              <w:snapToGrid w:val="0"/>
              <w:jc w:val="center"/>
              <w:rPr>
                <w:rFonts w:hint="eastAsia"/>
                <w:color w:val="auto"/>
                <w:szCs w:val="21"/>
                <w:highlight w:val="none"/>
              </w:rPr>
            </w:pPr>
            <w:r>
              <w:rPr>
                <w:color w:val="auto"/>
                <w:szCs w:val="21"/>
                <w:highlight w:val="none"/>
              </w:rPr>
              <w:t>/</w:t>
            </w:r>
          </w:p>
        </w:tc>
        <w:tc>
          <w:tcPr>
            <w:tcW w:w="787" w:type="dxa"/>
            <w:noWrap w:val="0"/>
            <w:vAlign w:val="center"/>
          </w:tcPr>
          <w:p w14:paraId="5DEA7F70">
            <w:pPr>
              <w:adjustRightInd w:val="0"/>
              <w:snapToGrid w:val="0"/>
              <w:jc w:val="center"/>
              <w:rPr>
                <w:color w:val="auto"/>
                <w:szCs w:val="21"/>
                <w:highlight w:val="none"/>
              </w:rPr>
            </w:pPr>
            <w:r>
              <w:rPr>
                <w:color w:val="auto"/>
                <w:szCs w:val="21"/>
                <w:highlight w:val="none"/>
              </w:rPr>
              <w:t>/</w:t>
            </w:r>
          </w:p>
        </w:tc>
      </w:tr>
      <w:tr w14:paraId="76D708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00B1F3E1">
            <w:pPr>
              <w:adjustRightInd w:val="0"/>
              <w:snapToGrid w:val="0"/>
              <w:jc w:val="center"/>
              <w:rPr>
                <w:color w:val="auto"/>
                <w:szCs w:val="21"/>
                <w:highlight w:val="none"/>
              </w:rPr>
            </w:pPr>
            <w:r>
              <w:rPr>
                <w:color w:val="auto"/>
                <w:szCs w:val="21"/>
                <w:highlight w:val="none"/>
              </w:rPr>
              <w:t>声环境</w:t>
            </w:r>
          </w:p>
        </w:tc>
        <w:tc>
          <w:tcPr>
            <w:tcW w:w="4032" w:type="dxa"/>
            <w:noWrap w:val="0"/>
            <w:vAlign w:val="center"/>
          </w:tcPr>
          <w:p w14:paraId="1085485F">
            <w:pPr>
              <w:pStyle w:val="77"/>
              <w:jc w:val="center"/>
              <w:rPr>
                <w:color w:val="auto"/>
                <w:szCs w:val="21"/>
                <w:highlight w:val="none"/>
              </w:rPr>
            </w:pPr>
            <w:r>
              <w:rPr>
                <w:rFonts w:hint="eastAsia" w:ascii="宋体" w:hAnsi="宋体" w:eastAsia="宋体" w:cs="宋体"/>
                <w:b w:val="0"/>
                <w:bCs w:val="0"/>
                <w:color w:val="auto"/>
                <w:sz w:val="21"/>
                <w:szCs w:val="21"/>
                <w:highlight w:val="none"/>
              </w:rPr>
              <w:t>施工船舶采用低噪声船舶；做好施工船舶的维护保养工作，使施工机械保持良好的运行状态；加强施工船舶的管理，避免不必要的船舶汽笛鸣放。</w:t>
            </w:r>
          </w:p>
        </w:tc>
        <w:tc>
          <w:tcPr>
            <w:tcW w:w="2122" w:type="dxa"/>
            <w:noWrap w:val="0"/>
            <w:vAlign w:val="center"/>
          </w:tcPr>
          <w:p w14:paraId="22FC0347">
            <w:pPr>
              <w:pStyle w:val="77"/>
              <w:jc w:val="center"/>
              <w:rPr>
                <w:color w:val="auto"/>
                <w:szCs w:val="21"/>
                <w:highlight w:val="none"/>
              </w:rPr>
            </w:pPr>
            <w:r>
              <w:rPr>
                <w:rFonts w:hint="eastAsia" w:ascii="宋体" w:hAnsi="宋体" w:eastAsia="宋体" w:cs="宋体"/>
                <w:color w:val="auto"/>
                <w:sz w:val="21"/>
                <w:szCs w:val="21"/>
                <w:highlight w:val="none"/>
                <w:vertAlign w:val="baseline"/>
                <w:lang w:val="en-US" w:eastAsia="zh-CN"/>
              </w:rPr>
              <w:t>是否落实</w:t>
            </w:r>
          </w:p>
        </w:tc>
        <w:tc>
          <w:tcPr>
            <w:tcW w:w="941" w:type="dxa"/>
            <w:noWrap w:val="0"/>
            <w:vAlign w:val="center"/>
          </w:tcPr>
          <w:p w14:paraId="3450EE6C">
            <w:pPr>
              <w:adjustRightInd w:val="0"/>
              <w:snapToGrid w:val="0"/>
              <w:jc w:val="center"/>
              <w:rPr>
                <w:rFonts w:hint="eastAsia"/>
                <w:color w:val="auto"/>
                <w:szCs w:val="21"/>
                <w:highlight w:val="none"/>
              </w:rPr>
            </w:pPr>
            <w:r>
              <w:rPr>
                <w:color w:val="auto"/>
                <w:szCs w:val="21"/>
                <w:highlight w:val="none"/>
              </w:rPr>
              <w:t>/</w:t>
            </w:r>
          </w:p>
        </w:tc>
        <w:tc>
          <w:tcPr>
            <w:tcW w:w="787" w:type="dxa"/>
            <w:noWrap w:val="0"/>
            <w:vAlign w:val="center"/>
          </w:tcPr>
          <w:p w14:paraId="4468D752">
            <w:pPr>
              <w:adjustRightInd w:val="0"/>
              <w:snapToGrid w:val="0"/>
              <w:jc w:val="center"/>
              <w:rPr>
                <w:rFonts w:hint="eastAsia"/>
                <w:color w:val="auto"/>
                <w:szCs w:val="21"/>
                <w:highlight w:val="none"/>
              </w:rPr>
            </w:pPr>
            <w:r>
              <w:rPr>
                <w:color w:val="auto"/>
                <w:szCs w:val="21"/>
                <w:highlight w:val="none"/>
              </w:rPr>
              <w:t>/</w:t>
            </w:r>
          </w:p>
        </w:tc>
      </w:tr>
      <w:tr w14:paraId="396C9C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7647B4ED">
            <w:pPr>
              <w:adjustRightInd w:val="0"/>
              <w:snapToGrid w:val="0"/>
              <w:jc w:val="center"/>
              <w:rPr>
                <w:rFonts w:hint="eastAsia"/>
                <w:color w:val="auto"/>
                <w:szCs w:val="21"/>
                <w:highlight w:val="none"/>
              </w:rPr>
            </w:pPr>
            <w:r>
              <w:rPr>
                <w:rFonts w:hint="eastAsia"/>
                <w:color w:val="auto"/>
                <w:szCs w:val="21"/>
                <w:highlight w:val="none"/>
              </w:rPr>
              <w:t>振动</w:t>
            </w:r>
          </w:p>
        </w:tc>
        <w:tc>
          <w:tcPr>
            <w:tcW w:w="4032" w:type="dxa"/>
            <w:noWrap w:val="0"/>
            <w:vAlign w:val="center"/>
          </w:tcPr>
          <w:p w14:paraId="406C5FE2">
            <w:pPr>
              <w:adjustRightInd w:val="0"/>
              <w:snapToGrid w:val="0"/>
              <w:jc w:val="center"/>
              <w:rPr>
                <w:b/>
                <w:bCs/>
                <w:color w:val="auto"/>
                <w:szCs w:val="21"/>
                <w:highlight w:val="none"/>
              </w:rPr>
            </w:pPr>
            <w:r>
              <w:rPr>
                <w:color w:val="auto"/>
                <w:szCs w:val="21"/>
                <w:highlight w:val="none"/>
              </w:rPr>
              <w:t>/</w:t>
            </w:r>
          </w:p>
        </w:tc>
        <w:tc>
          <w:tcPr>
            <w:tcW w:w="2122" w:type="dxa"/>
            <w:noWrap w:val="0"/>
            <w:vAlign w:val="center"/>
          </w:tcPr>
          <w:p w14:paraId="7E7C1A9C">
            <w:pPr>
              <w:adjustRightInd w:val="0"/>
              <w:snapToGrid w:val="0"/>
              <w:jc w:val="center"/>
              <w:rPr>
                <w:bCs/>
                <w:color w:val="auto"/>
                <w:kern w:val="0"/>
                <w:szCs w:val="21"/>
                <w:highlight w:val="none"/>
              </w:rPr>
            </w:pPr>
            <w:r>
              <w:rPr>
                <w:color w:val="auto"/>
                <w:szCs w:val="21"/>
                <w:highlight w:val="none"/>
              </w:rPr>
              <w:t>/</w:t>
            </w:r>
          </w:p>
        </w:tc>
        <w:tc>
          <w:tcPr>
            <w:tcW w:w="941" w:type="dxa"/>
            <w:noWrap w:val="0"/>
            <w:vAlign w:val="center"/>
          </w:tcPr>
          <w:p w14:paraId="4FDDCA4D">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69B6ADA7">
            <w:pPr>
              <w:adjustRightInd w:val="0"/>
              <w:snapToGrid w:val="0"/>
              <w:jc w:val="center"/>
              <w:rPr>
                <w:color w:val="auto"/>
                <w:szCs w:val="21"/>
                <w:highlight w:val="none"/>
              </w:rPr>
            </w:pPr>
            <w:r>
              <w:rPr>
                <w:color w:val="auto"/>
                <w:szCs w:val="21"/>
                <w:highlight w:val="none"/>
              </w:rPr>
              <w:t>/</w:t>
            </w:r>
          </w:p>
        </w:tc>
      </w:tr>
      <w:tr w14:paraId="7837F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22A892CA">
            <w:pPr>
              <w:adjustRightInd w:val="0"/>
              <w:snapToGrid w:val="0"/>
              <w:jc w:val="center"/>
              <w:rPr>
                <w:color w:val="auto"/>
                <w:szCs w:val="21"/>
                <w:highlight w:val="none"/>
              </w:rPr>
            </w:pPr>
            <w:r>
              <w:rPr>
                <w:color w:val="auto"/>
                <w:szCs w:val="21"/>
                <w:highlight w:val="none"/>
              </w:rPr>
              <w:t>大气环境</w:t>
            </w:r>
          </w:p>
        </w:tc>
        <w:tc>
          <w:tcPr>
            <w:tcW w:w="4032" w:type="dxa"/>
            <w:noWrap w:val="0"/>
            <w:vAlign w:val="center"/>
          </w:tcPr>
          <w:p w14:paraId="004F64F2">
            <w:pPr>
              <w:pStyle w:val="77"/>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rPr>
              <w:t>施工船舶使用合格的燃料油，选用硫含量小于等于0.5%m/m的船用燃油；加强施工船舶的日常维护保养，确保船舶正常运行，避免不正常运行产生的废气。</w:t>
            </w:r>
          </w:p>
        </w:tc>
        <w:tc>
          <w:tcPr>
            <w:tcW w:w="2122" w:type="dxa"/>
            <w:noWrap w:val="0"/>
            <w:vAlign w:val="center"/>
          </w:tcPr>
          <w:p w14:paraId="754F2B21">
            <w:pPr>
              <w:adjustRightInd w:val="0"/>
              <w:snapToGrid w:val="0"/>
              <w:jc w:val="center"/>
              <w:rPr>
                <w:color w:val="auto"/>
                <w:szCs w:val="21"/>
                <w:highlight w:val="none"/>
              </w:rPr>
            </w:pPr>
            <w:r>
              <w:rPr>
                <w:rFonts w:hint="eastAsia"/>
                <w:bCs/>
                <w:color w:val="auto"/>
                <w:kern w:val="0"/>
                <w:szCs w:val="21"/>
                <w:highlight w:val="none"/>
              </w:rPr>
              <w:t>符合环境保护要求</w:t>
            </w:r>
          </w:p>
        </w:tc>
        <w:tc>
          <w:tcPr>
            <w:tcW w:w="941" w:type="dxa"/>
            <w:noWrap w:val="0"/>
            <w:vAlign w:val="center"/>
          </w:tcPr>
          <w:p w14:paraId="6F4BAE21">
            <w:pPr>
              <w:adjustRightInd w:val="0"/>
              <w:snapToGrid w:val="0"/>
              <w:rPr>
                <w:rFonts w:hint="eastAsia"/>
                <w:color w:val="auto"/>
                <w:szCs w:val="21"/>
                <w:highlight w:val="none"/>
              </w:rPr>
            </w:pPr>
            <w:r>
              <w:rPr>
                <w:color w:val="auto"/>
                <w:szCs w:val="21"/>
                <w:highlight w:val="none"/>
              </w:rPr>
              <w:t>/</w:t>
            </w:r>
          </w:p>
        </w:tc>
        <w:tc>
          <w:tcPr>
            <w:tcW w:w="787" w:type="dxa"/>
            <w:noWrap w:val="0"/>
            <w:vAlign w:val="center"/>
          </w:tcPr>
          <w:p w14:paraId="56FB3C10">
            <w:pPr>
              <w:adjustRightInd w:val="0"/>
              <w:snapToGrid w:val="0"/>
              <w:jc w:val="center"/>
              <w:rPr>
                <w:rFonts w:hint="eastAsia"/>
                <w:color w:val="auto"/>
                <w:szCs w:val="21"/>
                <w:highlight w:val="none"/>
              </w:rPr>
            </w:pPr>
            <w:r>
              <w:rPr>
                <w:color w:val="auto"/>
                <w:szCs w:val="21"/>
                <w:highlight w:val="none"/>
              </w:rPr>
              <w:t>/</w:t>
            </w:r>
          </w:p>
        </w:tc>
      </w:tr>
      <w:tr w14:paraId="37D9DD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vMerge w:val="restart"/>
            <w:noWrap w:val="0"/>
            <w:vAlign w:val="center"/>
          </w:tcPr>
          <w:p w14:paraId="559A8386">
            <w:pPr>
              <w:adjustRightInd w:val="0"/>
              <w:snapToGrid w:val="0"/>
              <w:jc w:val="center"/>
              <w:rPr>
                <w:color w:val="auto"/>
                <w:szCs w:val="21"/>
                <w:highlight w:val="none"/>
              </w:rPr>
            </w:pPr>
            <w:r>
              <w:rPr>
                <w:color w:val="auto"/>
                <w:szCs w:val="21"/>
                <w:highlight w:val="none"/>
              </w:rPr>
              <w:t>固体废物</w:t>
            </w:r>
          </w:p>
        </w:tc>
        <w:tc>
          <w:tcPr>
            <w:tcW w:w="4032" w:type="dxa"/>
            <w:noWrap w:val="0"/>
            <w:vAlign w:val="center"/>
          </w:tcPr>
          <w:p w14:paraId="5075A0A7">
            <w:pPr>
              <w:pStyle w:val="77"/>
              <w:jc w:val="center"/>
              <w:rPr>
                <w:rFonts w:hint="eastAsia" w:ascii="宋体" w:hAnsi="Courier New" w:eastAsia="Times New Roman"/>
                <w:color w:val="auto"/>
                <w:kern w:val="2"/>
                <w:sz w:val="24"/>
                <w:szCs w:val="21"/>
                <w:highlight w:val="none"/>
                <w:lang w:val="en-US" w:eastAsia="zh-CN" w:bidi="ar-SA"/>
              </w:rPr>
            </w:pPr>
            <w:r>
              <w:rPr>
                <w:rFonts w:hint="eastAsia" w:ascii="宋体" w:hAnsi="宋体" w:eastAsia="宋体" w:cs="宋体"/>
                <w:b w:val="0"/>
                <w:bCs w:val="0"/>
                <w:color w:val="auto"/>
                <w:sz w:val="21"/>
                <w:szCs w:val="21"/>
                <w:highlight w:val="none"/>
              </w:rPr>
              <w:t>施工船舶生活垃圾应做好日常的收集、分类与储存工作，定期接收至岸上，交由环卫部门接收处理，严禁将船舶生活垃圾倾倒入海污染水域。</w:t>
            </w:r>
          </w:p>
        </w:tc>
        <w:tc>
          <w:tcPr>
            <w:tcW w:w="2122" w:type="dxa"/>
            <w:noWrap w:val="0"/>
            <w:vAlign w:val="center"/>
          </w:tcPr>
          <w:p w14:paraId="2E5388D7">
            <w:pPr>
              <w:pStyle w:val="77"/>
              <w:jc w:val="center"/>
              <w:rPr>
                <w:rFonts w:hint="eastAsia"/>
                <w:color w:val="auto"/>
                <w:szCs w:val="21"/>
                <w:highlight w:val="none"/>
              </w:rPr>
            </w:pPr>
            <w:r>
              <w:rPr>
                <w:rFonts w:hint="eastAsia" w:ascii="宋体" w:hAnsi="宋体" w:eastAsia="宋体" w:cs="宋体"/>
                <w:b w:val="0"/>
                <w:bCs w:val="0"/>
                <w:color w:val="auto"/>
                <w:sz w:val="21"/>
                <w:szCs w:val="21"/>
                <w:highlight w:val="none"/>
              </w:rPr>
              <w:t>相关处置协议</w:t>
            </w:r>
          </w:p>
        </w:tc>
        <w:tc>
          <w:tcPr>
            <w:tcW w:w="941" w:type="dxa"/>
            <w:noWrap w:val="0"/>
            <w:vAlign w:val="center"/>
          </w:tcPr>
          <w:p w14:paraId="1D3BE1AA">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404448C3">
            <w:pPr>
              <w:adjustRightInd w:val="0"/>
              <w:snapToGrid w:val="0"/>
              <w:jc w:val="center"/>
              <w:rPr>
                <w:color w:val="auto"/>
                <w:szCs w:val="21"/>
                <w:highlight w:val="none"/>
              </w:rPr>
            </w:pPr>
            <w:r>
              <w:rPr>
                <w:color w:val="auto"/>
                <w:szCs w:val="21"/>
                <w:highlight w:val="none"/>
              </w:rPr>
              <w:t>/</w:t>
            </w:r>
          </w:p>
        </w:tc>
      </w:tr>
      <w:tr w14:paraId="5C01A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vMerge w:val="continue"/>
            <w:noWrap w:val="0"/>
            <w:vAlign w:val="center"/>
          </w:tcPr>
          <w:p w14:paraId="3AC3A175">
            <w:pPr>
              <w:adjustRightInd w:val="0"/>
              <w:snapToGrid w:val="0"/>
              <w:jc w:val="center"/>
              <w:rPr>
                <w:color w:val="auto"/>
                <w:szCs w:val="21"/>
                <w:highlight w:val="none"/>
              </w:rPr>
            </w:pPr>
          </w:p>
        </w:tc>
        <w:tc>
          <w:tcPr>
            <w:tcW w:w="4032" w:type="dxa"/>
            <w:noWrap w:val="0"/>
            <w:vAlign w:val="center"/>
          </w:tcPr>
          <w:p w14:paraId="636A3330">
            <w:pPr>
              <w:pStyle w:val="77"/>
              <w:jc w:val="center"/>
              <w:rPr>
                <w:rFonts w:hint="eastAsia" w:ascii="宋体" w:hAnsi="Courier New" w:eastAsia="Times New Roman"/>
                <w:color w:val="auto"/>
                <w:kern w:val="2"/>
                <w:sz w:val="24"/>
                <w:szCs w:val="21"/>
                <w:highlight w:val="none"/>
                <w:lang w:val="en-US" w:eastAsia="zh-CN" w:bidi="ar-SA"/>
              </w:rPr>
            </w:pPr>
            <w:r>
              <w:rPr>
                <w:rFonts w:hint="eastAsia" w:ascii="宋体" w:hAnsi="宋体" w:eastAsia="宋体" w:cs="宋体"/>
                <w:b w:val="0"/>
                <w:bCs w:val="0"/>
                <w:color w:val="auto"/>
                <w:sz w:val="21"/>
                <w:szCs w:val="21"/>
                <w:highlight w:val="none"/>
              </w:rPr>
              <w:t>疏浚淤泥拟采用水下抛卸方式，外抛至防城港2＃倾倒区。</w:t>
            </w:r>
          </w:p>
        </w:tc>
        <w:tc>
          <w:tcPr>
            <w:tcW w:w="2122" w:type="dxa"/>
            <w:noWrap w:val="0"/>
            <w:vAlign w:val="center"/>
          </w:tcPr>
          <w:p w14:paraId="01112421">
            <w:pPr>
              <w:pStyle w:val="77"/>
              <w:jc w:val="center"/>
              <w:rPr>
                <w:color w:val="auto"/>
                <w:szCs w:val="21"/>
                <w:highlight w:val="none"/>
              </w:rPr>
            </w:pPr>
            <w:r>
              <w:rPr>
                <w:rFonts w:hint="eastAsia" w:ascii="宋体" w:hAnsi="宋体" w:eastAsia="宋体" w:cs="宋体"/>
                <w:b w:val="0"/>
                <w:bCs w:val="0"/>
                <w:color w:val="auto"/>
                <w:sz w:val="21"/>
                <w:szCs w:val="21"/>
                <w:highlight w:val="none"/>
                <w:lang w:val="en-US" w:eastAsia="zh-CN"/>
              </w:rPr>
              <w:t>倾倒许可证及</w:t>
            </w:r>
            <w:r>
              <w:rPr>
                <w:rFonts w:hint="eastAsia" w:ascii="宋体" w:hAnsi="宋体" w:eastAsia="宋体" w:cs="宋体"/>
                <w:b w:val="0"/>
                <w:bCs w:val="0"/>
                <w:color w:val="auto"/>
                <w:sz w:val="21"/>
                <w:szCs w:val="21"/>
                <w:highlight w:val="none"/>
              </w:rPr>
              <w:t>相关处置协议</w:t>
            </w:r>
          </w:p>
        </w:tc>
        <w:tc>
          <w:tcPr>
            <w:tcW w:w="941" w:type="dxa"/>
            <w:noWrap w:val="0"/>
            <w:vAlign w:val="center"/>
          </w:tcPr>
          <w:p w14:paraId="16A7E045">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1B2A4687">
            <w:pPr>
              <w:adjustRightInd w:val="0"/>
              <w:snapToGrid w:val="0"/>
              <w:jc w:val="center"/>
              <w:rPr>
                <w:color w:val="auto"/>
                <w:szCs w:val="21"/>
                <w:highlight w:val="none"/>
              </w:rPr>
            </w:pPr>
            <w:r>
              <w:rPr>
                <w:color w:val="auto"/>
                <w:szCs w:val="21"/>
                <w:highlight w:val="none"/>
              </w:rPr>
              <w:t>/</w:t>
            </w:r>
          </w:p>
        </w:tc>
      </w:tr>
      <w:tr w14:paraId="2C8F9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6FF92CA9">
            <w:pPr>
              <w:adjustRightInd w:val="0"/>
              <w:snapToGrid w:val="0"/>
              <w:jc w:val="center"/>
              <w:rPr>
                <w:rFonts w:hint="eastAsia"/>
                <w:color w:val="auto"/>
                <w:szCs w:val="21"/>
                <w:highlight w:val="none"/>
              </w:rPr>
            </w:pPr>
            <w:r>
              <w:rPr>
                <w:rFonts w:hint="eastAsia"/>
                <w:color w:val="auto"/>
                <w:szCs w:val="21"/>
                <w:highlight w:val="none"/>
              </w:rPr>
              <w:t>电磁环境</w:t>
            </w:r>
          </w:p>
        </w:tc>
        <w:tc>
          <w:tcPr>
            <w:tcW w:w="4032" w:type="dxa"/>
            <w:noWrap w:val="0"/>
            <w:vAlign w:val="center"/>
          </w:tcPr>
          <w:p w14:paraId="34BE0914">
            <w:pPr>
              <w:adjustRightInd w:val="0"/>
              <w:snapToGrid w:val="0"/>
              <w:jc w:val="center"/>
              <w:rPr>
                <w:rFonts w:hint="eastAsia"/>
                <w:color w:val="auto"/>
                <w:szCs w:val="21"/>
                <w:highlight w:val="none"/>
              </w:rPr>
            </w:pPr>
            <w:r>
              <w:rPr>
                <w:color w:val="auto"/>
                <w:szCs w:val="21"/>
                <w:highlight w:val="none"/>
              </w:rPr>
              <w:t>/</w:t>
            </w:r>
          </w:p>
        </w:tc>
        <w:tc>
          <w:tcPr>
            <w:tcW w:w="2122" w:type="dxa"/>
            <w:noWrap w:val="0"/>
            <w:vAlign w:val="center"/>
          </w:tcPr>
          <w:p w14:paraId="3E2AA01E">
            <w:pPr>
              <w:adjustRightInd w:val="0"/>
              <w:snapToGrid w:val="0"/>
              <w:jc w:val="center"/>
              <w:rPr>
                <w:rFonts w:hint="eastAsia"/>
                <w:color w:val="auto"/>
                <w:szCs w:val="21"/>
                <w:highlight w:val="none"/>
              </w:rPr>
            </w:pPr>
            <w:r>
              <w:rPr>
                <w:color w:val="auto"/>
                <w:szCs w:val="21"/>
                <w:highlight w:val="none"/>
              </w:rPr>
              <w:t>/</w:t>
            </w:r>
          </w:p>
        </w:tc>
        <w:tc>
          <w:tcPr>
            <w:tcW w:w="941" w:type="dxa"/>
            <w:noWrap w:val="0"/>
            <w:vAlign w:val="center"/>
          </w:tcPr>
          <w:p w14:paraId="3D5F3476">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700F8FB7">
            <w:pPr>
              <w:adjustRightInd w:val="0"/>
              <w:snapToGrid w:val="0"/>
              <w:jc w:val="center"/>
              <w:rPr>
                <w:color w:val="auto"/>
                <w:szCs w:val="21"/>
                <w:highlight w:val="none"/>
              </w:rPr>
            </w:pPr>
            <w:r>
              <w:rPr>
                <w:color w:val="auto"/>
                <w:szCs w:val="21"/>
                <w:highlight w:val="none"/>
              </w:rPr>
              <w:t>/</w:t>
            </w:r>
          </w:p>
        </w:tc>
      </w:tr>
      <w:tr w14:paraId="45B33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5C35F51C">
            <w:pPr>
              <w:adjustRightInd w:val="0"/>
              <w:snapToGrid w:val="0"/>
              <w:jc w:val="center"/>
              <w:rPr>
                <w:rFonts w:hint="eastAsia"/>
                <w:color w:val="auto"/>
                <w:szCs w:val="21"/>
                <w:highlight w:val="none"/>
              </w:rPr>
            </w:pPr>
            <w:r>
              <w:rPr>
                <w:rFonts w:hint="eastAsia"/>
                <w:color w:val="auto"/>
                <w:szCs w:val="21"/>
                <w:highlight w:val="none"/>
              </w:rPr>
              <w:t>环境风险</w:t>
            </w:r>
          </w:p>
        </w:tc>
        <w:tc>
          <w:tcPr>
            <w:tcW w:w="4032" w:type="dxa"/>
            <w:noWrap w:val="0"/>
            <w:vAlign w:val="center"/>
          </w:tcPr>
          <w:p w14:paraId="69B36F59">
            <w:pPr>
              <w:pStyle w:val="77"/>
              <w:jc w:val="center"/>
              <w:rPr>
                <w:rFonts w:hint="default" w:eastAsia="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建设单位制定应急预案并配备风险应急物资，施工前做好临时导助航等安全设施，与周边码头建立沟通协调机制</w:t>
            </w:r>
          </w:p>
        </w:tc>
        <w:tc>
          <w:tcPr>
            <w:tcW w:w="2122" w:type="dxa"/>
            <w:noWrap w:val="0"/>
            <w:vAlign w:val="center"/>
          </w:tcPr>
          <w:p w14:paraId="7C125780">
            <w:pPr>
              <w:pStyle w:val="77"/>
              <w:jc w:val="center"/>
              <w:rPr>
                <w:rFonts w:hint="eastAsia"/>
                <w:color w:val="auto"/>
                <w:szCs w:val="21"/>
                <w:highlight w:val="none"/>
              </w:rPr>
            </w:pPr>
            <w:r>
              <w:rPr>
                <w:rFonts w:hint="eastAsia" w:ascii="宋体" w:hAnsi="宋体" w:eastAsia="宋体" w:cs="宋体"/>
                <w:color w:val="auto"/>
                <w:sz w:val="21"/>
                <w:szCs w:val="21"/>
                <w:highlight w:val="none"/>
                <w:vertAlign w:val="baseline"/>
                <w:lang w:val="en-US" w:eastAsia="zh-CN"/>
              </w:rPr>
              <w:t>是否落实</w:t>
            </w:r>
          </w:p>
        </w:tc>
        <w:tc>
          <w:tcPr>
            <w:tcW w:w="941" w:type="dxa"/>
            <w:noWrap w:val="0"/>
            <w:vAlign w:val="center"/>
          </w:tcPr>
          <w:p w14:paraId="4C68CD52">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2655E8E0">
            <w:pPr>
              <w:adjustRightInd w:val="0"/>
              <w:snapToGrid w:val="0"/>
              <w:jc w:val="center"/>
              <w:rPr>
                <w:color w:val="auto"/>
                <w:szCs w:val="21"/>
                <w:highlight w:val="none"/>
              </w:rPr>
            </w:pPr>
            <w:r>
              <w:rPr>
                <w:color w:val="auto"/>
                <w:szCs w:val="21"/>
                <w:highlight w:val="none"/>
              </w:rPr>
              <w:t>/</w:t>
            </w:r>
          </w:p>
        </w:tc>
      </w:tr>
      <w:tr w14:paraId="694942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48A4D64E">
            <w:pPr>
              <w:adjustRightInd w:val="0"/>
              <w:snapToGrid w:val="0"/>
              <w:jc w:val="center"/>
              <w:rPr>
                <w:rFonts w:hint="eastAsia"/>
                <w:color w:val="auto"/>
                <w:szCs w:val="21"/>
                <w:highlight w:val="none"/>
              </w:rPr>
            </w:pPr>
            <w:r>
              <w:rPr>
                <w:rFonts w:hint="eastAsia"/>
                <w:color w:val="auto"/>
                <w:szCs w:val="21"/>
                <w:highlight w:val="none"/>
              </w:rPr>
              <w:t>环境监测</w:t>
            </w:r>
          </w:p>
        </w:tc>
        <w:tc>
          <w:tcPr>
            <w:tcW w:w="4032" w:type="dxa"/>
            <w:noWrap w:val="0"/>
            <w:vAlign w:val="center"/>
          </w:tcPr>
          <w:p w14:paraId="49165B6B">
            <w:pPr>
              <w:adjustRightInd w:val="0"/>
              <w:snapToGrid w:val="0"/>
              <w:jc w:val="center"/>
              <w:rPr>
                <w:color w:val="auto"/>
                <w:szCs w:val="21"/>
                <w:highlight w:val="none"/>
              </w:rPr>
            </w:pPr>
            <w:r>
              <w:rPr>
                <w:color w:val="auto"/>
                <w:szCs w:val="21"/>
                <w:highlight w:val="none"/>
              </w:rPr>
              <w:t>/</w:t>
            </w:r>
          </w:p>
        </w:tc>
        <w:tc>
          <w:tcPr>
            <w:tcW w:w="2122" w:type="dxa"/>
            <w:noWrap w:val="0"/>
            <w:vAlign w:val="center"/>
          </w:tcPr>
          <w:p w14:paraId="34B00092">
            <w:pPr>
              <w:adjustRightInd w:val="0"/>
              <w:snapToGrid w:val="0"/>
              <w:jc w:val="center"/>
              <w:rPr>
                <w:color w:val="auto"/>
                <w:szCs w:val="21"/>
                <w:highlight w:val="none"/>
              </w:rPr>
            </w:pPr>
            <w:r>
              <w:rPr>
                <w:color w:val="auto"/>
                <w:szCs w:val="21"/>
                <w:highlight w:val="none"/>
              </w:rPr>
              <w:t>/</w:t>
            </w:r>
          </w:p>
        </w:tc>
        <w:tc>
          <w:tcPr>
            <w:tcW w:w="941" w:type="dxa"/>
            <w:noWrap w:val="0"/>
            <w:vAlign w:val="center"/>
          </w:tcPr>
          <w:p w14:paraId="2F588758">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0CA6D71F">
            <w:pPr>
              <w:adjustRightInd w:val="0"/>
              <w:snapToGrid w:val="0"/>
              <w:jc w:val="center"/>
              <w:rPr>
                <w:color w:val="auto"/>
                <w:szCs w:val="21"/>
                <w:highlight w:val="none"/>
              </w:rPr>
            </w:pPr>
            <w:r>
              <w:rPr>
                <w:color w:val="auto"/>
                <w:szCs w:val="21"/>
                <w:highlight w:val="none"/>
              </w:rPr>
              <w:t>/</w:t>
            </w:r>
          </w:p>
        </w:tc>
      </w:tr>
      <w:tr w14:paraId="59391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2AFBE6C5">
            <w:pPr>
              <w:adjustRightInd w:val="0"/>
              <w:snapToGrid w:val="0"/>
              <w:jc w:val="center"/>
              <w:rPr>
                <w:rFonts w:hint="eastAsia"/>
                <w:color w:val="auto"/>
                <w:szCs w:val="21"/>
                <w:highlight w:val="none"/>
              </w:rPr>
            </w:pPr>
            <w:r>
              <w:rPr>
                <w:rFonts w:hint="eastAsia"/>
                <w:color w:val="auto"/>
                <w:szCs w:val="21"/>
                <w:highlight w:val="none"/>
              </w:rPr>
              <w:t>其他</w:t>
            </w:r>
          </w:p>
        </w:tc>
        <w:tc>
          <w:tcPr>
            <w:tcW w:w="4032" w:type="dxa"/>
            <w:noWrap w:val="0"/>
            <w:vAlign w:val="center"/>
          </w:tcPr>
          <w:p w14:paraId="5B0E4E68">
            <w:pPr>
              <w:adjustRightInd w:val="0"/>
              <w:snapToGrid w:val="0"/>
              <w:jc w:val="center"/>
              <w:rPr>
                <w:color w:val="auto"/>
                <w:szCs w:val="21"/>
                <w:highlight w:val="none"/>
              </w:rPr>
            </w:pPr>
            <w:r>
              <w:rPr>
                <w:color w:val="auto"/>
                <w:szCs w:val="21"/>
                <w:highlight w:val="none"/>
              </w:rPr>
              <w:t>/</w:t>
            </w:r>
          </w:p>
        </w:tc>
        <w:tc>
          <w:tcPr>
            <w:tcW w:w="2122" w:type="dxa"/>
            <w:noWrap w:val="0"/>
            <w:vAlign w:val="center"/>
          </w:tcPr>
          <w:p w14:paraId="37DA086C">
            <w:pPr>
              <w:adjustRightInd w:val="0"/>
              <w:snapToGrid w:val="0"/>
              <w:jc w:val="center"/>
              <w:rPr>
                <w:color w:val="auto"/>
                <w:szCs w:val="21"/>
                <w:highlight w:val="none"/>
              </w:rPr>
            </w:pPr>
            <w:r>
              <w:rPr>
                <w:color w:val="auto"/>
                <w:szCs w:val="21"/>
                <w:highlight w:val="none"/>
              </w:rPr>
              <w:t>/</w:t>
            </w:r>
          </w:p>
        </w:tc>
        <w:tc>
          <w:tcPr>
            <w:tcW w:w="941" w:type="dxa"/>
            <w:noWrap w:val="0"/>
            <w:vAlign w:val="center"/>
          </w:tcPr>
          <w:p w14:paraId="03B4C38F">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5C6CA4E5">
            <w:pPr>
              <w:adjustRightInd w:val="0"/>
              <w:snapToGrid w:val="0"/>
              <w:jc w:val="center"/>
              <w:rPr>
                <w:color w:val="auto"/>
                <w:szCs w:val="21"/>
                <w:highlight w:val="none"/>
              </w:rPr>
            </w:pPr>
            <w:r>
              <w:rPr>
                <w:color w:val="auto"/>
                <w:szCs w:val="21"/>
                <w:highlight w:val="none"/>
              </w:rPr>
              <w:t>/</w:t>
            </w:r>
          </w:p>
        </w:tc>
      </w:tr>
    </w:tbl>
    <w:p w14:paraId="68532B81">
      <w:pPr>
        <w:pStyle w:val="40"/>
        <w:spacing w:before="0" w:beforeAutospacing="0" w:after="0" w:afterAutospacing="0" w:line="360" w:lineRule="auto"/>
        <w:jc w:val="center"/>
        <w:outlineLvl w:val="0"/>
        <w:rPr>
          <w:rStyle w:val="54"/>
          <w:color w:val="auto"/>
          <w:highlight w:val="none"/>
        </w:rPr>
      </w:pPr>
      <w:r>
        <w:rPr>
          <w:rFonts w:ascii="Times New Roman" w:hAnsi="Times New Roman"/>
          <w:snapToGrid w:val="0"/>
          <w:color w:val="auto"/>
          <w:highlight w:val="none"/>
        </w:rPr>
        <w:br w:type="page"/>
      </w:r>
      <w:bookmarkStart w:id="133" w:name="_Toc5324"/>
      <w:bookmarkStart w:id="134" w:name="_Toc25789"/>
      <w:bookmarkStart w:id="135" w:name="_Toc27231"/>
      <w:bookmarkStart w:id="136" w:name="_Toc10747"/>
      <w:r>
        <w:rPr>
          <w:rStyle w:val="54"/>
          <w:rFonts w:hint="eastAsia"/>
          <w:color w:val="auto"/>
          <w:highlight w:val="none"/>
        </w:rPr>
        <w:t>七</w:t>
      </w:r>
      <w:r>
        <w:rPr>
          <w:rStyle w:val="54"/>
          <w:color w:val="auto"/>
          <w:highlight w:val="none"/>
        </w:rPr>
        <w:t>、结论</w:t>
      </w:r>
      <w:bookmarkEnd w:id="133"/>
      <w:bookmarkEnd w:id="134"/>
      <w:bookmarkEnd w:id="135"/>
      <w:bookmarkEnd w:id="136"/>
    </w:p>
    <w:tbl>
      <w:tblPr>
        <w:tblStyle w:val="45"/>
        <w:tblW w:w="0" w:type="auto"/>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060"/>
      </w:tblGrid>
      <w:tr w14:paraId="507E462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jc w:val="center"/>
        </w:trPr>
        <w:tc>
          <w:tcPr>
            <w:tcW w:w="9060" w:type="dxa"/>
            <w:noWrap w:val="0"/>
            <w:vAlign w:val="top"/>
          </w:tcPr>
          <w:p w14:paraId="7430C528">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综上所述，</w:t>
            </w:r>
            <w:r>
              <w:rPr>
                <w:rFonts w:hint="eastAsia" w:ascii="Times New Roman" w:hAnsi="Times New Roman" w:eastAsia="宋体" w:cs="Times New Roman"/>
                <w:color w:val="auto"/>
                <w:sz w:val="24"/>
                <w:highlight w:val="none"/>
                <w:lang w:eastAsia="zh-CN"/>
              </w:rPr>
              <w:t>广西华临码头有限公司钦州港金谷港区金鼓江作业区19#泊位码头停泊及回旋水域清淤疏浚项目</w:t>
            </w:r>
            <w:r>
              <w:rPr>
                <w:rFonts w:hint="eastAsia" w:ascii="Times New Roman" w:hAnsi="Times New Roman" w:eastAsia="宋体" w:cs="Times New Roman"/>
                <w:color w:val="auto"/>
                <w:sz w:val="24"/>
                <w:highlight w:val="none"/>
              </w:rPr>
              <w:t>符合国家产业政策，项目选址合理，在落实设计和本评价提出的各项污染防治措施，确保污染物能够达标排放，固废合理处置</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rPr>
              <w:t>严格执行“三同时”制度的前提下，项目对生态环境影响不大，项目对周围环境的影响可控制在可接受范围内。从环境保护角度分析，建设项目环境影响可行。</w:t>
            </w:r>
          </w:p>
          <w:p w14:paraId="2C4F03EC">
            <w:pPr>
              <w:pStyle w:val="40"/>
              <w:spacing w:before="0" w:beforeAutospacing="0" w:after="0" w:afterAutospacing="0" w:line="360" w:lineRule="auto"/>
              <w:jc w:val="center"/>
              <w:outlineLvl w:val="0"/>
              <w:rPr>
                <w:rFonts w:hint="eastAsia" w:ascii="Times New Roman" w:hAnsi="Times New Roman" w:eastAsia="宋体" w:cs="Times New Roman"/>
                <w:color w:val="auto"/>
                <w:kern w:val="2"/>
                <w:sz w:val="24"/>
                <w:szCs w:val="24"/>
                <w:highlight w:val="none"/>
                <w:lang w:val="en-US" w:eastAsia="zh-CN" w:bidi="ar-SA"/>
              </w:rPr>
            </w:pPr>
          </w:p>
          <w:p w14:paraId="50685667">
            <w:pPr>
              <w:pStyle w:val="40"/>
              <w:spacing w:before="0" w:beforeAutospacing="0" w:after="0" w:afterAutospacing="0" w:line="360" w:lineRule="auto"/>
              <w:jc w:val="center"/>
              <w:outlineLvl w:val="0"/>
              <w:rPr>
                <w:rFonts w:hint="eastAsia" w:ascii="Times New Roman" w:hAnsi="Times New Roman" w:eastAsia="宋体" w:cs="Times New Roman"/>
                <w:color w:val="auto"/>
                <w:kern w:val="2"/>
                <w:sz w:val="24"/>
                <w:szCs w:val="24"/>
                <w:highlight w:val="none"/>
                <w:lang w:val="en-US" w:eastAsia="zh-CN" w:bidi="ar-SA"/>
              </w:rPr>
            </w:pPr>
          </w:p>
          <w:p w14:paraId="6111A8BE">
            <w:pPr>
              <w:pStyle w:val="40"/>
              <w:spacing w:before="0" w:beforeAutospacing="0" w:after="0" w:afterAutospacing="0" w:line="360" w:lineRule="auto"/>
              <w:jc w:val="center"/>
              <w:outlineLvl w:val="0"/>
              <w:rPr>
                <w:rFonts w:hint="eastAsia" w:ascii="Times New Roman" w:hAnsi="Times New Roman" w:eastAsia="宋体" w:cs="Times New Roman"/>
                <w:color w:val="auto"/>
                <w:kern w:val="2"/>
                <w:sz w:val="24"/>
                <w:szCs w:val="24"/>
                <w:highlight w:val="none"/>
                <w:lang w:val="en-US" w:eastAsia="zh-CN" w:bidi="ar-SA"/>
              </w:rPr>
            </w:pPr>
          </w:p>
          <w:p w14:paraId="115D3150">
            <w:pPr>
              <w:pStyle w:val="40"/>
              <w:spacing w:before="0" w:beforeAutospacing="0" w:after="0" w:afterAutospacing="0" w:line="360" w:lineRule="auto"/>
              <w:jc w:val="center"/>
              <w:outlineLvl w:val="0"/>
              <w:rPr>
                <w:rFonts w:hint="eastAsia" w:ascii="Times New Roman" w:hAnsi="Times New Roman" w:eastAsia="宋体" w:cs="Times New Roman"/>
                <w:color w:val="auto"/>
                <w:kern w:val="2"/>
                <w:sz w:val="24"/>
                <w:szCs w:val="24"/>
                <w:highlight w:val="none"/>
                <w:lang w:val="en-US" w:eastAsia="zh-CN" w:bidi="ar-SA"/>
              </w:rPr>
            </w:pPr>
          </w:p>
          <w:p w14:paraId="6061E4FF">
            <w:pPr>
              <w:pStyle w:val="40"/>
              <w:spacing w:before="0" w:beforeAutospacing="0" w:after="0" w:afterAutospacing="0" w:line="360" w:lineRule="auto"/>
              <w:jc w:val="center"/>
              <w:outlineLvl w:val="0"/>
              <w:rPr>
                <w:rFonts w:hint="eastAsia" w:ascii="Times New Roman" w:hAnsi="Times New Roman" w:eastAsia="宋体" w:cs="Times New Roman"/>
                <w:color w:val="auto"/>
                <w:kern w:val="2"/>
                <w:sz w:val="24"/>
                <w:szCs w:val="24"/>
                <w:highlight w:val="none"/>
                <w:lang w:val="en-US" w:eastAsia="zh-CN" w:bidi="ar-SA"/>
              </w:rPr>
            </w:pPr>
          </w:p>
          <w:p w14:paraId="401DD312">
            <w:pPr>
              <w:pStyle w:val="40"/>
              <w:spacing w:before="0" w:beforeAutospacing="0" w:after="0" w:afterAutospacing="0" w:line="360" w:lineRule="auto"/>
              <w:jc w:val="center"/>
              <w:outlineLvl w:val="0"/>
              <w:rPr>
                <w:rStyle w:val="54"/>
                <w:rFonts w:hint="eastAsia"/>
                <w:color w:val="auto"/>
                <w:highlight w:val="none"/>
              </w:rPr>
            </w:pPr>
          </w:p>
          <w:p w14:paraId="4A4D56B4">
            <w:pPr>
              <w:pStyle w:val="40"/>
              <w:spacing w:before="0" w:beforeAutospacing="0" w:after="0" w:afterAutospacing="0" w:line="360" w:lineRule="auto"/>
              <w:jc w:val="center"/>
              <w:outlineLvl w:val="0"/>
              <w:rPr>
                <w:rStyle w:val="54"/>
                <w:rFonts w:hint="eastAsia"/>
                <w:color w:val="auto"/>
                <w:highlight w:val="none"/>
              </w:rPr>
            </w:pPr>
          </w:p>
          <w:p w14:paraId="37E3DA3A">
            <w:pPr>
              <w:pStyle w:val="40"/>
              <w:spacing w:before="0" w:beforeAutospacing="0" w:after="0" w:afterAutospacing="0" w:line="360" w:lineRule="auto"/>
              <w:jc w:val="center"/>
              <w:outlineLvl w:val="0"/>
              <w:rPr>
                <w:rStyle w:val="54"/>
                <w:rFonts w:hint="eastAsia" w:ascii="Times New Roman" w:hAnsi="Times New Roman" w:cs="Times New Roman"/>
                <w:b/>
                <w:bCs/>
                <w:color w:val="auto"/>
                <w:highlight w:val="none"/>
              </w:rPr>
            </w:pPr>
          </w:p>
          <w:p w14:paraId="7D42A1BB">
            <w:pPr>
              <w:pStyle w:val="40"/>
              <w:spacing w:before="0" w:beforeAutospacing="0" w:after="0" w:afterAutospacing="0" w:line="360" w:lineRule="auto"/>
              <w:jc w:val="center"/>
              <w:outlineLvl w:val="0"/>
              <w:rPr>
                <w:rStyle w:val="54"/>
                <w:rFonts w:hint="eastAsia" w:ascii="Times New Roman" w:hAnsi="Times New Roman" w:cs="Times New Roman"/>
                <w:b/>
                <w:bCs/>
                <w:color w:val="auto"/>
                <w:highlight w:val="none"/>
              </w:rPr>
            </w:pPr>
          </w:p>
          <w:p w14:paraId="3B113747">
            <w:pPr>
              <w:pStyle w:val="40"/>
              <w:spacing w:before="0" w:beforeAutospacing="0" w:after="0" w:afterAutospacing="0" w:line="360" w:lineRule="auto"/>
              <w:jc w:val="center"/>
              <w:outlineLvl w:val="0"/>
              <w:rPr>
                <w:rStyle w:val="54"/>
                <w:rFonts w:hint="eastAsia" w:ascii="Times New Roman" w:hAnsi="Times New Roman" w:cs="Times New Roman"/>
                <w:b/>
                <w:bCs/>
                <w:color w:val="auto"/>
                <w:highlight w:val="none"/>
              </w:rPr>
            </w:pPr>
          </w:p>
          <w:p w14:paraId="456FB3D0">
            <w:pPr>
              <w:pStyle w:val="40"/>
              <w:spacing w:before="0" w:beforeAutospacing="0" w:after="0" w:afterAutospacing="0" w:line="360" w:lineRule="auto"/>
              <w:jc w:val="center"/>
              <w:outlineLvl w:val="0"/>
              <w:rPr>
                <w:rStyle w:val="54"/>
                <w:rFonts w:hint="eastAsia" w:ascii="Times New Roman" w:hAnsi="Times New Roman" w:cs="Times New Roman"/>
                <w:b/>
                <w:bCs/>
                <w:color w:val="auto"/>
                <w:highlight w:val="none"/>
              </w:rPr>
            </w:pPr>
          </w:p>
          <w:p w14:paraId="66C6E912">
            <w:pPr>
              <w:pStyle w:val="40"/>
              <w:spacing w:before="0" w:beforeAutospacing="0" w:after="0" w:afterAutospacing="0" w:line="360" w:lineRule="auto"/>
              <w:jc w:val="center"/>
              <w:outlineLvl w:val="0"/>
              <w:rPr>
                <w:rStyle w:val="54"/>
                <w:rFonts w:hint="eastAsia" w:ascii="Times New Roman" w:hAnsi="Times New Roman" w:cs="Times New Roman"/>
                <w:b/>
                <w:bCs/>
                <w:color w:val="auto"/>
                <w:highlight w:val="none"/>
              </w:rPr>
            </w:pPr>
          </w:p>
          <w:p w14:paraId="0A09DBFF">
            <w:pPr>
              <w:pStyle w:val="40"/>
              <w:spacing w:before="0" w:beforeAutospacing="0" w:after="0" w:afterAutospacing="0" w:line="360" w:lineRule="auto"/>
              <w:jc w:val="center"/>
              <w:outlineLvl w:val="0"/>
              <w:rPr>
                <w:rStyle w:val="54"/>
                <w:rFonts w:hint="eastAsia" w:ascii="Times New Roman" w:hAnsi="Times New Roman" w:cs="Times New Roman"/>
                <w:b/>
                <w:bCs/>
                <w:color w:val="auto"/>
                <w:highlight w:val="none"/>
              </w:rPr>
            </w:pPr>
          </w:p>
          <w:p w14:paraId="72374C09">
            <w:pPr>
              <w:pStyle w:val="40"/>
              <w:spacing w:before="0" w:beforeAutospacing="0" w:after="0" w:afterAutospacing="0" w:line="360" w:lineRule="auto"/>
              <w:jc w:val="center"/>
              <w:outlineLvl w:val="0"/>
              <w:rPr>
                <w:rStyle w:val="54"/>
                <w:rFonts w:hint="eastAsia" w:ascii="Times New Roman" w:hAnsi="Times New Roman" w:cs="Times New Roman"/>
                <w:b/>
                <w:bCs/>
                <w:color w:val="auto"/>
                <w:highlight w:val="none"/>
              </w:rPr>
            </w:pPr>
          </w:p>
          <w:p w14:paraId="73F4E6E8">
            <w:pPr>
              <w:pStyle w:val="40"/>
              <w:spacing w:before="0" w:beforeAutospacing="0" w:after="0" w:afterAutospacing="0" w:line="360" w:lineRule="auto"/>
              <w:jc w:val="center"/>
              <w:outlineLvl w:val="0"/>
              <w:rPr>
                <w:rStyle w:val="54"/>
                <w:rFonts w:hint="eastAsia" w:ascii="Times New Roman" w:hAnsi="Times New Roman" w:cs="Times New Roman"/>
                <w:b/>
                <w:bCs/>
                <w:color w:val="auto"/>
                <w:highlight w:val="none"/>
              </w:rPr>
            </w:pPr>
          </w:p>
          <w:p w14:paraId="34E70656">
            <w:pPr>
              <w:pStyle w:val="40"/>
              <w:spacing w:before="0" w:beforeAutospacing="0" w:after="0" w:afterAutospacing="0" w:line="360" w:lineRule="auto"/>
              <w:jc w:val="center"/>
              <w:outlineLvl w:val="0"/>
              <w:rPr>
                <w:rStyle w:val="54"/>
                <w:rFonts w:hint="eastAsia" w:ascii="Times New Roman" w:hAnsi="Times New Roman" w:cs="Times New Roman"/>
                <w:b/>
                <w:bCs/>
                <w:color w:val="auto"/>
                <w:highlight w:val="none"/>
              </w:rPr>
            </w:pPr>
          </w:p>
          <w:p w14:paraId="490328FE">
            <w:pPr>
              <w:pStyle w:val="40"/>
              <w:spacing w:before="0" w:beforeAutospacing="0" w:after="0" w:afterAutospacing="0" w:line="360" w:lineRule="auto"/>
              <w:jc w:val="center"/>
              <w:outlineLvl w:val="0"/>
              <w:rPr>
                <w:rStyle w:val="54"/>
                <w:rFonts w:hint="eastAsia" w:ascii="Times New Roman" w:hAnsi="Times New Roman" w:cs="Times New Roman"/>
                <w:b/>
                <w:bCs/>
                <w:color w:val="auto"/>
                <w:highlight w:val="none"/>
              </w:rPr>
            </w:pPr>
          </w:p>
          <w:p w14:paraId="2098A615">
            <w:pPr>
              <w:pStyle w:val="40"/>
              <w:spacing w:before="0" w:beforeAutospacing="0" w:after="0" w:afterAutospacing="0" w:line="360" w:lineRule="auto"/>
              <w:jc w:val="center"/>
              <w:outlineLvl w:val="0"/>
              <w:rPr>
                <w:rStyle w:val="54"/>
                <w:rFonts w:hint="eastAsia" w:ascii="Times New Roman" w:hAnsi="Times New Roman" w:cs="Times New Roman"/>
                <w:b/>
                <w:bCs/>
                <w:color w:val="auto"/>
                <w:highlight w:val="none"/>
              </w:rPr>
            </w:pPr>
          </w:p>
          <w:p w14:paraId="010F607E">
            <w:pPr>
              <w:pStyle w:val="40"/>
              <w:spacing w:before="0" w:beforeAutospacing="0" w:after="0" w:afterAutospacing="0" w:line="360" w:lineRule="auto"/>
              <w:jc w:val="center"/>
              <w:outlineLvl w:val="0"/>
              <w:rPr>
                <w:rStyle w:val="54"/>
                <w:rFonts w:hint="eastAsia" w:ascii="Times New Roman" w:hAnsi="Times New Roman" w:cs="Times New Roman"/>
                <w:b/>
                <w:bCs/>
                <w:color w:val="auto"/>
                <w:highlight w:val="none"/>
              </w:rPr>
            </w:pPr>
          </w:p>
          <w:p w14:paraId="4E2408BA">
            <w:pPr>
              <w:pStyle w:val="40"/>
              <w:spacing w:before="0" w:beforeAutospacing="0" w:after="0" w:afterAutospacing="0" w:line="360" w:lineRule="auto"/>
              <w:jc w:val="center"/>
              <w:outlineLvl w:val="0"/>
              <w:rPr>
                <w:rStyle w:val="54"/>
                <w:rFonts w:hint="eastAsia"/>
                <w:color w:val="auto"/>
                <w:highlight w:val="none"/>
              </w:rPr>
            </w:pPr>
          </w:p>
        </w:tc>
      </w:tr>
    </w:tbl>
    <w:p w14:paraId="4BF5F158">
      <w:pPr>
        <w:pStyle w:val="2"/>
        <w:snapToGrid/>
        <w:spacing w:before="0" w:after="0" w:line="360" w:lineRule="auto"/>
        <w:ind w:left="0" w:firstLine="0"/>
        <w:rPr>
          <w:rFonts w:hint="eastAsia"/>
          <w:color w:val="auto"/>
          <w:highlight w:val="none"/>
        </w:rPr>
      </w:pP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A00002BF" w:usb1="38CF7CFA" w:usb2="00082016" w:usb3="00000000" w:csb0="00040001" w:csb1="00000000"/>
  </w:font>
  <w:font w:name="Wingdings 2">
    <w:panose1 w:val="05020102010507070707"/>
    <w:charset w:val="02"/>
    <w:family w:val="auto"/>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E7904">
    <w:pPr>
      <w:pStyle w:val="2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FF979">
    <w:pPr>
      <w:pStyle w:val="2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45415" cy="131445"/>
              <wp:effectExtent l="0" t="0" r="0" b="0"/>
              <wp:wrapNone/>
              <wp:docPr id="52" name="文本框 4"/>
              <wp:cNvGraphicFramePr/>
              <a:graphic xmlns:a="http://schemas.openxmlformats.org/drawingml/2006/main">
                <a:graphicData uri="http://schemas.microsoft.com/office/word/2010/wordprocessingShape">
                  <wps:wsp>
                    <wps:cNvSpPr txBox="1"/>
                    <wps:spPr>
                      <a:xfrm>
                        <a:off x="0" y="0"/>
                        <a:ext cx="145415" cy="131445"/>
                      </a:xfrm>
                      <a:prstGeom prst="rect">
                        <a:avLst/>
                      </a:prstGeom>
                      <a:noFill/>
                      <a:ln>
                        <a:noFill/>
                      </a:ln>
                    </wps:spPr>
                    <wps:txbx>
                      <w:txbxContent>
                        <w:p w14:paraId="3BE827C7">
                          <w:pPr>
                            <w:pStyle w:val="24"/>
                            <w:jc w:val="center"/>
                          </w:pPr>
                          <w:r>
                            <w:fldChar w:fldCharType="begin"/>
                          </w:r>
                          <w:r>
                            <w:instrText xml:space="preserve">PAGE   \* MERGEFORMAT</w:instrText>
                          </w:r>
                          <w:r>
                            <w:fldChar w:fldCharType="separate"/>
                          </w:r>
                          <w:r>
                            <w:t>22</w:t>
                          </w:r>
                          <w:r>
                            <w:fldChar w:fldCharType="end"/>
                          </w:r>
                        </w:p>
                      </w:txbxContent>
                    </wps:txbx>
                    <wps:bodyPr wrap="square" lIns="0" tIns="0" rIns="0" bIns="0" upright="0">
                      <a:spAutoFit/>
                    </wps:bodyPr>
                  </wps:wsp>
                </a:graphicData>
              </a:graphic>
            </wp:anchor>
          </w:drawing>
        </mc:Choice>
        <mc:Fallback>
          <w:pict>
            <v:shape id="文本框 4" o:spid="_x0000_s1026" o:spt="202" type="#_x0000_t202" style="position:absolute;left:0pt;margin-top:0pt;height:10.35pt;width:11.45pt;mso-position-horizontal:center;mso-position-horizontal-relative:margin;z-index:251659264;mso-width-relative:page;mso-height-relative:page;" filled="f" stroked="f" coordsize="21600,21600" o:gfxdata="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3I1GbNEAAAADAQAADwAAAAAAAAABACAAAAAiAAAAZHJzL2Rv&#10;d25yZXYueG1sUEsBAhQAFAAAAAgAh07iQOGz0sXPAQAAmgMAAA4AAAAAAAAAAQAgAAAAIAEAAGRy&#10;cy9lMm9Eb2MueG1sUEsFBgAAAAAGAAYAWQEAAGEFAAAAAA==&#10;">
              <v:fill on="f" focussize="0,0"/>
              <v:stroke on="f"/>
              <v:imagedata o:title=""/>
              <o:lock v:ext="edit" aspectratio="f"/>
              <v:textbox inset="0mm,0mm,0mm,0mm" style="mso-fit-shape-to-text:t;">
                <w:txbxContent>
                  <w:p w14:paraId="3BE827C7">
                    <w:pPr>
                      <w:pStyle w:val="24"/>
                      <w:jc w:val="center"/>
                    </w:pPr>
                    <w:r>
                      <w:fldChar w:fldCharType="begin"/>
                    </w:r>
                    <w:r>
                      <w:instrText xml:space="preserve">PAGE   \* MERGEFORMAT</w:instrText>
                    </w:r>
                    <w:r>
                      <w:fldChar w:fldCharType="separate"/>
                    </w:r>
                    <w:r>
                      <w:t>22</w:t>
                    </w:r>
                    <w:r>
                      <w:fldChar w:fldCharType="end"/>
                    </w:r>
                  </w:p>
                </w:txbxContent>
              </v:textbox>
            </v:shape>
          </w:pict>
        </mc:Fallback>
      </mc:AlternateContent>
    </w:r>
  </w:p>
  <w:p w14:paraId="1E42A064">
    <w:pPr>
      <w:pStyle w:val="24"/>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DAF29">
    <w:pPr>
      <w:pStyle w:val="24"/>
      <w:jc w:val="center"/>
    </w:pPr>
    <w:r>
      <mc:AlternateContent>
        <mc:Choice Requires="wps">
          <w:drawing>
            <wp:anchor distT="0" distB="0" distL="114300" distR="114300" simplePos="0" relativeHeight="251660288" behindDoc="0" locked="0" layoutInCell="1" allowOverlap="1">
              <wp:simplePos x="0" y="0"/>
              <wp:positionH relativeFrom="margin">
                <wp:posOffset>2640965</wp:posOffset>
              </wp:positionH>
              <wp:positionV relativeFrom="paragraph">
                <wp:posOffset>10795</wp:posOffset>
              </wp:positionV>
              <wp:extent cx="224155" cy="120650"/>
              <wp:effectExtent l="0" t="0" r="0" b="0"/>
              <wp:wrapNone/>
              <wp:docPr id="53" name="文本框 4"/>
              <wp:cNvGraphicFramePr/>
              <a:graphic xmlns:a="http://schemas.openxmlformats.org/drawingml/2006/main">
                <a:graphicData uri="http://schemas.microsoft.com/office/word/2010/wordprocessingShape">
                  <wps:wsp>
                    <wps:cNvSpPr txBox="1"/>
                    <wps:spPr>
                      <a:xfrm>
                        <a:off x="0" y="0"/>
                        <a:ext cx="224155" cy="120650"/>
                      </a:xfrm>
                      <a:prstGeom prst="rect">
                        <a:avLst/>
                      </a:prstGeom>
                      <a:noFill/>
                      <a:ln>
                        <a:noFill/>
                      </a:ln>
                    </wps:spPr>
                    <wps:txbx>
                      <w:txbxContent>
                        <w:p w14:paraId="7FE77E75">
                          <w:pPr>
                            <w:pStyle w:val="24"/>
                            <w:jc w:val="center"/>
                          </w:pPr>
                          <w:r>
                            <w:fldChar w:fldCharType="begin"/>
                          </w:r>
                          <w:r>
                            <w:instrText xml:space="preserve">PAGE   \* MERGEFORMAT</w:instrText>
                          </w:r>
                          <w:r>
                            <w:fldChar w:fldCharType="separate"/>
                          </w:r>
                          <w:r>
                            <w:t>30</w:t>
                          </w:r>
                          <w:r>
                            <w:fldChar w:fldCharType="end"/>
                          </w:r>
                        </w:p>
                      </w:txbxContent>
                    </wps:txbx>
                    <wps:bodyPr vert="horz" wrap="square" lIns="0" tIns="0" rIns="0" bIns="0" anchor="t" anchorCtr="0" upright="0"/>
                  </wps:wsp>
                </a:graphicData>
              </a:graphic>
            </wp:anchor>
          </w:drawing>
        </mc:Choice>
        <mc:Fallback>
          <w:pict>
            <v:shape id="文本框 4" o:spid="_x0000_s1026" o:spt="202" type="#_x0000_t202" style="position:absolute;left:0pt;margin-left:207.95pt;margin-top:0.85pt;height:9.5pt;width:17.65pt;mso-position-horizontal-relative:margin;z-index:251660288;mso-width-relative:page;mso-height-relative:page;" filled="f" stroked="f" coordsize="21600,21600" o:gfxdata="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CcNku1wAAAAgBAAAPAAAAAAAA&#10;AAEAIAAAACIAAABkcnMvZG93bnJldi54bWxQSwECFAAUAAAACACHTuJALiO54NoBAAClAwAADgAA&#10;AAAAAAABACAAAAAmAQAAZHJzL2Uyb0RvYy54bWxQSwUGAAAAAAYABgBZAQAAcgUAAAAA&#10;">
              <v:fill on="f" focussize="0,0"/>
              <v:stroke on="f"/>
              <v:imagedata o:title=""/>
              <o:lock v:ext="edit" aspectratio="f"/>
              <v:textbox inset="0mm,0mm,0mm,0mm">
                <w:txbxContent>
                  <w:p w14:paraId="7FE77E75">
                    <w:pPr>
                      <w:pStyle w:val="24"/>
                      <w:jc w:val="center"/>
                    </w:pPr>
                    <w:r>
                      <w:fldChar w:fldCharType="begin"/>
                    </w:r>
                    <w:r>
                      <w:instrText xml:space="preserve">PAGE   \* MERGEFORMAT</w:instrText>
                    </w:r>
                    <w:r>
                      <w:fldChar w:fldCharType="separate"/>
                    </w:r>
                    <w:r>
                      <w:t>30</w:t>
                    </w:r>
                    <w:r>
                      <w:fldChar w:fldCharType="end"/>
                    </w:r>
                  </w:p>
                </w:txbxContent>
              </v:textbox>
            </v:shape>
          </w:pict>
        </mc:Fallback>
      </mc:AlternateContent>
    </w:r>
  </w:p>
  <w:p w14:paraId="68E022A5">
    <w:pPr>
      <w:pStyle w:val="24"/>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2F420">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710CC">
    <w:pPr>
      <w:pStyle w:val="2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71A48">
    <w:pPr>
      <w:pStyle w:val="2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40A26">
    <w:pPr>
      <w:pStyle w:val="2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4F5547"/>
    <w:multiLevelType w:val="singleLevel"/>
    <w:tmpl w:val="894F5547"/>
    <w:lvl w:ilvl="0" w:tentative="0">
      <w:start w:val="1"/>
      <w:numFmt w:val="decimal"/>
      <w:suff w:val="nothing"/>
      <w:lvlText w:val="（%1）"/>
      <w:lvlJc w:val="left"/>
    </w:lvl>
  </w:abstractNum>
  <w:abstractNum w:abstractNumId="1">
    <w:nsid w:val="8F5A45BF"/>
    <w:multiLevelType w:val="singleLevel"/>
    <w:tmpl w:val="8F5A45BF"/>
    <w:lvl w:ilvl="0" w:tentative="0">
      <w:start w:val="1"/>
      <w:numFmt w:val="decimal"/>
      <w:suff w:val="nothing"/>
      <w:lvlText w:val="（%1）"/>
      <w:lvlJc w:val="left"/>
    </w:lvl>
  </w:abstractNum>
  <w:abstractNum w:abstractNumId="2">
    <w:nsid w:val="996F3153"/>
    <w:multiLevelType w:val="singleLevel"/>
    <w:tmpl w:val="996F3153"/>
    <w:lvl w:ilvl="0" w:tentative="0">
      <w:start w:val="2"/>
      <w:numFmt w:val="upperLetter"/>
      <w:lvlText w:val="%1."/>
      <w:lvlJc w:val="left"/>
      <w:pPr>
        <w:tabs>
          <w:tab w:val="left" w:pos="312"/>
        </w:tabs>
      </w:pPr>
    </w:lvl>
  </w:abstractNum>
  <w:abstractNum w:abstractNumId="3">
    <w:nsid w:val="A4A68AF2"/>
    <w:multiLevelType w:val="singleLevel"/>
    <w:tmpl w:val="A4A68AF2"/>
    <w:lvl w:ilvl="0" w:tentative="0">
      <w:start w:val="1"/>
      <w:numFmt w:val="decimal"/>
      <w:suff w:val="nothing"/>
      <w:lvlText w:val="（%1）"/>
      <w:lvlJc w:val="left"/>
    </w:lvl>
  </w:abstractNum>
  <w:abstractNum w:abstractNumId="4">
    <w:nsid w:val="B305D3D4"/>
    <w:multiLevelType w:val="singleLevel"/>
    <w:tmpl w:val="B305D3D4"/>
    <w:lvl w:ilvl="0" w:tentative="0">
      <w:start w:val="1"/>
      <w:numFmt w:val="decimal"/>
      <w:lvlText w:val="%1."/>
      <w:lvlJc w:val="left"/>
      <w:pPr>
        <w:tabs>
          <w:tab w:val="left" w:pos="312"/>
        </w:tabs>
      </w:pPr>
    </w:lvl>
  </w:abstractNum>
  <w:abstractNum w:abstractNumId="5">
    <w:nsid w:val="B88E5D32"/>
    <w:multiLevelType w:val="singleLevel"/>
    <w:tmpl w:val="B88E5D32"/>
    <w:lvl w:ilvl="0" w:tentative="0">
      <w:start w:val="1"/>
      <w:numFmt w:val="decimal"/>
      <w:suff w:val="nothing"/>
      <w:lvlText w:val="（%1）"/>
      <w:lvlJc w:val="left"/>
    </w:lvl>
  </w:abstractNum>
  <w:abstractNum w:abstractNumId="6">
    <w:nsid w:val="CB17A353"/>
    <w:multiLevelType w:val="multilevel"/>
    <w:tmpl w:val="CB17A353"/>
    <w:lvl w:ilvl="0" w:tentative="0">
      <w:start w:val="1"/>
      <w:numFmt w:val="decimal"/>
      <w:suff w:val="space"/>
      <w:lvlText w:val="%1"/>
      <w:lvlJc w:val="left"/>
      <w:pPr>
        <w:tabs>
          <w:tab w:val="left" w:pos="420"/>
        </w:tabs>
        <w:ind w:left="0" w:firstLine="0"/>
      </w:pPr>
      <w:rPr>
        <w:rFonts w:hint="default" w:ascii="Times New Roman" w:hAnsi="Times New Roman" w:eastAsia="宋体" w:cs="Times New Roman"/>
      </w:rPr>
    </w:lvl>
    <w:lvl w:ilvl="1" w:tentative="0">
      <w:start w:val="1"/>
      <w:numFmt w:val="decimal"/>
      <w:suff w:val="space"/>
      <w:lvlText w:val="%1.%2"/>
      <w:lvlJc w:val="left"/>
      <w:pPr>
        <w:tabs>
          <w:tab w:val="left" w:pos="0"/>
        </w:tabs>
        <w:ind w:left="0" w:firstLine="0"/>
      </w:pPr>
      <w:rPr>
        <w:rFonts w:hint="default" w:ascii="Times New Roman" w:hAnsi="Times New Roman" w:eastAsia="宋体" w:cs="Times New Roman"/>
        <w:sz w:val="30"/>
        <w:szCs w:val="30"/>
      </w:rPr>
    </w:lvl>
    <w:lvl w:ilvl="2" w:tentative="0">
      <w:start w:val="1"/>
      <w:numFmt w:val="decimal"/>
      <w:suff w:val="space"/>
      <w:lvlText w:val="%1.%2.%3"/>
      <w:lvlJc w:val="left"/>
      <w:pPr>
        <w:tabs>
          <w:tab w:val="left" w:pos="0"/>
        </w:tabs>
        <w:ind w:left="0" w:firstLine="0"/>
      </w:pPr>
      <w:rPr>
        <w:rFonts w:hint="default" w:ascii="Times New Roman" w:hAnsi="Times New Roman" w:eastAsia="宋体" w:cs="Times New Roman"/>
        <w:sz w:val="28"/>
        <w:szCs w:val="28"/>
      </w:rPr>
    </w:lvl>
    <w:lvl w:ilvl="3" w:tentative="0">
      <w:start w:val="1"/>
      <w:numFmt w:val="decimal"/>
      <w:suff w:val="space"/>
      <w:lvlText w:val="%1.%2.%3.%4"/>
      <w:lvlJc w:val="left"/>
      <w:pPr>
        <w:tabs>
          <w:tab w:val="left" w:pos="0"/>
        </w:tabs>
        <w:ind w:left="0" w:firstLine="0"/>
      </w:pPr>
      <w:rPr>
        <w:rFonts w:hint="default" w:ascii="Times New Roman" w:hAnsi="Times New Roman" w:eastAsia="宋体" w:cs="Times New Roman"/>
        <w:sz w:val="24"/>
        <w:szCs w:val="24"/>
      </w:rPr>
    </w:lvl>
    <w:lvl w:ilvl="4" w:tentative="0">
      <w:start w:val="1"/>
      <w:numFmt w:val="decimal"/>
      <w:lvlRestart w:val="2"/>
      <w:pStyle w:val="6"/>
      <w:suff w:val="space"/>
      <w:lvlText w:val="表%1.%2-%5 "/>
      <w:lvlJc w:val="left"/>
      <w:pPr>
        <w:tabs>
          <w:tab w:val="left" w:pos="0"/>
        </w:tabs>
        <w:ind w:left="0" w:firstLine="0"/>
      </w:pPr>
      <w:rPr>
        <w:rFonts w:hint="default" w:ascii="Times New Roman" w:hAnsi="Times New Roman" w:eastAsia="宋体" w:cs="宋体"/>
      </w:rPr>
    </w:lvl>
    <w:lvl w:ilvl="5" w:tentative="0">
      <w:start w:val="1"/>
      <w:numFmt w:val="decimal"/>
      <w:lvlRestart w:val="2"/>
      <w:suff w:val="space"/>
      <w:lvlText w:val="图%1.%2-%6 "/>
      <w:lvlJc w:val="left"/>
      <w:pPr>
        <w:tabs>
          <w:tab w:val="left" w:pos="0"/>
        </w:tabs>
        <w:ind w:left="0" w:firstLine="0"/>
      </w:pPr>
      <w:rPr>
        <w:rFonts w:hint="default" w:ascii="Times New Roman" w:hAnsi="Times New Roman" w:eastAsia="宋体" w:cs="宋体"/>
      </w:rPr>
    </w:lvl>
    <w:lvl w:ilvl="6" w:tentative="0">
      <w:start w:val="1"/>
      <w:numFmt w:val="none"/>
      <w:lvlRestart w:val="0"/>
      <w:suff w:val="nothing"/>
      <w:lvlText w:val=""/>
      <w:lvlJc w:val="left"/>
      <w:pPr>
        <w:tabs>
          <w:tab w:val="left" w:pos="0"/>
        </w:tabs>
        <w:ind w:left="0" w:firstLine="0"/>
      </w:pPr>
      <w:rPr>
        <w:rFonts w:hint="default" w:ascii="宋体" w:hAnsi="宋体" w:eastAsia="宋体" w:cs="宋体"/>
      </w:r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7">
    <w:nsid w:val="D30F8064"/>
    <w:multiLevelType w:val="singleLevel"/>
    <w:tmpl w:val="D30F8064"/>
    <w:lvl w:ilvl="0" w:tentative="0">
      <w:start w:val="3"/>
      <w:numFmt w:val="upperLetter"/>
      <w:lvlText w:val="%1."/>
      <w:lvlJc w:val="left"/>
      <w:pPr>
        <w:tabs>
          <w:tab w:val="left" w:pos="312"/>
        </w:tabs>
      </w:pPr>
    </w:lvl>
  </w:abstractNum>
  <w:abstractNum w:abstractNumId="8">
    <w:nsid w:val="FC1EFF52"/>
    <w:multiLevelType w:val="singleLevel"/>
    <w:tmpl w:val="FC1EFF52"/>
    <w:lvl w:ilvl="0" w:tentative="0">
      <w:start w:val="1"/>
      <w:numFmt w:val="decimal"/>
      <w:suff w:val="nothing"/>
      <w:lvlText w:val="（%1）"/>
      <w:lvlJc w:val="left"/>
    </w:lvl>
  </w:abstractNum>
  <w:abstractNum w:abstractNumId="9">
    <w:nsid w:val="0E05652C"/>
    <w:multiLevelType w:val="singleLevel"/>
    <w:tmpl w:val="0E05652C"/>
    <w:lvl w:ilvl="0" w:tentative="0">
      <w:start w:val="1"/>
      <w:numFmt w:val="decimal"/>
      <w:suff w:val="nothing"/>
      <w:lvlText w:val="%1、"/>
      <w:lvlJc w:val="left"/>
      <w:pPr>
        <w:tabs>
          <w:tab w:val="left" w:pos="0"/>
        </w:tabs>
        <w:ind w:left="0" w:firstLine="420"/>
      </w:pPr>
      <w:rPr>
        <w:rFonts w:hint="default"/>
      </w:rPr>
    </w:lvl>
  </w:abstractNum>
  <w:abstractNum w:abstractNumId="10">
    <w:nsid w:val="1C2341BE"/>
    <w:multiLevelType w:val="singleLevel"/>
    <w:tmpl w:val="1C2341BE"/>
    <w:lvl w:ilvl="0" w:tentative="0">
      <w:start w:val="1"/>
      <w:numFmt w:val="decimal"/>
      <w:suff w:val="nothing"/>
      <w:lvlText w:val="（%1）"/>
      <w:lvlJc w:val="left"/>
    </w:lvl>
  </w:abstractNum>
  <w:abstractNum w:abstractNumId="11">
    <w:nsid w:val="278F7BE2"/>
    <w:multiLevelType w:val="singleLevel"/>
    <w:tmpl w:val="278F7BE2"/>
    <w:lvl w:ilvl="0" w:tentative="0">
      <w:start w:val="2"/>
      <w:numFmt w:val="decimal"/>
      <w:suff w:val="nothing"/>
      <w:lvlText w:val="（%1）"/>
      <w:lvlJc w:val="left"/>
    </w:lvl>
  </w:abstractNum>
  <w:abstractNum w:abstractNumId="12">
    <w:nsid w:val="32B2536F"/>
    <w:multiLevelType w:val="singleLevel"/>
    <w:tmpl w:val="32B2536F"/>
    <w:lvl w:ilvl="0" w:tentative="0">
      <w:start w:val="1"/>
      <w:numFmt w:val="decimal"/>
      <w:suff w:val="nothing"/>
      <w:lvlText w:val="%1、"/>
      <w:lvlJc w:val="left"/>
    </w:lvl>
  </w:abstractNum>
  <w:abstractNum w:abstractNumId="13">
    <w:nsid w:val="36E2EDC2"/>
    <w:multiLevelType w:val="singleLevel"/>
    <w:tmpl w:val="36E2EDC2"/>
    <w:lvl w:ilvl="0" w:tentative="0">
      <w:start w:val="5"/>
      <w:numFmt w:val="decimal"/>
      <w:suff w:val="nothing"/>
      <w:lvlText w:val="%1．"/>
      <w:lvlJc w:val="left"/>
    </w:lvl>
  </w:abstractNum>
  <w:abstractNum w:abstractNumId="14">
    <w:nsid w:val="40039CA8"/>
    <w:multiLevelType w:val="multilevel"/>
    <w:tmpl w:val="40039CA8"/>
    <w:lvl w:ilvl="0" w:tentative="0">
      <w:start w:val="3"/>
      <w:numFmt w:val="decimal"/>
      <w:suff w:val="space"/>
      <w:lvlText w:val="%1"/>
      <w:lvlJc w:val="left"/>
      <w:pPr>
        <w:tabs>
          <w:tab w:val="left" w:pos="420"/>
        </w:tabs>
        <w:ind w:left="0" w:firstLine="0"/>
      </w:pPr>
      <w:rPr>
        <w:rFonts w:hint="default" w:ascii="Times New Roman" w:hAnsi="Times New Roman" w:eastAsia="宋体" w:cs="Times New Roman"/>
      </w:rPr>
    </w:lvl>
    <w:lvl w:ilvl="1" w:tentative="0">
      <w:start w:val="3"/>
      <w:numFmt w:val="decimal"/>
      <w:suff w:val="space"/>
      <w:lvlText w:val="%1.%2"/>
      <w:lvlJc w:val="left"/>
      <w:pPr>
        <w:tabs>
          <w:tab w:val="left" w:pos="0"/>
        </w:tabs>
        <w:ind w:left="0" w:firstLine="0"/>
      </w:pPr>
      <w:rPr>
        <w:rFonts w:hint="default" w:ascii="Times New Roman" w:hAnsi="Times New Roman" w:eastAsia="宋体" w:cs="Times New Roman"/>
        <w:sz w:val="30"/>
        <w:szCs w:val="30"/>
      </w:rPr>
    </w:lvl>
    <w:lvl w:ilvl="2" w:tentative="0">
      <w:start w:val="1"/>
      <w:numFmt w:val="decimal"/>
      <w:suff w:val="space"/>
      <w:lvlText w:val="%1.%2.%3"/>
      <w:lvlJc w:val="left"/>
      <w:pPr>
        <w:tabs>
          <w:tab w:val="left" w:pos="0"/>
        </w:tabs>
        <w:ind w:left="0" w:firstLine="0"/>
      </w:pPr>
      <w:rPr>
        <w:rFonts w:hint="default" w:ascii="Times New Roman" w:hAnsi="Times New Roman" w:eastAsia="宋体" w:cs="Times New Roman"/>
        <w:sz w:val="24"/>
        <w:szCs w:val="24"/>
      </w:rPr>
    </w:lvl>
    <w:lvl w:ilvl="3" w:tentative="0">
      <w:start w:val="1"/>
      <w:numFmt w:val="decimal"/>
      <w:suff w:val="space"/>
      <w:lvlText w:val="%1.%2.%3.%4"/>
      <w:lvlJc w:val="left"/>
      <w:pPr>
        <w:tabs>
          <w:tab w:val="left" w:pos="0"/>
        </w:tabs>
        <w:ind w:left="0" w:firstLine="0"/>
      </w:pPr>
      <w:rPr>
        <w:rFonts w:hint="default" w:ascii="Times New Roman" w:hAnsi="Times New Roman" w:eastAsia="宋体" w:cs="Times New Roman"/>
        <w:sz w:val="24"/>
        <w:szCs w:val="24"/>
      </w:rPr>
    </w:lvl>
    <w:lvl w:ilvl="4" w:tentative="0">
      <w:start w:val="1"/>
      <w:numFmt w:val="decimal"/>
      <w:lvlRestart w:val="2"/>
      <w:suff w:val="space"/>
      <w:lvlText w:val="表%1.%2-%5"/>
      <w:lvlJc w:val="left"/>
      <w:pPr>
        <w:tabs>
          <w:tab w:val="left" w:pos="0"/>
        </w:tabs>
        <w:ind w:left="0" w:firstLine="0"/>
      </w:pPr>
      <w:rPr>
        <w:rFonts w:hint="default" w:ascii="Times New Roman" w:hAnsi="Times New Roman" w:eastAsia="宋体" w:cs="Times New Roman"/>
      </w:rPr>
    </w:lvl>
    <w:lvl w:ilvl="5" w:tentative="0">
      <w:start w:val="1"/>
      <w:numFmt w:val="decimal"/>
      <w:lvlRestart w:val="2"/>
      <w:suff w:val="space"/>
      <w:lvlText w:val="图%1.%2-%6"/>
      <w:lvlJc w:val="left"/>
      <w:pPr>
        <w:tabs>
          <w:tab w:val="left" w:pos="0"/>
        </w:tabs>
        <w:ind w:left="0" w:firstLine="0"/>
      </w:pPr>
      <w:rPr>
        <w:rFonts w:hint="default" w:ascii="Times New Roman" w:hAnsi="Times New Roman" w:eastAsia="宋体" w:cs="Times New Roman"/>
      </w:rPr>
    </w:lvl>
    <w:lvl w:ilvl="6" w:tentative="0">
      <w:start w:val="1"/>
      <w:numFmt w:val="none"/>
      <w:lvlRestart w:val="0"/>
      <w:suff w:val="nothing"/>
      <w:lvlText w:val=""/>
      <w:lvlJc w:val="left"/>
      <w:pPr>
        <w:tabs>
          <w:tab w:val="left" w:pos="0"/>
        </w:tabs>
        <w:ind w:left="0" w:firstLine="0"/>
      </w:pPr>
      <w:rPr>
        <w:rFonts w:hint="default" w:ascii="宋体" w:hAnsi="宋体" w:eastAsia="宋体" w:cs="宋体"/>
      </w:r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5">
    <w:nsid w:val="40DA18E2"/>
    <w:multiLevelType w:val="singleLevel"/>
    <w:tmpl w:val="40DA18E2"/>
    <w:lvl w:ilvl="0" w:tentative="0">
      <w:start w:val="1"/>
      <w:numFmt w:val="upperLetter"/>
      <w:suff w:val="space"/>
      <w:lvlText w:val="%1."/>
      <w:lvlJc w:val="left"/>
    </w:lvl>
  </w:abstractNum>
  <w:abstractNum w:abstractNumId="16">
    <w:nsid w:val="49EF5006"/>
    <w:multiLevelType w:val="singleLevel"/>
    <w:tmpl w:val="49EF5006"/>
    <w:lvl w:ilvl="0" w:tentative="0">
      <w:start w:val="2"/>
      <w:numFmt w:val="upperLetter"/>
      <w:suff w:val="space"/>
      <w:lvlText w:val="%1."/>
      <w:lvlJc w:val="left"/>
    </w:lvl>
  </w:abstractNum>
  <w:abstractNum w:abstractNumId="17">
    <w:nsid w:val="557A8CEE"/>
    <w:multiLevelType w:val="singleLevel"/>
    <w:tmpl w:val="557A8CEE"/>
    <w:lvl w:ilvl="0" w:tentative="0">
      <w:start w:val="1"/>
      <w:numFmt w:val="decimal"/>
      <w:suff w:val="nothing"/>
      <w:lvlText w:val="（%1）"/>
      <w:lvlJc w:val="left"/>
    </w:lvl>
  </w:abstractNum>
  <w:abstractNum w:abstractNumId="18">
    <w:nsid w:val="58FEF073"/>
    <w:multiLevelType w:val="singleLevel"/>
    <w:tmpl w:val="58FEF073"/>
    <w:lvl w:ilvl="0" w:tentative="0">
      <w:start w:val="2"/>
      <w:numFmt w:val="decimal"/>
      <w:suff w:val="nothing"/>
      <w:lvlText w:val="%1、"/>
      <w:lvlJc w:val="left"/>
    </w:lvl>
  </w:abstractNum>
  <w:abstractNum w:abstractNumId="19">
    <w:nsid w:val="62667D2C"/>
    <w:multiLevelType w:val="singleLevel"/>
    <w:tmpl w:val="62667D2C"/>
    <w:lvl w:ilvl="0" w:tentative="0">
      <w:start w:val="2"/>
      <w:numFmt w:val="decimal"/>
      <w:suff w:val="nothing"/>
      <w:lvlText w:val="（%1）"/>
      <w:lvlJc w:val="left"/>
    </w:lvl>
  </w:abstractNum>
  <w:abstractNum w:abstractNumId="20">
    <w:nsid w:val="653A23E1"/>
    <w:multiLevelType w:val="singleLevel"/>
    <w:tmpl w:val="653A23E1"/>
    <w:lvl w:ilvl="0" w:tentative="0">
      <w:start w:val="2"/>
      <w:numFmt w:val="decimal"/>
      <w:suff w:val="nothing"/>
      <w:lvlText w:val="%1、"/>
      <w:lvlJc w:val="left"/>
    </w:lvl>
  </w:abstractNum>
  <w:abstractNum w:abstractNumId="21">
    <w:nsid w:val="65D4F719"/>
    <w:multiLevelType w:val="singleLevel"/>
    <w:tmpl w:val="65D4F719"/>
    <w:lvl w:ilvl="0" w:tentative="0">
      <w:start w:val="2"/>
      <w:numFmt w:val="decimal"/>
      <w:suff w:val="nothing"/>
      <w:lvlText w:val="%1、"/>
      <w:lvlJc w:val="left"/>
    </w:lvl>
  </w:abstractNum>
  <w:abstractNum w:abstractNumId="22">
    <w:nsid w:val="65F1C322"/>
    <w:multiLevelType w:val="singleLevel"/>
    <w:tmpl w:val="65F1C322"/>
    <w:lvl w:ilvl="0" w:tentative="0">
      <w:start w:val="1"/>
      <w:numFmt w:val="chineseCounting"/>
      <w:suff w:val="nothing"/>
      <w:lvlText w:val="（%1）"/>
      <w:lvlJc w:val="left"/>
      <w:rPr>
        <w:rFonts w:hint="eastAsia"/>
      </w:rPr>
    </w:lvl>
  </w:abstractNum>
  <w:abstractNum w:abstractNumId="23">
    <w:nsid w:val="6980D33C"/>
    <w:multiLevelType w:val="singleLevel"/>
    <w:tmpl w:val="6980D33C"/>
    <w:lvl w:ilvl="0" w:tentative="0">
      <w:start w:val="1"/>
      <w:numFmt w:val="decimal"/>
      <w:suff w:val="nothing"/>
      <w:lvlText w:val="%1、"/>
      <w:lvlJc w:val="left"/>
      <w:pPr>
        <w:tabs>
          <w:tab w:val="left" w:pos="0"/>
        </w:tabs>
        <w:ind w:left="0" w:firstLine="420"/>
      </w:pPr>
      <w:rPr>
        <w:rFonts w:hint="default"/>
      </w:rPr>
    </w:lvl>
  </w:abstractNum>
  <w:abstractNum w:abstractNumId="24">
    <w:nsid w:val="6ABE7C6F"/>
    <w:multiLevelType w:val="singleLevel"/>
    <w:tmpl w:val="6ABE7C6F"/>
    <w:lvl w:ilvl="0" w:tentative="0">
      <w:start w:val="2"/>
      <w:numFmt w:val="decimal"/>
      <w:suff w:val="nothing"/>
      <w:lvlText w:val="%1、"/>
      <w:lvlJc w:val="left"/>
    </w:lvl>
  </w:abstractNum>
  <w:abstractNum w:abstractNumId="25">
    <w:nsid w:val="742C58B8"/>
    <w:multiLevelType w:val="singleLevel"/>
    <w:tmpl w:val="742C58B8"/>
    <w:lvl w:ilvl="0" w:tentative="0">
      <w:start w:val="1"/>
      <w:numFmt w:val="decimalEnclosedCircleChinese"/>
      <w:suff w:val="space"/>
      <w:lvlText w:val="%1"/>
      <w:lvlJc w:val="left"/>
      <w:rPr>
        <w:rFonts w:hint="eastAsia"/>
      </w:rPr>
    </w:lvl>
  </w:abstractNum>
  <w:num w:numId="1">
    <w:abstractNumId w:val="6"/>
  </w:num>
  <w:num w:numId="2">
    <w:abstractNumId w:val="19"/>
  </w:num>
  <w:num w:numId="3">
    <w:abstractNumId w:val="4"/>
  </w:num>
  <w:num w:numId="4">
    <w:abstractNumId w:val="22"/>
  </w:num>
  <w:num w:numId="5">
    <w:abstractNumId w:val="13"/>
  </w:num>
  <w:num w:numId="6">
    <w:abstractNumId w:val="1"/>
  </w:num>
  <w:num w:numId="7">
    <w:abstractNumId w:val="9"/>
  </w:num>
  <w:num w:numId="8">
    <w:abstractNumId w:val="23"/>
  </w:num>
  <w:num w:numId="9">
    <w:abstractNumId w:val="25"/>
  </w:num>
  <w:num w:numId="10">
    <w:abstractNumId w:val="18"/>
  </w:num>
  <w:num w:numId="11">
    <w:abstractNumId w:val="12"/>
  </w:num>
  <w:num w:numId="12">
    <w:abstractNumId w:val="14"/>
  </w:num>
  <w:num w:numId="13">
    <w:abstractNumId w:val="11"/>
  </w:num>
  <w:num w:numId="14">
    <w:abstractNumId w:val="20"/>
  </w:num>
  <w:num w:numId="15">
    <w:abstractNumId w:val="8"/>
  </w:num>
  <w:num w:numId="16">
    <w:abstractNumId w:val="24"/>
  </w:num>
  <w:num w:numId="17">
    <w:abstractNumId w:val="17"/>
  </w:num>
  <w:num w:numId="18">
    <w:abstractNumId w:val="2"/>
  </w:num>
  <w:num w:numId="19">
    <w:abstractNumId w:val="7"/>
  </w:num>
  <w:num w:numId="20">
    <w:abstractNumId w:val="0"/>
  </w:num>
  <w:num w:numId="21">
    <w:abstractNumId w:val="10"/>
  </w:num>
  <w:num w:numId="22">
    <w:abstractNumId w:val="3"/>
  </w:num>
  <w:num w:numId="23">
    <w:abstractNumId w:val="21"/>
  </w:num>
  <w:num w:numId="24">
    <w:abstractNumId w:val="5"/>
  </w:num>
  <w:num w:numId="25">
    <w:abstractNumId w:val="1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2MWQzNDMyNzA2MjhlMzA3ZWQzOWM1ODQwMTI5NzUifQ=="/>
  </w:docVars>
  <w:rsids>
    <w:rsidRoot w:val="00172A27"/>
    <w:rsid w:val="00000046"/>
    <w:rsid w:val="00003148"/>
    <w:rsid w:val="00004B8F"/>
    <w:rsid w:val="00005D17"/>
    <w:rsid w:val="00005D90"/>
    <w:rsid w:val="000060B3"/>
    <w:rsid w:val="00006A88"/>
    <w:rsid w:val="00012611"/>
    <w:rsid w:val="000156BF"/>
    <w:rsid w:val="00016E4C"/>
    <w:rsid w:val="00020092"/>
    <w:rsid w:val="00020685"/>
    <w:rsid w:val="00023E81"/>
    <w:rsid w:val="0002480F"/>
    <w:rsid w:val="0002688F"/>
    <w:rsid w:val="00032291"/>
    <w:rsid w:val="000326EE"/>
    <w:rsid w:val="0003395D"/>
    <w:rsid w:val="00034170"/>
    <w:rsid w:val="00036816"/>
    <w:rsid w:val="00041988"/>
    <w:rsid w:val="0004364B"/>
    <w:rsid w:val="00044953"/>
    <w:rsid w:val="00044E55"/>
    <w:rsid w:val="00045F3F"/>
    <w:rsid w:val="00047108"/>
    <w:rsid w:val="00047D12"/>
    <w:rsid w:val="00055794"/>
    <w:rsid w:val="0005585D"/>
    <w:rsid w:val="00060A21"/>
    <w:rsid w:val="00061A46"/>
    <w:rsid w:val="00061B1F"/>
    <w:rsid w:val="0006653A"/>
    <w:rsid w:val="00066F93"/>
    <w:rsid w:val="000733C4"/>
    <w:rsid w:val="0007358C"/>
    <w:rsid w:val="00073987"/>
    <w:rsid w:val="00074577"/>
    <w:rsid w:val="00074783"/>
    <w:rsid w:val="00075114"/>
    <w:rsid w:val="00076599"/>
    <w:rsid w:val="0008070B"/>
    <w:rsid w:val="000810AC"/>
    <w:rsid w:val="00081A02"/>
    <w:rsid w:val="00081F9C"/>
    <w:rsid w:val="00082231"/>
    <w:rsid w:val="00082B42"/>
    <w:rsid w:val="00083234"/>
    <w:rsid w:val="000841D1"/>
    <w:rsid w:val="000848A6"/>
    <w:rsid w:val="00085B1E"/>
    <w:rsid w:val="000860F9"/>
    <w:rsid w:val="0008739B"/>
    <w:rsid w:val="00087BDA"/>
    <w:rsid w:val="00092007"/>
    <w:rsid w:val="00092D38"/>
    <w:rsid w:val="0009377B"/>
    <w:rsid w:val="000964EC"/>
    <w:rsid w:val="00097247"/>
    <w:rsid w:val="00097463"/>
    <w:rsid w:val="000975C4"/>
    <w:rsid w:val="00097A1D"/>
    <w:rsid w:val="000A20C9"/>
    <w:rsid w:val="000A549F"/>
    <w:rsid w:val="000A751E"/>
    <w:rsid w:val="000A761A"/>
    <w:rsid w:val="000B058F"/>
    <w:rsid w:val="000B1333"/>
    <w:rsid w:val="000B4467"/>
    <w:rsid w:val="000B4A78"/>
    <w:rsid w:val="000B4DB9"/>
    <w:rsid w:val="000B6BA3"/>
    <w:rsid w:val="000C09AC"/>
    <w:rsid w:val="000C673F"/>
    <w:rsid w:val="000C6811"/>
    <w:rsid w:val="000C767F"/>
    <w:rsid w:val="000D02F9"/>
    <w:rsid w:val="000D2471"/>
    <w:rsid w:val="000D326B"/>
    <w:rsid w:val="000D45E6"/>
    <w:rsid w:val="000D583B"/>
    <w:rsid w:val="000D5A44"/>
    <w:rsid w:val="000D62A7"/>
    <w:rsid w:val="000D7070"/>
    <w:rsid w:val="000E0CF3"/>
    <w:rsid w:val="000E1616"/>
    <w:rsid w:val="000E1B99"/>
    <w:rsid w:val="000E2722"/>
    <w:rsid w:val="000E3ED2"/>
    <w:rsid w:val="000E458E"/>
    <w:rsid w:val="000E4C6F"/>
    <w:rsid w:val="000F13CA"/>
    <w:rsid w:val="000F1C34"/>
    <w:rsid w:val="000F2517"/>
    <w:rsid w:val="000F4A07"/>
    <w:rsid w:val="000F7F4E"/>
    <w:rsid w:val="001021AB"/>
    <w:rsid w:val="00104347"/>
    <w:rsid w:val="00105792"/>
    <w:rsid w:val="001073A8"/>
    <w:rsid w:val="0011115B"/>
    <w:rsid w:val="0011265C"/>
    <w:rsid w:val="00114E2A"/>
    <w:rsid w:val="00114ED4"/>
    <w:rsid w:val="001155A2"/>
    <w:rsid w:val="0011572C"/>
    <w:rsid w:val="00116AC7"/>
    <w:rsid w:val="001228F0"/>
    <w:rsid w:val="00123C01"/>
    <w:rsid w:val="00123D7E"/>
    <w:rsid w:val="001247F5"/>
    <w:rsid w:val="00125739"/>
    <w:rsid w:val="00126F63"/>
    <w:rsid w:val="0013032D"/>
    <w:rsid w:val="00131F42"/>
    <w:rsid w:val="0013435A"/>
    <w:rsid w:val="00134D64"/>
    <w:rsid w:val="001357F1"/>
    <w:rsid w:val="00140FA8"/>
    <w:rsid w:val="00142FEB"/>
    <w:rsid w:val="00143693"/>
    <w:rsid w:val="00143A2D"/>
    <w:rsid w:val="00144231"/>
    <w:rsid w:val="00145A41"/>
    <w:rsid w:val="00145B0E"/>
    <w:rsid w:val="00151675"/>
    <w:rsid w:val="00153830"/>
    <w:rsid w:val="00154291"/>
    <w:rsid w:val="0015544B"/>
    <w:rsid w:val="00157435"/>
    <w:rsid w:val="001612B1"/>
    <w:rsid w:val="00162316"/>
    <w:rsid w:val="001625C7"/>
    <w:rsid w:val="00163E73"/>
    <w:rsid w:val="0016418C"/>
    <w:rsid w:val="00164314"/>
    <w:rsid w:val="00165C9D"/>
    <w:rsid w:val="00165DD1"/>
    <w:rsid w:val="00166D33"/>
    <w:rsid w:val="00167CEC"/>
    <w:rsid w:val="00170395"/>
    <w:rsid w:val="001705A6"/>
    <w:rsid w:val="00171E00"/>
    <w:rsid w:val="00172DBD"/>
    <w:rsid w:val="0017504D"/>
    <w:rsid w:val="0017574B"/>
    <w:rsid w:val="0017671A"/>
    <w:rsid w:val="00176C54"/>
    <w:rsid w:val="00177422"/>
    <w:rsid w:val="0017773B"/>
    <w:rsid w:val="0017799B"/>
    <w:rsid w:val="00182236"/>
    <w:rsid w:val="0018268A"/>
    <w:rsid w:val="00184590"/>
    <w:rsid w:val="0018571D"/>
    <w:rsid w:val="001870D1"/>
    <w:rsid w:val="001877CF"/>
    <w:rsid w:val="0018781E"/>
    <w:rsid w:val="00187D0F"/>
    <w:rsid w:val="001906C9"/>
    <w:rsid w:val="0019262D"/>
    <w:rsid w:val="00195901"/>
    <w:rsid w:val="00195AAC"/>
    <w:rsid w:val="00197611"/>
    <w:rsid w:val="001978C2"/>
    <w:rsid w:val="00197CB8"/>
    <w:rsid w:val="001A0092"/>
    <w:rsid w:val="001A1B35"/>
    <w:rsid w:val="001A2CA2"/>
    <w:rsid w:val="001A2DF0"/>
    <w:rsid w:val="001A48A2"/>
    <w:rsid w:val="001A4F0C"/>
    <w:rsid w:val="001A5739"/>
    <w:rsid w:val="001A6B14"/>
    <w:rsid w:val="001A6F61"/>
    <w:rsid w:val="001B0D76"/>
    <w:rsid w:val="001B31BB"/>
    <w:rsid w:val="001B3B1E"/>
    <w:rsid w:val="001B55E5"/>
    <w:rsid w:val="001B5C30"/>
    <w:rsid w:val="001B72B8"/>
    <w:rsid w:val="001C0227"/>
    <w:rsid w:val="001C06E0"/>
    <w:rsid w:val="001C0C3C"/>
    <w:rsid w:val="001C1815"/>
    <w:rsid w:val="001C3422"/>
    <w:rsid w:val="001C56E7"/>
    <w:rsid w:val="001C5BC9"/>
    <w:rsid w:val="001C69B3"/>
    <w:rsid w:val="001D0FCF"/>
    <w:rsid w:val="001D23B3"/>
    <w:rsid w:val="001D3E85"/>
    <w:rsid w:val="001D3FDB"/>
    <w:rsid w:val="001D5595"/>
    <w:rsid w:val="001D6A2B"/>
    <w:rsid w:val="001D6D48"/>
    <w:rsid w:val="001D7387"/>
    <w:rsid w:val="001D7874"/>
    <w:rsid w:val="001D7E79"/>
    <w:rsid w:val="001D7F22"/>
    <w:rsid w:val="001E1393"/>
    <w:rsid w:val="001E3F9E"/>
    <w:rsid w:val="001E675B"/>
    <w:rsid w:val="001F09A8"/>
    <w:rsid w:val="001F0F17"/>
    <w:rsid w:val="001F3347"/>
    <w:rsid w:val="001F64D4"/>
    <w:rsid w:val="001F69E4"/>
    <w:rsid w:val="001F6D1F"/>
    <w:rsid w:val="00202BAB"/>
    <w:rsid w:val="00205D1A"/>
    <w:rsid w:val="00206ADB"/>
    <w:rsid w:val="0021039F"/>
    <w:rsid w:val="00210947"/>
    <w:rsid w:val="00210ED8"/>
    <w:rsid w:val="002125B4"/>
    <w:rsid w:val="0021497A"/>
    <w:rsid w:val="00214EA5"/>
    <w:rsid w:val="002155B8"/>
    <w:rsid w:val="0021583A"/>
    <w:rsid w:val="00216591"/>
    <w:rsid w:val="00216E1D"/>
    <w:rsid w:val="002176FD"/>
    <w:rsid w:val="00220364"/>
    <w:rsid w:val="00221C66"/>
    <w:rsid w:val="002232A2"/>
    <w:rsid w:val="00224576"/>
    <w:rsid w:val="00224839"/>
    <w:rsid w:val="002249B2"/>
    <w:rsid w:val="002263C9"/>
    <w:rsid w:val="00226574"/>
    <w:rsid w:val="002278EC"/>
    <w:rsid w:val="0023280E"/>
    <w:rsid w:val="00233E4A"/>
    <w:rsid w:val="00236FBD"/>
    <w:rsid w:val="002377D1"/>
    <w:rsid w:val="00240DB3"/>
    <w:rsid w:val="002418CC"/>
    <w:rsid w:val="00241C9C"/>
    <w:rsid w:val="00242D83"/>
    <w:rsid w:val="0024376F"/>
    <w:rsid w:val="00244242"/>
    <w:rsid w:val="00246049"/>
    <w:rsid w:val="00246E62"/>
    <w:rsid w:val="00246E68"/>
    <w:rsid w:val="00247B5B"/>
    <w:rsid w:val="00247D20"/>
    <w:rsid w:val="002506BC"/>
    <w:rsid w:val="00253ACA"/>
    <w:rsid w:val="00254345"/>
    <w:rsid w:val="00255C1A"/>
    <w:rsid w:val="0025734D"/>
    <w:rsid w:val="00260BB0"/>
    <w:rsid w:val="002610D4"/>
    <w:rsid w:val="0026154C"/>
    <w:rsid w:val="00263ABD"/>
    <w:rsid w:val="00264557"/>
    <w:rsid w:val="002704E1"/>
    <w:rsid w:val="00270CF1"/>
    <w:rsid w:val="00271014"/>
    <w:rsid w:val="002713BA"/>
    <w:rsid w:val="00272850"/>
    <w:rsid w:val="0027326C"/>
    <w:rsid w:val="00273666"/>
    <w:rsid w:val="00275E8B"/>
    <w:rsid w:val="00277785"/>
    <w:rsid w:val="002805AB"/>
    <w:rsid w:val="00280622"/>
    <w:rsid w:val="00281A11"/>
    <w:rsid w:val="00284204"/>
    <w:rsid w:val="002847FD"/>
    <w:rsid w:val="00291773"/>
    <w:rsid w:val="002924D0"/>
    <w:rsid w:val="00292951"/>
    <w:rsid w:val="002929F0"/>
    <w:rsid w:val="002944F6"/>
    <w:rsid w:val="002A0811"/>
    <w:rsid w:val="002A168C"/>
    <w:rsid w:val="002A353D"/>
    <w:rsid w:val="002A3D8A"/>
    <w:rsid w:val="002A3DC7"/>
    <w:rsid w:val="002A59ED"/>
    <w:rsid w:val="002A7F52"/>
    <w:rsid w:val="002B1EC7"/>
    <w:rsid w:val="002B2F2D"/>
    <w:rsid w:val="002B49E2"/>
    <w:rsid w:val="002B642A"/>
    <w:rsid w:val="002B7B00"/>
    <w:rsid w:val="002B7C44"/>
    <w:rsid w:val="002C09C5"/>
    <w:rsid w:val="002C2B17"/>
    <w:rsid w:val="002C2E53"/>
    <w:rsid w:val="002C41C8"/>
    <w:rsid w:val="002C686E"/>
    <w:rsid w:val="002C7CD8"/>
    <w:rsid w:val="002D0275"/>
    <w:rsid w:val="002D0ED7"/>
    <w:rsid w:val="002D21B0"/>
    <w:rsid w:val="002D3219"/>
    <w:rsid w:val="002D3DD0"/>
    <w:rsid w:val="002E1F3A"/>
    <w:rsid w:val="002E21DB"/>
    <w:rsid w:val="002E298A"/>
    <w:rsid w:val="002E3CB8"/>
    <w:rsid w:val="002E4A66"/>
    <w:rsid w:val="002E5A78"/>
    <w:rsid w:val="002E60CA"/>
    <w:rsid w:val="002E6170"/>
    <w:rsid w:val="002E6958"/>
    <w:rsid w:val="002E6A41"/>
    <w:rsid w:val="002E6E37"/>
    <w:rsid w:val="002F1E5B"/>
    <w:rsid w:val="002F208C"/>
    <w:rsid w:val="002F66DF"/>
    <w:rsid w:val="002F7FF6"/>
    <w:rsid w:val="00300B58"/>
    <w:rsid w:val="00301978"/>
    <w:rsid w:val="003029DD"/>
    <w:rsid w:val="0030332C"/>
    <w:rsid w:val="003051C2"/>
    <w:rsid w:val="003056DE"/>
    <w:rsid w:val="00306052"/>
    <w:rsid w:val="003064AC"/>
    <w:rsid w:val="00306BF8"/>
    <w:rsid w:val="0031110D"/>
    <w:rsid w:val="00311708"/>
    <w:rsid w:val="00312296"/>
    <w:rsid w:val="00313160"/>
    <w:rsid w:val="00314F0E"/>
    <w:rsid w:val="0031535E"/>
    <w:rsid w:val="003156B2"/>
    <w:rsid w:val="00315D51"/>
    <w:rsid w:val="003164B1"/>
    <w:rsid w:val="00317C56"/>
    <w:rsid w:val="0032147A"/>
    <w:rsid w:val="00321D8E"/>
    <w:rsid w:val="00322DA9"/>
    <w:rsid w:val="00322DE0"/>
    <w:rsid w:val="00322F59"/>
    <w:rsid w:val="00322FCC"/>
    <w:rsid w:val="00325928"/>
    <w:rsid w:val="00325EE3"/>
    <w:rsid w:val="00327E0C"/>
    <w:rsid w:val="0033050B"/>
    <w:rsid w:val="0033068C"/>
    <w:rsid w:val="00330861"/>
    <w:rsid w:val="003316C3"/>
    <w:rsid w:val="00332863"/>
    <w:rsid w:val="00332EF2"/>
    <w:rsid w:val="00334187"/>
    <w:rsid w:val="00334BB0"/>
    <w:rsid w:val="0033684D"/>
    <w:rsid w:val="00337B42"/>
    <w:rsid w:val="00341B42"/>
    <w:rsid w:val="0034348F"/>
    <w:rsid w:val="003457B9"/>
    <w:rsid w:val="003462E3"/>
    <w:rsid w:val="00351AA5"/>
    <w:rsid w:val="0035390F"/>
    <w:rsid w:val="00356653"/>
    <w:rsid w:val="0035743F"/>
    <w:rsid w:val="00357956"/>
    <w:rsid w:val="00357BE2"/>
    <w:rsid w:val="0036170C"/>
    <w:rsid w:val="00362AC3"/>
    <w:rsid w:val="00363A43"/>
    <w:rsid w:val="00364BC3"/>
    <w:rsid w:val="00365A42"/>
    <w:rsid w:val="00366E0F"/>
    <w:rsid w:val="00370CD3"/>
    <w:rsid w:val="00373CF3"/>
    <w:rsid w:val="00374AC9"/>
    <w:rsid w:val="00375761"/>
    <w:rsid w:val="00377268"/>
    <w:rsid w:val="00380C4A"/>
    <w:rsid w:val="00381A72"/>
    <w:rsid w:val="00381F50"/>
    <w:rsid w:val="00382FBA"/>
    <w:rsid w:val="003830FF"/>
    <w:rsid w:val="00383162"/>
    <w:rsid w:val="00383EF7"/>
    <w:rsid w:val="00384396"/>
    <w:rsid w:val="00384676"/>
    <w:rsid w:val="00384CE9"/>
    <w:rsid w:val="00390857"/>
    <w:rsid w:val="00392836"/>
    <w:rsid w:val="00395FEE"/>
    <w:rsid w:val="00396E9F"/>
    <w:rsid w:val="0039787F"/>
    <w:rsid w:val="00397DCB"/>
    <w:rsid w:val="003A01EC"/>
    <w:rsid w:val="003A3A6F"/>
    <w:rsid w:val="003A4BF3"/>
    <w:rsid w:val="003B0253"/>
    <w:rsid w:val="003B1051"/>
    <w:rsid w:val="003B1912"/>
    <w:rsid w:val="003B23AD"/>
    <w:rsid w:val="003B2B66"/>
    <w:rsid w:val="003B420D"/>
    <w:rsid w:val="003C0FB6"/>
    <w:rsid w:val="003C211F"/>
    <w:rsid w:val="003C36EF"/>
    <w:rsid w:val="003C4CD2"/>
    <w:rsid w:val="003C6C16"/>
    <w:rsid w:val="003C6F73"/>
    <w:rsid w:val="003D49F5"/>
    <w:rsid w:val="003D5E9F"/>
    <w:rsid w:val="003D64EB"/>
    <w:rsid w:val="003D794D"/>
    <w:rsid w:val="003E1C2E"/>
    <w:rsid w:val="003E1F34"/>
    <w:rsid w:val="003E2476"/>
    <w:rsid w:val="003E2EFE"/>
    <w:rsid w:val="003E2F09"/>
    <w:rsid w:val="003E3058"/>
    <w:rsid w:val="003E4BC6"/>
    <w:rsid w:val="003E6BF2"/>
    <w:rsid w:val="003E6FC8"/>
    <w:rsid w:val="003E76A9"/>
    <w:rsid w:val="003F0809"/>
    <w:rsid w:val="003F0EA2"/>
    <w:rsid w:val="003F227D"/>
    <w:rsid w:val="003F2D47"/>
    <w:rsid w:val="003F4674"/>
    <w:rsid w:val="003F6A8C"/>
    <w:rsid w:val="003F7460"/>
    <w:rsid w:val="003F755C"/>
    <w:rsid w:val="003F7EF7"/>
    <w:rsid w:val="004006C5"/>
    <w:rsid w:val="00400F39"/>
    <w:rsid w:val="00403ADC"/>
    <w:rsid w:val="0040454E"/>
    <w:rsid w:val="00405260"/>
    <w:rsid w:val="00406F01"/>
    <w:rsid w:val="004076E1"/>
    <w:rsid w:val="00407A30"/>
    <w:rsid w:val="00414992"/>
    <w:rsid w:val="0041561E"/>
    <w:rsid w:val="0041660F"/>
    <w:rsid w:val="00416D50"/>
    <w:rsid w:val="00416FD5"/>
    <w:rsid w:val="00417772"/>
    <w:rsid w:val="00417B77"/>
    <w:rsid w:val="00420E6A"/>
    <w:rsid w:val="004255F9"/>
    <w:rsid w:val="00425A9E"/>
    <w:rsid w:val="00426D6B"/>
    <w:rsid w:val="00427B8D"/>
    <w:rsid w:val="00430382"/>
    <w:rsid w:val="004307EF"/>
    <w:rsid w:val="00430EFB"/>
    <w:rsid w:val="004311BE"/>
    <w:rsid w:val="00431E6C"/>
    <w:rsid w:val="00433309"/>
    <w:rsid w:val="00433CE7"/>
    <w:rsid w:val="00434A53"/>
    <w:rsid w:val="00435867"/>
    <w:rsid w:val="0043675E"/>
    <w:rsid w:val="004368FD"/>
    <w:rsid w:val="00441AE6"/>
    <w:rsid w:val="004435E9"/>
    <w:rsid w:val="0044437F"/>
    <w:rsid w:val="004461F9"/>
    <w:rsid w:val="00451E01"/>
    <w:rsid w:val="00452738"/>
    <w:rsid w:val="00456091"/>
    <w:rsid w:val="0045657D"/>
    <w:rsid w:val="004573EC"/>
    <w:rsid w:val="00457B13"/>
    <w:rsid w:val="0046199A"/>
    <w:rsid w:val="00461FF7"/>
    <w:rsid w:val="00464CCB"/>
    <w:rsid w:val="00465678"/>
    <w:rsid w:val="00466321"/>
    <w:rsid w:val="00466A69"/>
    <w:rsid w:val="00471A80"/>
    <w:rsid w:val="00473767"/>
    <w:rsid w:val="00473A8F"/>
    <w:rsid w:val="00477502"/>
    <w:rsid w:val="0048028D"/>
    <w:rsid w:val="004810D4"/>
    <w:rsid w:val="00484B9B"/>
    <w:rsid w:val="00484F83"/>
    <w:rsid w:val="004855F6"/>
    <w:rsid w:val="0048661E"/>
    <w:rsid w:val="00487905"/>
    <w:rsid w:val="00490807"/>
    <w:rsid w:val="00490E00"/>
    <w:rsid w:val="004914D4"/>
    <w:rsid w:val="00492A05"/>
    <w:rsid w:val="00494670"/>
    <w:rsid w:val="00495710"/>
    <w:rsid w:val="00496180"/>
    <w:rsid w:val="004965EF"/>
    <w:rsid w:val="004A0487"/>
    <w:rsid w:val="004A04FB"/>
    <w:rsid w:val="004A1940"/>
    <w:rsid w:val="004A1BB2"/>
    <w:rsid w:val="004A30FD"/>
    <w:rsid w:val="004A31A3"/>
    <w:rsid w:val="004A3823"/>
    <w:rsid w:val="004A6288"/>
    <w:rsid w:val="004A725C"/>
    <w:rsid w:val="004B125C"/>
    <w:rsid w:val="004B245E"/>
    <w:rsid w:val="004B2F26"/>
    <w:rsid w:val="004B4ED2"/>
    <w:rsid w:val="004B5955"/>
    <w:rsid w:val="004B5F08"/>
    <w:rsid w:val="004B6E40"/>
    <w:rsid w:val="004B6FF5"/>
    <w:rsid w:val="004C0E98"/>
    <w:rsid w:val="004C198C"/>
    <w:rsid w:val="004C47FD"/>
    <w:rsid w:val="004D0C2A"/>
    <w:rsid w:val="004D1237"/>
    <w:rsid w:val="004D140B"/>
    <w:rsid w:val="004D3766"/>
    <w:rsid w:val="004D5652"/>
    <w:rsid w:val="004D601E"/>
    <w:rsid w:val="004E1DEE"/>
    <w:rsid w:val="004E1ED2"/>
    <w:rsid w:val="004E223D"/>
    <w:rsid w:val="004E2ABB"/>
    <w:rsid w:val="004E3128"/>
    <w:rsid w:val="004E3780"/>
    <w:rsid w:val="004E4B73"/>
    <w:rsid w:val="004E6946"/>
    <w:rsid w:val="004E6E8D"/>
    <w:rsid w:val="004F0192"/>
    <w:rsid w:val="004F15D6"/>
    <w:rsid w:val="004F1AD8"/>
    <w:rsid w:val="004F2710"/>
    <w:rsid w:val="004F400D"/>
    <w:rsid w:val="004F4048"/>
    <w:rsid w:val="004F490E"/>
    <w:rsid w:val="004F496E"/>
    <w:rsid w:val="005000BC"/>
    <w:rsid w:val="005021D2"/>
    <w:rsid w:val="00502390"/>
    <w:rsid w:val="005026F1"/>
    <w:rsid w:val="005029AA"/>
    <w:rsid w:val="005029FB"/>
    <w:rsid w:val="005030F4"/>
    <w:rsid w:val="0050355E"/>
    <w:rsid w:val="005039CB"/>
    <w:rsid w:val="00504613"/>
    <w:rsid w:val="00505003"/>
    <w:rsid w:val="0050558F"/>
    <w:rsid w:val="00505C13"/>
    <w:rsid w:val="00506286"/>
    <w:rsid w:val="00506B68"/>
    <w:rsid w:val="00506C06"/>
    <w:rsid w:val="00510813"/>
    <w:rsid w:val="00511505"/>
    <w:rsid w:val="00511990"/>
    <w:rsid w:val="00511DE0"/>
    <w:rsid w:val="00513695"/>
    <w:rsid w:val="00514870"/>
    <w:rsid w:val="00514B9B"/>
    <w:rsid w:val="00515F59"/>
    <w:rsid w:val="00517C1A"/>
    <w:rsid w:val="00517E11"/>
    <w:rsid w:val="00517F02"/>
    <w:rsid w:val="00520B9B"/>
    <w:rsid w:val="00521116"/>
    <w:rsid w:val="00521E42"/>
    <w:rsid w:val="005241F1"/>
    <w:rsid w:val="00524303"/>
    <w:rsid w:val="00524C99"/>
    <w:rsid w:val="005253B5"/>
    <w:rsid w:val="00525893"/>
    <w:rsid w:val="005258A2"/>
    <w:rsid w:val="0052762F"/>
    <w:rsid w:val="0053202A"/>
    <w:rsid w:val="00532088"/>
    <w:rsid w:val="00533315"/>
    <w:rsid w:val="00535F98"/>
    <w:rsid w:val="005401AE"/>
    <w:rsid w:val="00540D96"/>
    <w:rsid w:val="005414EC"/>
    <w:rsid w:val="00541F46"/>
    <w:rsid w:val="00542C27"/>
    <w:rsid w:val="00542E07"/>
    <w:rsid w:val="00543F88"/>
    <w:rsid w:val="00544A25"/>
    <w:rsid w:val="00544DEE"/>
    <w:rsid w:val="005450AF"/>
    <w:rsid w:val="00545424"/>
    <w:rsid w:val="0055209B"/>
    <w:rsid w:val="00554A7B"/>
    <w:rsid w:val="00554C2C"/>
    <w:rsid w:val="00555135"/>
    <w:rsid w:val="0055572C"/>
    <w:rsid w:val="00556818"/>
    <w:rsid w:val="00556960"/>
    <w:rsid w:val="00560406"/>
    <w:rsid w:val="0056106A"/>
    <w:rsid w:val="005625B6"/>
    <w:rsid w:val="00565F65"/>
    <w:rsid w:val="00567B1C"/>
    <w:rsid w:val="0057163E"/>
    <w:rsid w:val="005720AE"/>
    <w:rsid w:val="00574296"/>
    <w:rsid w:val="00574B0B"/>
    <w:rsid w:val="0057559E"/>
    <w:rsid w:val="0058051D"/>
    <w:rsid w:val="00581CC0"/>
    <w:rsid w:val="00583020"/>
    <w:rsid w:val="00585155"/>
    <w:rsid w:val="005868D3"/>
    <w:rsid w:val="0058779C"/>
    <w:rsid w:val="00587C47"/>
    <w:rsid w:val="00587F64"/>
    <w:rsid w:val="005913ED"/>
    <w:rsid w:val="00591E7D"/>
    <w:rsid w:val="005940A3"/>
    <w:rsid w:val="00594D77"/>
    <w:rsid w:val="0059521E"/>
    <w:rsid w:val="00595919"/>
    <w:rsid w:val="00595EB8"/>
    <w:rsid w:val="00596743"/>
    <w:rsid w:val="005969E4"/>
    <w:rsid w:val="00597AF8"/>
    <w:rsid w:val="005A0655"/>
    <w:rsid w:val="005A06B7"/>
    <w:rsid w:val="005A1225"/>
    <w:rsid w:val="005A1759"/>
    <w:rsid w:val="005A1E5E"/>
    <w:rsid w:val="005A2C9F"/>
    <w:rsid w:val="005A4A45"/>
    <w:rsid w:val="005A68A7"/>
    <w:rsid w:val="005A79DF"/>
    <w:rsid w:val="005B123A"/>
    <w:rsid w:val="005B3FA4"/>
    <w:rsid w:val="005B65CE"/>
    <w:rsid w:val="005B780E"/>
    <w:rsid w:val="005C1A26"/>
    <w:rsid w:val="005C3C3F"/>
    <w:rsid w:val="005C4B5A"/>
    <w:rsid w:val="005C5058"/>
    <w:rsid w:val="005C5153"/>
    <w:rsid w:val="005C52AD"/>
    <w:rsid w:val="005C5676"/>
    <w:rsid w:val="005C7817"/>
    <w:rsid w:val="005D2ED9"/>
    <w:rsid w:val="005D3373"/>
    <w:rsid w:val="005D36AB"/>
    <w:rsid w:val="005D4869"/>
    <w:rsid w:val="005D6A64"/>
    <w:rsid w:val="005D74A7"/>
    <w:rsid w:val="005E02AE"/>
    <w:rsid w:val="005E248A"/>
    <w:rsid w:val="005E24E7"/>
    <w:rsid w:val="005E2CBC"/>
    <w:rsid w:val="005E2EB7"/>
    <w:rsid w:val="005E3A05"/>
    <w:rsid w:val="005E4F29"/>
    <w:rsid w:val="005F0B4C"/>
    <w:rsid w:val="005F2F4B"/>
    <w:rsid w:val="005F3168"/>
    <w:rsid w:val="005F5E60"/>
    <w:rsid w:val="005F70C8"/>
    <w:rsid w:val="005F7127"/>
    <w:rsid w:val="0060028F"/>
    <w:rsid w:val="006002D2"/>
    <w:rsid w:val="00600778"/>
    <w:rsid w:val="0060077C"/>
    <w:rsid w:val="00601C22"/>
    <w:rsid w:val="006025AE"/>
    <w:rsid w:val="0060612D"/>
    <w:rsid w:val="006101C5"/>
    <w:rsid w:val="006112B5"/>
    <w:rsid w:val="006119EE"/>
    <w:rsid w:val="00613570"/>
    <w:rsid w:val="00614578"/>
    <w:rsid w:val="00615EAD"/>
    <w:rsid w:val="0061752C"/>
    <w:rsid w:val="00617CC3"/>
    <w:rsid w:val="00621315"/>
    <w:rsid w:val="006217BA"/>
    <w:rsid w:val="00624FD8"/>
    <w:rsid w:val="006252A0"/>
    <w:rsid w:val="00625B2D"/>
    <w:rsid w:val="00630BF9"/>
    <w:rsid w:val="006313B1"/>
    <w:rsid w:val="006335AF"/>
    <w:rsid w:val="00634D39"/>
    <w:rsid w:val="00634FB8"/>
    <w:rsid w:val="006377A6"/>
    <w:rsid w:val="00637A3D"/>
    <w:rsid w:val="00640113"/>
    <w:rsid w:val="00641030"/>
    <w:rsid w:val="006411EF"/>
    <w:rsid w:val="00642EF5"/>
    <w:rsid w:val="006447B5"/>
    <w:rsid w:val="00646E32"/>
    <w:rsid w:val="00647777"/>
    <w:rsid w:val="00650AD4"/>
    <w:rsid w:val="00653AF6"/>
    <w:rsid w:val="006548B4"/>
    <w:rsid w:val="0065723A"/>
    <w:rsid w:val="006576C9"/>
    <w:rsid w:val="0066145E"/>
    <w:rsid w:val="00662156"/>
    <w:rsid w:val="00662335"/>
    <w:rsid w:val="00662C21"/>
    <w:rsid w:val="00663C0D"/>
    <w:rsid w:val="00664533"/>
    <w:rsid w:val="00665069"/>
    <w:rsid w:val="00665946"/>
    <w:rsid w:val="006676CA"/>
    <w:rsid w:val="00667ACA"/>
    <w:rsid w:val="00667C8F"/>
    <w:rsid w:val="00671208"/>
    <w:rsid w:val="00671FB5"/>
    <w:rsid w:val="00672145"/>
    <w:rsid w:val="0067260D"/>
    <w:rsid w:val="006748B8"/>
    <w:rsid w:val="00675838"/>
    <w:rsid w:val="0067722F"/>
    <w:rsid w:val="006775C3"/>
    <w:rsid w:val="00677DB7"/>
    <w:rsid w:val="006806F0"/>
    <w:rsid w:val="006832BA"/>
    <w:rsid w:val="00690D3B"/>
    <w:rsid w:val="0069290A"/>
    <w:rsid w:val="006954B8"/>
    <w:rsid w:val="006955C3"/>
    <w:rsid w:val="00696313"/>
    <w:rsid w:val="0069775A"/>
    <w:rsid w:val="00697813"/>
    <w:rsid w:val="006A0560"/>
    <w:rsid w:val="006A124F"/>
    <w:rsid w:val="006A1A15"/>
    <w:rsid w:val="006A20EB"/>
    <w:rsid w:val="006A331F"/>
    <w:rsid w:val="006A3EE8"/>
    <w:rsid w:val="006A4FE0"/>
    <w:rsid w:val="006A54FB"/>
    <w:rsid w:val="006A67BD"/>
    <w:rsid w:val="006A6C43"/>
    <w:rsid w:val="006A72BF"/>
    <w:rsid w:val="006A73C4"/>
    <w:rsid w:val="006B03F2"/>
    <w:rsid w:val="006B121C"/>
    <w:rsid w:val="006B37DC"/>
    <w:rsid w:val="006B4F68"/>
    <w:rsid w:val="006B60BC"/>
    <w:rsid w:val="006B7547"/>
    <w:rsid w:val="006C02C8"/>
    <w:rsid w:val="006C02D3"/>
    <w:rsid w:val="006C0592"/>
    <w:rsid w:val="006C1354"/>
    <w:rsid w:val="006C1CC0"/>
    <w:rsid w:val="006C1FB0"/>
    <w:rsid w:val="006C272E"/>
    <w:rsid w:val="006C5479"/>
    <w:rsid w:val="006C60BE"/>
    <w:rsid w:val="006D0BD2"/>
    <w:rsid w:val="006D13B5"/>
    <w:rsid w:val="006D2AFA"/>
    <w:rsid w:val="006D474F"/>
    <w:rsid w:val="006D67B0"/>
    <w:rsid w:val="006D7742"/>
    <w:rsid w:val="006D7AA6"/>
    <w:rsid w:val="006E12FF"/>
    <w:rsid w:val="006E311F"/>
    <w:rsid w:val="006E43C8"/>
    <w:rsid w:val="006E51C3"/>
    <w:rsid w:val="006E607E"/>
    <w:rsid w:val="006F03F4"/>
    <w:rsid w:val="006F049C"/>
    <w:rsid w:val="006F07BA"/>
    <w:rsid w:val="006F3477"/>
    <w:rsid w:val="006F3B8A"/>
    <w:rsid w:val="006F49F1"/>
    <w:rsid w:val="00700C32"/>
    <w:rsid w:val="00702F84"/>
    <w:rsid w:val="00706140"/>
    <w:rsid w:val="00706C5D"/>
    <w:rsid w:val="0070781B"/>
    <w:rsid w:val="0071402D"/>
    <w:rsid w:val="007172F1"/>
    <w:rsid w:val="007214AB"/>
    <w:rsid w:val="007240B0"/>
    <w:rsid w:val="007254B6"/>
    <w:rsid w:val="00725DD5"/>
    <w:rsid w:val="007276C9"/>
    <w:rsid w:val="0073000A"/>
    <w:rsid w:val="0073151B"/>
    <w:rsid w:val="0073164B"/>
    <w:rsid w:val="00731E63"/>
    <w:rsid w:val="00732097"/>
    <w:rsid w:val="00732922"/>
    <w:rsid w:val="00734B5C"/>
    <w:rsid w:val="00736955"/>
    <w:rsid w:val="0073766B"/>
    <w:rsid w:val="00745465"/>
    <w:rsid w:val="0074606C"/>
    <w:rsid w:val="007510BA"/>
    <w:rsid w:val="0075162E"/>
    <w:rsid w:val="00753679"/>
    <w:rsid w:val="00753F0B"/>
    <w:rsid w:val="00754034"/>
    <w:rsid w:val="00754B4E"/>
    <w:rsid w:val="00756556"/>
    <w:rsid w:val="0075745E"/>
    <w:rsid w:val="00757F2B"/>
    <w:rsid w:val="007618C4"/>
    <w:rsid w:val="007625D0"/>
    <w:rsid w:val="00767980"/>
    <w:rsid w:val="00770B19"/>
    <w:rsid w:val="00771FE1"/>
    <w:rsid w:val="0077221C"/>
    <w:rsid w:val="00773A12"/>
    <w:rsid w:val="0077463F"/>
    <w:rsid w:val="007746E9"/>
    <w:rsid w:val="00774847"/>
    <w:rsid w:val="00776778"/>
    <w:rsid w:val="00777209"/>
    <w:rsid w:val="00777BFA"/>
    <w:rsid w:val="00780B73"/>
    <w:rsid w:val="007811FD"/>
    <w:rsid w:val="007836EA"/>
    <w:rsid w:val="00783773"/>
    <w:rsid w:val="00784CDA"/>
    <w:rsid w:val="00785658"/>
    <w:rsid w:val="007856D0"/>
    <w:rsid w:val="00785AD3"/>
    <w:rsid w:val="00786FD7"/>
    <w:rsid w:val="0079005B"/>
    <w:rsid w:val="007906C4"/>
    <w:rsid w:val="00793CD1"/>
    <w:rsid w:val="007940EA"/>
    <w:rsid w:val="007961FE"/>
    <w:rsid w:val="007967E8"/>
    <w:rsid w:val="00797218"/>
    <w:rsid w:val="00797D38"/>
    <w:rsid w:val="007A0B4F"/>
    <w:rsid w:val="007A0CF5"/>
    <w:rsid w:val="007A2170"/>
    <w:rsid w:val="007A22BF"/>
    <w:rsid w:val="007A3323"/>
    <w:rsid w:val="007A3A68"/>
    <w:rsid w:val="007A4646"/>
    <w:rsid w:val="007A6E0E"/>
    <w:rsid w:val="007A78A0"/>
    <w:rsid w:val="007A793E"/>
    <w:rsid w:val="007B461E"/>
    <w:rsid w:val="007B4C77"/>
    <w:rsid w:val="007B6A57"/>
    <w:rsid w:val="007B72B8"/>
    <w:rsid w:val="007B7A58"/>
    <w:rsid w:val="007C1507"/>
    <w:rsid w:val="007C21B5"/>
    <w:rsid w:val="007C32A1"/>
    <w:rsid w:val="007C5639"/>
    <w:rsid w:val="007C7D11"/>
    <w:rsid w:val="007D0C9A"/>
    <w:rsid w:val="007D1514"/>
    <w:rsid w:val="007D1F5A"/>
    <w:rsid w:val="007D2C48"/>
    <w:rsid w:val="007D4082"/>
    <w:rsid w:val="007D4761"/>
    <w:rsid w:val="007D65FC"/>
    <w:rsid w:val="007E0373"/>
    <w:rsid w:val="007E307A"/>
    <w:rsid w:val="007E4974"/>
    <w:rsid w:val="007E4BD2"/>
    <w:rsid w:val="007E79DC"/>
    <w:rsid w:val="007F0AB9"/>
    <w:rsid w:val="007F0DC4"/>
    <w:rsid w:val="007F0EE4"/>
    <w:rsid w:val="007F3674"/>
    <w:rsid w:val="007F58B7"/>
    <w:rsid w:val="007F74C2"/>
    <w:rsid w:val="007F77DB"/>
    <w:rsid w:val="00801393"/>
    <w:rsid w:val="008018CB"/>
    <w:rsid w:val="00802F88"/>
    <w:rsid w:val="0080314E"/>
    <w:rsid w:val="00803380"/>
    <w:rsid w:val="00805781"/>
    <w:rsid w:val="00806728"/>
    <w:rsid w:val="008078CE"/>
    <w:rsid w:val="0081140C"/>
    <w:rsid w:val="008127D9"/>
    <w:rsid w:val="0081293E"/>
    <w:rsid w:val="00815465"/>
    <w:rsid w:val="00815861"/>
    <w:rsid w:val="008163E2"/>
    <w:rsid w:val="00816581"/>
    <w:rsid w:val="00817E9A"/>
    <w:rsid w:val="0082021A"/>
    <w:rsid w:val="00820226"/>
    <w:rsid w:val="00820D9B"/>
    <w:rsid w:val="008231C1"/>
    <w:rsid w:val="008238AA"/>
    <w:rsid w:val="00823E0C"/>
    <w:rsid w:val="00823E64"/>
    <w:rsid w:val="00825154"/>
    <w:rsid w:val="00826766"/>
    <w:rsid w:val="008306BD"/>
    <w:rsid w:val="00831A80"/>
    <w:rsid w:val="00833743"/>
    <w:rsid w:val="008340A4"/>
    <w:rsid w:val="0083452A"/>
    <w:rsid w:val="00835559"/>
    <w:rsid w:val="00835B2F"/>
    <w:rsid w:val="00835CE6"/>
    <w:rsid w:val="00835D80"/>
    <w:rsid w:val="0084224B"/>
    <w:rsid w:val="0084392B"/>
    <w:rsid w:val="008452CB"/>
    <w:rsid w:val="0084576A"/>
    <w:rsid w:val="008459A7"/>
    <w:rsid w:val="00847367"/>
    <w:rsid w:val="00850C66"/>
    <w:rsid w:val="00851420"/>
    <w:rsid w:val="00851A54"/>
    <w:rsid w:val="00854047"/>
    <w:rsid w:val="00854060"/>
    <w:rsid w:val="00856CCE"/>
    <w:rsid w:val="008571B8"/>
    <w:rsid w:val="0086066C"/>
    <w:rsid w:val="00863228"/>
    <w:rsid w:val="00863741"/>
    <w:rsid w:val="00867C46"/>
    <w:rsid w:val="00867C76"/>
    <w:rsid w:val="00870109"/>
    <w:rsid w:val="0087135F"/>
    <w:rsid w:val="00872D94"/>
    <w:rsid w:val="00873A58"/>
    <w:rsid w:val="00874879"/>
    <w:rsid w:val="008760ED"/>
    <w:rsid w:val="00880364"/>
    <w:rsid w:val="00880544"/>
    <w:rsid w:val="00881383"/>
    <w:rsid w:val="00885D6D"/>
    <w:rsid w:val="0088644B"/>
    <w:rsid w:val="00891592"/>
    <w:rsid w:val="00891E9E"/>
    <w:rsid w:val="008922A2"/>
    <w:rsid w:val="008937EF"/>
    <w:rsid w:val="00896E6D"/>
    <w:rsid w:val="00897D32"/>
    <w:rsid w:val="008A0B0B"/>
    <w:rsid w:val="008A0DE5"/>
    <w:rsid w:val="008A10C6"/>
    <w:rsid w:val="008A2F68"/>
    <w:rsid w:val="008A35EF"/>
    <w:rsid w:val="008A4951"/>
    <w:rsid w:val="008B4DBE"/>
    <w:rsid w:val="008B4FA6"/>
    <w:rsid w:val="008B5282"/>
    <w:rsid w:val="008B6CF2"/>
    <w:rsid w:val="008B7C17"/>
    <w:rsid w:val="008C2D01"/>
    <w:rsid w:val="008C40E6"/>
    <w:rsid w:val="008C4488"/>
    <w:rsid w:val="008C45B6"/>
    <w:rsid w:val="008C46B6"/>
    <w:rsid w:val="008C4773"/>
    <w:rsid w:val="008D03ED"/>
    <w:rsid w:val="008D0F7A"/>
    <w:rsid w:val="008D21F5"/>
    <w:rsid w:val="008D3A49"/>
    <w:rsid w:val="008D3F06"/>
    <w:rsid w:val="008D3F38"/>
    <w:rsid w:val="008D52A5"/>
    <w:rsid w:val="008D68E4"/>
    <w:rsid w:val="008D6A32"/>
    <w:rsid w:val="008D6C70"/>
    <w:rsid w:val="008D7616"/>
    <w:rsid w:val="008E0506"/>
    <w:rsid w:val="008E0CFF"/>
    <w:rsid w:val="008E1CF5"/>
    <w:rsid w:val="008E2D72"/>
    <w:rsid w:val="008E3125"/>
    <w:rsid w:val="008E34FA"/>
    <w:rsid w:val="008E5D6B"/>
    <w:rsid w:val="008E6E44"/>
    <w:rsid w:val="008E76F0"/>
    <w:rsid w:val="008F036B"/>
    <w:rsid w:val="008F04A1"/>
    <w:rsid w:val="008F079A"/>
    <w:rsid w:val="008F15FE"/>
    <w:rsid w:val="008F2D29"/>
    <w:rsid w:val="008F5187"/>
    <w:rsid w:val="008F5DB2"/>
    <w:rsid w:val="008F5F8D"/>
    <w:rsid w:val="008F60D8"/>
    <w:rsid w:val="00900F45"/>
    <w:rsid w:val="0090164E"/>
    <w:rsid w:val="00901E0B"/>
    <w:rsid w:val="00902727"/>
    <w:rsid w:val="009029ED"/>
    <w:rsid w:val="00902F94"/>
    <w:rsid w:val="0090312B"/>
    <w:rsid w:val="00903179"/>
    <w:rsid w:val="009031C1"/>
    <w:rsid w:val="009032B5"/>
    <w:rsid w:val="00904CB1"/>
    <w:rsid w:val="009050F2"/>
    <w:rsid w:val="00906967"/>
    <w:rsid w:val="009069FD"/>
    <w:rsid w:val="00907506"/>
    <w:rsid w:val="00907B4B"/>
    <w:rsid w:val="009121CB"/>
    <w:rsid w:val="0091447E"/>
    <w:rsid w:val="009159CA"/>
    <w:rsid w:val="009163C3"/>
    <w:rsid w:val="0091736D"/>
    <w:rsid w:val="009178F6"/>
    <w:rsid w:val="00917EE0"/>
    <w:rsid w:val="0092097E"/>
    <w:rsid w:val="00921660"/>
    <w:rsid w:val="00921F00"/>
    <w:rsid w:val="00923598"/>
    <w:rsid w:val="00923FBF"/>
    <w:rsid w:val="00927A06"/>
    <w:rsid w:val="0093037A"/>
    <w:rsid w:val="0093256D"/>
    <w:rsid w:val="009334B3"/>
    <w:rsid w:val="009340FE"/>
    <w:rsid w:val="00937102"/>
    <w:rsid w:val="00937981"/>
    <w:rsid w:val="00940AB3"/>
    <w:rsid w:val="0094154D"/>
    <w:rsid w:val="00941B80"/>
    <w:rsid w:val="0094210E"/>
    <w:rsid w:val="00943144"/>
    <w:rsid w:val="0094503E"/>
    <w:rsid w:val="00945403"/>
    <w:rsid w:val="0094599F"/>
    <w:rsid w:val="009466B7"/>
    <w:rsid w:val="009502F7"/>
    <w:rsid w:val="00950C0B"/>
    <w:rsid w:val="0095155F"/>
    <w:rsid w:val="0095177A"/>
    <w:rsid w:val="009526C3"/>
    <w:rsid w:val="00952E22"/>
    <w:rsid w:val="00952E84"/>
    <w:rsid w:val="00954429"/>
    <w:rsid w:val="009546BF"/>
    <w:rsid w:val="00954A60"/>
    <w:rsid w:val="009563CE"/>
    <w:rsid w:val="00957045"/>
    <w:rsid w:val="00957601"/>
    <w:rsid w:val="00960906"/>
    <w:rsid w:val="00960FF6"/>
    <w:rsid w:val="00961224"/>
    <w:rsid w:val="00961494"/>
    <w:rsid w:val="009616E2"/>
    <w:rsid w:val="0096336F"/>
    <w:rsid w:val="00963735"/>
    <w:rsid w:val="00965083"/>
    <w:rsid w:val="00966ADA"/>
    <w:rsid w:val="00967CFB"/>
    <w:rsid w:val="00970586"/>
    <w:rsid w:val="009736CA"/>
    <w:rsid w:val="0097441F"/>
    <w:rsid w:val="00976328"/>
    <w:rsid w:val="00976388"/>
    <w:rsid w:val="0097680D"/>
    <w:rsid w:val="00977438"/>
    <w:rsid w:val="00982438"/>
    <w:rsid w:val="00982E66"/>
    <w:rsid w:val="00983E09"/>
    <w:rsid w:val="0098404C"/>
    <w:rsid w:val="009844D1"/>
    <w:rsid w:val="00984DEB"/>
    <w:rsid w:val="0098514D"/>
    <w:rsid w:val="00985283"/>
    <w:rsid w:val="00986B07"/>
    <w:rsid w:val="00993C4A"/>
    <w:rsid w:val="0099445D"/>
    <w:rsid w:val="00995688"/>
    <w:rsid w:val="0099581D"/>
    <w:rsid w:val="00995992"/>
    <w:rsid w:val="0099684B"/>
    <w:rsid w:val="009A03E5"/>
    <w:rsid w:val="009A0E4F"/>
    <w:rsid w:val="009A0F3B"/>
    <w:rsid w:val="009A150A"/>
    <w:rsid w:val="009A1BB4"/>
    <w:rsid w:val="009A2628"/>
    <w:rsid w:val="009A3200"/>
    <w:rsid w:val="009A63EB"/>
    <w:rsid w:val="009A79D9"/>
    <w:rsid w:val="009B0897"/>
    <w:rsid w:val="009B4D8E"/>
    <w:rsid w:val="009B51EF"/>
    <w:rsid w:val="009B7BD9"/>
    <w:rsid w:val="009C04CE"/>
    <w:rsid w:val="009C0502"/>
    <w:rsid w:val="009C0DC3"/>
    <w:rsid w:val="009C32E6"/>
    <w:rsid w:val="009C4A0E"/>
    <w:rsid w:val="009C779F"/>
    <w:rsid w:val="009C7876"/>
    <w:rsid w:val="009C7DD5"/>
    <w:rsid w:val="009D0291"/>
    <w:rsid w:val="009D033E"/>
    <w:rsid w:val="009D044E"/>
    <w:rsid w:val="009D09AF"/>
    <w:rsid w:val="009D1909"/>
    <w:rsid w:val="009D1B41"/>
    <w:rsid w:val="009D248F"/>
    <w:rsid w:val="009D6E70"/>
    <w:rsid w:val="009D7930"/>
    <w:rsid w:val="009E0D18"/>
    <w:rsid w:val="009E15FD"/>
    <w:rsid w:val="009E1A7B"/>
    <w:rsid w:val="009E227D"/>
    <w:rsid w:val="009E2781"/>
    <w:rsid w:val="009E32F6"/>
    <w:rsid w:val="009E4873"/>
    <w:rsid w:val="009E5019"/>
    <w:rsid w:val="009E5D12"/>
    <w:rsid w:val="009E621F"/>
    <w:rsid w:val="009E7CBB"/>
    <w:rsid w:val="009F0678"/>
    <w:rsid w:val="009F1215"/>
    <w:rsid w:val="009F1E55"/>
    <w:rsid w:val="009F3794"/>
    <w:rsid w:val="009F41B9"/>
    <w:rsid w:val="009F5A1B"/>
    <w:rsid w:val="009F5D52"/>
    <w:rsid w:val="009F642B"/>
    <w:rsid w:val="00A00370"/>
    <w:rsid w:val="00A00718"/>
    <w:rsid w:val="00A00B24"/>
    <w:rsid w:val="00A0115D"/>
    <w:rsid w:val="00A02E30"/>
    <w:rsid w:val="00A03414"/>
    <w:rsid w:val="00A03AAA"/>
    <w:rsid w:val="00A03BB9"/>
    <w:rsid w:val="00A04F1B"/>
    <w:rsid w:val="00A0501B"/>
    <w:rsid w:val="00A055DF"/>
    <w:rsid w:val="00A05AA9"/>
    <w:rsid w:val="00A06C97"/>
    <w:rsid w:val="00A102E7"/>
    <w:rsid w:val="00A13B93"/>
    <w:rsid w:val="00A14719"/>
    <w:rsid w:val="00A14947"/>
    <w:rsid w:val="00A17502"/>
    <w:rsid w:val="00A2056D"/>
    <w:rsid w:val="00A2219A"/>
    <w:rsid w:val="00A2291C"/>
    <w:rsid w:val="00A22A38"/>
    <w:rsid w:val="00A25714"/>
    <w:rsid w:val="00A263C8"/>
    <w:rsid w:val="00A26917"/>
    <w:rsid w:val="00A26CF6"/>
    <w:rsid w:val="00A32A83"/>
    <w:rsid w:val="00A32E20"/>
    <w:rsid w:val="00A339A6"/>
    <w:rsid w:val="00A3405F"/>
    <w:rsid w:val="00A3666E"/>
    <w:rsid w:val="00A368DB"/>
    <w:rsid w:val="00A36DFF"/>
    <w:rsid w:val="00A4083D"/>
    <w:rsid w:val="00A41E1A"/>
    <w:rsid w:val="00A423AA"/>
    <w:rsid w:val="00A43B3E"/>
    <w:rsid w:val="00A45CAA"/>
    <w:rsid w:val="00A45FB0"/>
    <w:rsid w:val="00A52871"/>
    <w:rsid w:val="00A52D92"/>
    <w:rsid w:val="00A5311F"/>
    <w:rsid w:val="00A53EC6"/>
    <w:rsid w:val="00A5439B"/>
    <w:rsid w:val="00A55BA0"/>
    <w:rsid w:val="00A55C0F"/>
    <w:rsid w:val="00A56032"/>
    <w:rsid w:val="00A5789B"/>
    <w:rsid w:val="00A62FAA"/>
    <w:rsid w:val="00A64E7B"/>
    <w:rsid w:val="00A6531D"/>
    <w:rsid w:val="00A65D55"/>
    <w:rsid w:val="00A7034F"/>
    <w:rsid w:val="00A714E0"/>
    <w:rsid w:val="00A72D9F"/>
    <w:rsid w:val="00A76622"/>
    <w:rsid w:val="00A80BD9"/>
    <w:rsid w:val="00A80CCB"/>
    <w:rsid w:val="00A811B3"/>
    <w:rsid w:val="00A84F85"/>
    <w:rsid w:val="00A85A6C"/>
    <w:rsid w:val="00A87001"/>
    <w:rsid w:val="00A8713F"/>
    <w:rsid w:val="00A90BA1"/>
    <w:rsid w:val="00A91B25"/>
    <w:rsid w:val="00A949A6"/>
    <w:rsid w:val="00A95336"/>
    <w:rsid w:val="00A973B1"/>
    <w:rsid w:val="00A97A9A"/>
    <w:rsid w:val="00A97B23"/>
    <w:rsid w:val="00AA060C"/>
    <w:rsid w:val="00AA0671"/>
    <w:rsid w:val="00AA0FA9"/>
    <w:rsid w:val="00AA2531"/>
    <w:rsid w:val="00AA3D23"/>
    <w:rsid w:val="00AA4489"/>
    <w:rsid w:val="00AA560D"/>
    <w:rsid w:val="00AA6DD8"/>
    <w:rsid w:val="00AB07FB"/>
    <w:rsid w:val="00AB1246"/>
    <w:rsid w:val="00AB17A5"/>
    <w:rsid w:val="00AB1E09"/>
    <w:rsid w:val="00AB2961"/>
    <w:rsid w:val="00AB2B73"/>
    <w:rsid w:val="00AB3450"/>
    <w:rsid w:val="00AB35A2"/>
    <w:rsid w:val="00AB3867"/>
    <w:rsid w:val="00AB5330"/>
    <w:rsid w:val="00AB5C18"/>
    <w:rsid w:val="00AB6375"/>
    <w:rsid w:val="00AB72EE"/>
    <w:rsid w:val="00AB7747"/>
    <w:rsid w:val="00AB7782"/>
    <w:rsid w:val="00AC14CE"/>
    <w:rsid w:val="00AC2A56"/>
    <w:rsid w:val="00AC3F2B"/>
    <w:rsid w:val="00AC45C5"/>
    <w:rsid w:val="00AC67C7"/>
    <w:rsid w:val="00AC7226"/>
    <w:rsid w:val="00AD055E"/>
    <w:rsid w:val="00AD3F0D"/>
    <w:rsid w:val="00AD47A7"/>
    <w:rsid w:val="00AD4807"/>
    <w:rsid w:val="00AD49CB"/>
    <w:rsid w:val="00AD4D18"/>
    <w:rsid w:val="00AD7089"/>
    <w:rsid w:val="00AE1ED8"/>
    <w:rsid w:val="00AE2729"/>
    <w:rsid w:val="00AE4D15"/>
    <w:rsid w:val="00AE502E"/>
    <w:rsid w:val="00AE5F44"/>
    <w:rsid w:val="00AE792A"/>
    <w:rsid w:val="00AF01AB"/>
    <w:rsid w:val="00AF0CBF"/>
    <w:rsid w:val="00AF257F"/>
    <w:rsid w:val="00AF3047"/>
    <w:rsid w:val="00AF33CF"/>
    <w:rsid w:val="00AF4D50"/>
    <w:rsid w:val="00AF5F44"/>
    <w:rsid w:val="00AF6179"/>
    <w:rsid w:val="00AF7AAF"/>
    <w:rsid w:val="00B007DE"/>
    <w:rsid w:val="00B01139"/>
    <w:rsid w:val="00B01421"/>
    <w:rsid w:val="00B014B0"/>
    <w:rsid w:val="00B01592"/>
    <w:rsid w:val="00B02F7F"/>
    <w:rsid w:val="00B02FBB"/>
    <w:rsid w:val="00B036AE"/>
    <w:rsid w:val="00B03767"/>
    <w:rsid w:val="00B10189"/>
    <w:rsid w:val="00B10A7A"/>
    <w:rsid w:val="00B10E1B"/>
    <w:rsid w:val="00B1110C"/>
    <w:rsid w:val="00B1295A"/>
    <w:rsid w:val="00B12DD1"/>
    <w:rsid w:val="00B1330F"/>
    <w:rsid w:val="00B2072F"/>
    <w:rsid w:val="00B20808"/>
    <w:rsid w:val="00B20A45"/>
    <w:rsid w:val="00B210D9"/>
    <w:rsid w:val="00B22C5C"/>
    <w:rsid w:val="00B24126"/>
    <w:rsid w:val="00B249B3"/>
    <w:rsid w:val="00B24F30"/>
    <w:rsid w:val="00B26BB1"/>
    <w:rsid w:val="00B26D80"/>
    <w:rsid w:val="00B26F78"/>
    <w:rsid w:val="00B27518"/>
    <w:rsid w:val="00B27714"/>
    <w:rsid w:val="00B30A36"/>
    <w:rsid w:val="00B30BFA"/>
    <w:rsid w:val="00B31ABF"/>
    <w:rsid w:val="00B32434"/>
    <w:rsid w:val="00B33BE3"/>
    <w:rsid w:val="00B34633"/>
    <w:rsid w:val="00B35A90"/>
    <w:rsid w:val="00B362FF"/>
    <w:rsid w:val="00B37791"/>
    <w:rsid w:val="00B40BB9"/>
    <w:rsid w:val="00B420B4"/>
    <w:rsid w:val="00B526A4"/>
    <w:rsid w:val="00B53B5D"/>
    <w:rsid w:val="00B55938"/>
    <w:rsid w:val="00B56BBB"/>
    <w:rsid w:val="00B577C6"/>
    <w:rsid w:val="00B6055E"/>
    <w:rsid w:val="00B61485"/>
    <w:rsid w:val="00B62D12"/>
    <w:rsid w:val="00B6317D"/>
    <w:rsid w:val="00B641E6"/>
    <w:rsid w:val="00B655B7"/>
    <w:rsid w:val="00B65E28"/>
    <w:rsid w:val="00B66C73"/>
    <w:rsid w:val="00B67398"/>
    <w:rsid w:val="00B67AA9"/>
    <w:rsid w:val="00B70817"/>
    <w:rsid w:val="00B70E3B"/>
    <w:rsid w:val="00B72004"/>
    <w:rsid w:val="00B736EC"/>
    <w:rsid w:val="00B73D6F"/>
    <w:rsid w:val="00B74359"/>
    <w:rsid w:val="00B768BC"/>
    <w:rsid w:val="00B7723F"/>
    <w:rsid w:val="00B80224"/>
    <w:rsid w:val="00B80534"/>
    <w:rsid w:val="00B81D9E"/>
    <w:rsid w:val="00B8433C"/>
    <w:rsid w:val="00B85349"/>
    <w:rsid w:val="00B87491"/>
    <w:rsid w:val="00B91A0E"/>
    <w:rsid w:val="00B91DBF"/>
    <w:rsid w:val="00B91FFB"/>
    <w:rsid w:val="00B93415"/>
    <w:rsid w:val="00B938D4"/>
    <w:rsid w:val="00B93E55"/>
    <w:rsid w:val="00B94889"/>
    <w:rsid w:val="00B94C65"/>
    <w:rsid w:val="00B9653C"/>
    <w:rsid w:val="00B96DB1"/>
    <w:rsid w:val="00B97D6E"/>
    <w:rsid w:val="00BA235C"/>
    <w:rsid w:val="00BA29E9"/>
    <w:rsid w:val="00BA43F4"/>
    <w:rsid w:val="00BA5A3F"/>
    <w:rsid w:val="00BA5F00"/>
    <w:rsid w:val="00BA7142"/>
    <w:rsid w:val="00BA73D6"/>
    <w:rsid w:val="00BA7841"/>
    <w:rsid w:val="00BB1A3F"/>
    <w:rsid w:val="00BB1E65"/>
    <w:rsid w:val="00BB237C"/>
    <w:rsid w:val="00BB27AD"/>
    <w:rsid w:val="00BB41A3"/>
    <w:rsid w:val="00BB52C2"/>
    <w:rsid w:val="00BC046B"/>
    <w:rsid w:val="00BC32DC"/>
    <w:rsid w:val="00BC35B6"/>
    <w:rsid w:val="00BC74C1"/>
    <w:rsid w:val="00BC764F"/>
    <w:rsid w:val="00BD016E"/>
    <w:rsid w:val="00BD035A"/>
    <w:rsid w:val="00BD07C5"/>
    <w:rsid w:val="00BD1B51"/>
    <w:rsid w:val="00BD2D37"/>
    <w:rsid w:val="00BD4596"/>
    <w:rsid w:val="00BE0C98"/>
    <w:rsid w:val="00BE1405"/>
    <w:rsid w:val="00BE16F3"/>
    <w:rsid w:val="00BE312D"/>
    <w:rsid w:val="00BE4CC6"/>
    <w:rsid w:val="00BE4D0A"/>
    <w:rsid w:val="00BE519D"/>
    <w:rsid w:val="00BE6247"/>
    <w:rsid w:val="00BE6405"/>
    <w:rsid w:val="00BF01AE"/>
    <w:rsid w:val="00BF0445"/>
    <w:rsid w:val="00BF1C20"/>
    <w:rsid w:val="00BF21C6"/>
    <w:rsid w:val="00BF456C"/>
    <w:rsid w:val="00BF6792"/>
    <w:rsid w:val="00BF7BBA"/>
    <w:rsid w:val="00C00855"/>
    <w:rsid w:val="00C0096C"/>
    <w:rsid w:val="00C00AF9"/>
    <w:rsid w:val="00C0174A"/>
    <w:rsid w:val="00C03F96"/>
    <w:rsid w:val="00C04F7D"/>
    <w:rsid w:val="00C0534D"/>
    <w:rsid w:val="00C06FE1"/>
    <w:rsid w:val="00C101F3"/>
    <w:rsid w:val="00C10578"/>
    <w:rsid w:val="00C10A45"/>
    <w:rsid w:val="00C10C1D"/>
    <w:rsid w:val="00C135BC"/>
    <w:rsid w:val="00C13948"/>
    <w:rsid w:val="00C15C95"/>
    <w:rsid w:val="00C171CC"/>
    <w:rsid w:val="00C17BD8"/>
    <w:rsid w:val="00C17D69"/>
    <w:rsid w:val="00C213CA"/>
    <w:rsid w:val="00C23FBE"/>
    <w:rsid w:val="00C24C4D"/>
    <w:rsid w:val="00C2596A"/>
    <w:rsid w:val="00C274C0"/>
    <w:rsid w:val="00C27537"/>
    <w:rsid w:val="00C27B17"/>
    <w:rsid w:val="00C31933"/>
    <w:rsid w:val="00C326CF"/>
    <w:rsid w:val="00C328FE"/>
    <w:rsid w:val="00C334F2"/>
    <w:rsid w:val="00C33507"/>
    <w:rsid w:val="00C4161C"/>
    <w:rsid w:val="00C41D29"/>
    <w:rsid w:val="00C43E62"/>
    <w:rsid w:val="00C4409D"/>
    <w:rsid w:val="00C448CD"/>
    <w:rsid w:val="00C44E72"/>
    <w:rsid w:val="00C450C3"/>
    <w:rsid w:val="00C45A06"/>
    <w:rsid w:val="00C47A99"/>
    <w:rsid w:val="00C47E5B"/>
    <w:rsid w:val="00C5234F"/>
    <w:rsid w:val="00C5343E"/>
    <w:rsid w:val="00C53DC3"/>
    <w:rsid w:val="00C55A9D"/>
    <w:rsid w:val="00C56386"/>
    <w:rsid w:val="00C568E8"/>
    <w:rsid w:val="00C573FE"/>
    <w:rsid w:val="00C614D0"/>
    <w:rsid w:val="00C61655"/>
    <w:rsid w:val="00C61E4B"/>
    <w:rsid w:val="00C62548"/>
    <w:rsid w:val="00C6277C"/>
    <w:rsid w:val="00C62EBC"/>
    <w:rsid w:val="00C63653"/>
    <w:rsid w:val="00C640A1"/>
    <w:rsid w:val="00C64BFF"/>
    <w:rsid w:val="00C67DD0"/>
    <w:rsid w:val="00C704E9"/>
    <w:rsid w:val="00C72C53"/>
    <w:rsid w:val="00C7327F"/>
    <w:rsid w:val="00C7397A"/>
    <w:rsid w:val="00C74407"/>
    <w:rsid w:val="00C763C9"/>
    <w:rsid w:val="00C76829"/>
    <w:rsid w:val="00C779B0"/>
    <w:rsid w:val="00C80057"/>
    <w:rsid w:val="00C81FB4"/>
    <w:rsid w:val="00C82232"/>
    <w:rsid w:val="00C82913"/>
    <w:rsid w:val="00C8374B"/>
    <w:rsid w:val="00C83926"/>
    <w:rsid w:val="00C86000"/>
    <w:rsid w:val="00C8622A"/>
    <w:rsid w:val="00C8628B"/>
    <w:rsid w:val="00C871CA"/>
    <w:rsid w:val="00C900DF"/>
    <w:rsid w:val="00C9112E"/>
    <w:rsid w:val="00C912F2"/>
    <w:rsid w:val="00C922EB"/>
    <w:rsid w:val="00C92C4E"/>
    <w:rsid w:val="00C93726"/>
    <w:rsid w:val="00C9434F"/>
    <w:rsid w:val="00C967D6"/>
    <w:rsid w:val="00C9684F"/>
    <w:rsid w:val="00C972B1"/>
    <w:rsid w:val="00CA18F7"/>
    <w:rsid w:val="00CA205A"/>
    <w:rsid w:val="00CA2CCE"/>
    <w:rsid w:val="00CA3445"/>
    <w:rsid w:val="00CA4258"/>
    <w:rsid w:val="00CA42DC"/>
    <w:rsid w:val="00CA43FD"/>
    <w:rsid w:val="00CA4696"/>
    <w:rsid w:val="00CA75CE"/>
    <w:rsid w:val="00CA7EF8"/>
    <w:rsid w:val="00CB11E3"/>
    <w:rsid w:val="00CB1CD9"/>
    <w:rsid w:val="00CB286B"/>
    <w:rsid w:val="00CB28D5"/>
    <w:rsid w:val="00CB3FFC"/>
    <w:rsid w:val="00CC1444"/>
    <w:rsid w:val="00CC369B"/>
    <w:rsid w:val="00CC489B"/>
    <w:rsid w:val="00CC5082"/>
    <w:rsid w:val="00CC555D"/>
    <w:rsid w:val="00CC60A1"/>
    <w:rsid w:val="00CC775B"/>
    <w:rsid w:val="00CD084B"/>
    <w:rsid w:val="00CD2BCD"/>
    <w:rsid w:val="00CD2FDE"/>
    <w:rsid w:val="00CD3A4C"/>
    <w:rsid w:val="00CD3DE4"/>
    <w:rsid w:val="00CD58BA"/>
    <w:rsid w:val="00CD5B40"/>
    <w:rsid w:val="00CD5D4B"/>
    <w:rsid w:val="00CD7491"/>
    <w:rsid w:val="00CE06AF"/>
    <w:rsid w:val="00CE10E9"/>
    <w:rsid w:val="00CE1D37"/>
    <w:rsid w:val="00CE2910"/>
    <w:rsid w:val="00CE3B43"/>
    <w:rsid w:val="00CE3C00"/>
    <w:rsid w:val="00CE4983"/>
    <w:rsid w:val="00CE5393"/>
    <w:rsid w:val="00CE6E52"/>
    <w:rsid w:val="00CE7523"/>
    <w:rsid w:val="00CF294C"/>
    <w:rsid w:val="00CF2D74"/>
    <w:rsid w:val="00CF2DF1"/>
    <w:rsid w:val="00CF36BE"/>
    <w:rsid w:val="00CF6000"/>
    <w:rsid w:val="00CF64E1"/>
    <w:rsid w:val="00CF6815"/>
    <w:rsid w:val="00D003F3"/>
    <w:rsid w:val="00D012D6"/>
    <w:rsid w:val="00D02529"/>
    <w:rsid w:val="00D0364F"/>
    <w:rsid w:val="00D03BD4"/>
    <w:rsid w:val="00D03F63"/>
    <w:rsid w:val="00D040DB"/>
    <w:rsid w:val="00D060C0"/>
    <w:rsid w:val="00D06161"/>
    <w:rsid w:val="00D06834"/>
    <w:rsid w:val="00D13BE3"/>
    <w:rsid w:val="00D21747"/>
    <w:rsid w:val="00D218E7"/>
    <w:rsid w:val="00D23EF6"/>
    <w:rsid w:val="00D24423"/>
    <w:rsid w:val="00D30013"/>
    <w:rsid w:val="00D308ED"/>
    <w:rsid w:val="00D32259"/>
    <w:rsid w:val="00D32875"/>
    <w:rsid w:val="00D32969"/>
    <w:rsid w:val="00D32FCF"/>
    <w:rsid w:val="00D339A2"/>
    <w:rsid w:val="00D364D7"/>
    <w:rsid w:val="00D36D86"/>
    <w:rsid w:val="00D37002"/>
    <w:rsid w:val="00D40D30"/>
    <w:rsid w:val="00D41297"/>
    <w:rsid w:val="00D41825"/>
    <w:rsid w:val="00D428AA"/>
    <w:rsid w:val="00D45777"/>
    <w:rsid w:val="00D45FCD"/>
    <w:rsid w:val="00D50A34"/>
    <w:rsid w:val="00D51B13"/>
    <w:rsid w:val="00D53EFA"/>
    <w:rsid w:val="00D55E6C"/>
    <w:rsid w:val="00D61FA4"/>
    <w:rsid w:val="00D638EE"/>
    <w:rsid w:val="00D64DD7"/>
    <w:rsid w:val="00D65278"/>
    <w:rsid w:val="00D67F3B"/>
    <w:rsid w:val="00D716C8"/>
    <w:rsid w:val="00D71D99"/>
    <w:rsid w:val="00D73868"/>
    <w:rsid w:val="00D7467E"/>
    <w:rsid w:val="00D82673"/>
    <w:rsid w:val="00D876F1"/>
    <w:rsid w:val="00D91A44"/>
    <w:rsid w:val="00D94872"/>
    <w:rsid w:val="00D94A7C"/>
    <w:rsid w:val="00D94DE1"/>
    <w:rsid w:val="00D9584D"/>
    <w:rsid w:val="00D95896"/>
    <w:rsid w:val="00D9673E"/>
    <w:rsid w:val="00DA22F4"/>
    <w:rsid w:val="00DA2EB6"/>
    <w:rsid w:val="00DA5D71"/>
    <w:rsid w:val="00DA6BDE"/>
    <w:rsid w:val="00DB2983"/>
    <w:rsid w:val="00DB6883"/>
    <w:rsid w:val="00DB6E15"/>
    <w:rsid w:val="00DB7D35"/>
    <w:rsid w:val="00DC1257"/>
    <w:rsid w:val="00DC1C86"/>
    <w:rsid w:val="00DC3A30"/>
    <w:rsid w:val="00DC3DC0"/>
    <w:rsid w:val="00DC4DC6"/>
    <w:rsid w:val="00DC5B2B"/>
    <w:rsid w:val="00DC66AA"/>
    <w:rsid w:val="00DC7FE4"/>
    <w:rsid w:val="00DD318D"/>
    <w:rsid w:val="00DD3279"/>
    <w:rsid w:val="00DD4F3B"/>
    <w:rsid w:val="00DE0CFA"/>
    <w:rsid w:val="00DE2403"/>
    <w:rsid w:val="00DE2C28"/>
    <w:rsid w:val="00DE3577"/>
    <w:rsid w:val="00DE4A3B"/>
    <w:rsid w:val="00DE6CF7"/>
    <w:rsid w:val="00DF07CC"/>
    <w:rsid w:val="00DF0E4B"/>
    <w:rsid w:val="00DF14AC"/>
    <w:rsid w:val="00DF2393"/>
    <w:rsid w:val="00DF2E12"/>
    <w:rsid w:val="00DF410F"/>
    <w:rsid w:val="00DF4762"/>
    <w:rsid w:val="00DF514A"/>
    <w:rsid w:val="00DF6690"/>
    <w:rsid w:val="00DF677C"/>
    <w:rsid w:val="00DF6804"/>
    <w:rsid w:val="00DF7696"/>
    <w:rsid w:val="00E019EA"/>
    <w:rsid w:val="00E0358D"/>
    <w:rsid w:val="00E041FD"/>
    <w:rsid w:val="00E04323"/>
    <w:rsid w:val="00E046E3"/>
    <w:rsid w:val="00E067DE"/>
    <w:rsid w:val="00E06C56"/>
    <w:rsid w:val="00E070A2"/>
    <w:rsid w:val="00E07A16"/>
    <w:rsid w:val="00E13127"/>
    <w:rsid w:val="00E139C8"/>
    <w:rsid w:val="00E20B24"/>
    <w:rsid w:val="00E21A2B"/>
    <w:rsid w:val="00E21C28"/>
    <w:rsid w:val="00E22F63"/>
    <w:rsid w:val="00E23A9D"/>
    <w:rsid w:val="00E2656A"/>
    <w:rsid w:val="00E27650"/>
    <w:rsid w:val="00E27EC3"/>
    <w:rsid w:val="00E30F9D"/>
    <w:rsid w:val="00E31B60"/>
    <w:rsid w:val="00E32455"/>
    <w:rsid w:val="00E32BD4"/>
    <w:rsid w:val="00E344DC"/>
    <w:rsid w:val="00E346A0"/>
    <w:rsid w:val="00E34A1F"/>
    <w:rsid w:val="00E35182"/>
    <w:rsid w:val="00E37209"/>
    <w:rsid w:val="00E3749C"/>
    <w:rsid w:val="00E379E1"/>
    <w:rsid w:val="00E4105F"/>
    <w:rsid w:val="00E412D0"/>
    <w:rsid w:val="00E42C03"/>
    <w:rsid w:val="00E4678D"/>
    <w:rsid w:val="00E47FD0"/>
    <w:rsid w:val="00E50685"/>
    <w:rsid w:val="00E51D25"/>
    <w:rsid w:val="00E553F7"/>
    <w:rsid w:val="00E56322"/>
    <w:rsid w:val="00E5634A"/>
    <w:rsid w:val="00E564B0"/>
    <w:rsid w:val="00E60982"/>
    <w:rsid w:val="00E60C4E"/>
    <w:rsid w:val="00E62C62"/>
    <w:rsid w:val="00E651AD"/>
    <w:rsid w:val="00E654C1"/>
    <w:rsid w:val="00E65D97"/>
    <w:rsid w:val="00E67398"/>
    <w:rsid w:val="00E72A5A"/>
    <w:rsid w:val="00E73148"/>
    <w:rsid w:val="00E73354"/>
    <w:rsid w:val="00E73B88"/>
    <w:rsid w:val="00E7699A"/>
    <w:rsid w:val="00E8046F"/>
    <w:rsid w:val="00E8160A"/>
    <w:rsid w:val="00E8333B"/>
    <w:rsid w:val="00E84018"/>
    <w:rsid w:val="00E84FD4"/>
    <w:rsid w:val="00E87B9A"/>
    <w:rsid w:val="00E914A6"/>
    <w:rsid w:val="00E921BE"/>
    <w:rsid w:val="00E9242D"/>
    <w:rsid w:val="00E958DA"/>
    <w:rsid w:val="00E9639D"/>
    <w:rsid w:val="00E96A1C"/>
    <w:rsid w:val="00EA258E"/>
    <w:rsid w:val="00EA3945"/>
    <w:rsid w:val="00EA3AAE"/>
    <w:rsid w:val="00EB0C69"/>
    <w:rsid w:val="00EB3D39"/>
    <w:rsid w:val="00EB4A00"/>
    <w:rsid w:val="00EB5255"/>
    <w:rsid w:val="00EB5C47"/>
    <w:rsid w:val="00EB635C"/>
    <w:rsid w:val="00EB7178"/>
    <w:rsid w:val="00EC0290"/>
    <w:rsid w:val="00EC29C4"/>
    <w:rsid w:val="00EC4FAB"/>
    <w:rsid w:val="00EC6C81"/>
    <w:rsid w:val="00EC784E"/>
    <w:rsid w:val="00ED0639"/>
    <w:rsid w:val="00ED121D"/>
    <w:rsid w:val="00ED197E"/>
    <w:rsid w:val="00ED2BDF"/>
    <w:rsid w:val="00ED31FD"/>
    <w:rsid w:val="00ED3513"/>
    <w:rsid w:val="00ED6AA2"/>
    <w:rsid w:val="00ED7178"/>
    <w:rsid w:val="00EE0F95"/>
    <w:rsid w:val="00EE11C3"/>
    <w:rsid w:val="00EE187E"/>
    <w:rsid w:val="00EE1D34"/>
    <w:rsid w:val="00EE2EB5"/>
    <w:rsid w:val="00EE3D35"/>
    <w:rsid w:val="00EE6D96"/>
    <w:rsid w:val="00EF0A47"/>
    <w:rsid w:val="00EF3E78"/>
    <w:rsid w:val="00EF4755"/>
    <w:rsid w:val="00EF4C83"/>
    <w:rsid w:val="00EF54D9"/>
    <w:rsid w:val="00EF7135"/>
    <w:rsid w:val="00F01C10"/>
    <w:rsid w:val="00F01E5C"/>
    <w:rsid w:val="00F027DB"/>
    <w:rsid w:val="00F02885"/>
    <w:rsid w:val="00F048E3"/>
    <w:rsid w:val="00F049DF"/>
    <w:rsid w:val="00F07D1B"/>
    <w:rsid w:val="00F10513"/>
    <w:rsid w:val="00F108C9"/>
    <w:rsid w:val="00F1130E"/>
    <w:rsid w:val="00F12BC8"/>
    <w:rsid w:val="00F14A7A"/>
    <w:rsid w:val="00F14B91"/>
    <w:rsid w:val="00F1630D"/>
    <w:rsid w:val="00F16A52"/>
    <w:rsid w:val="00F176AD"/>
    <w:rsid w:val="00F22985"/>
    <w:rsid w:val="00F2321E"/>
    <w:rsid w:val="00F23717"/>
    <w:rsid w:val="00F25301"/>
    <w:rsid w:val="00F26F06"/>
    <w:rsid w:val="00F27CFF"/>
    <w:rsid w:val="00F3383E"/>
    <w:rsid w:val="00F35812"/>
    <w:rsid w:val="00F42E9E"/>
    <w:rsid w:val="00F438CC"/>
    <w:rsid w:val="00F465A7"/>
    <w:rsid w:val="00F46721"/>
    <w:rsid w:val="00F500D5"/>
    <w:rsid w:val="00F50B7C"/>
    <w:rsid w:val="00F5119C"/>
    <w:rsid w:val="00F524DF"/>
    <w:rsid w:val="00F541A3"/>
    <w:rsid w:val="00F550E6"/>
    <w:rsid w:val="00F55D5F"/>
    <w:rsid w:val="00F55EA3"/>
    <w:rsid w:val="00F569F0"/>
    <w:rsid w:val="00F63AA0"/>
    <w:rsid w:val="00F653BC"/>
    <w:rsid w:val="00F70DBA"/>
    <w:rsid w:val="00F715BD"/>
    <w:rsid w:val="00F71C82"/>
    <w:rsid w:val="00F7246D"/>
    <w:rsid w:val="00F73605"/>
    <w:rsid w:val="00F73B77"/>
    <w:rsid w:val="00F73E22"/>
    <w:rsid w:val="00F74345"/>
    <w:rsid w:val="00F776A6"/>
    <w:rsid w:val="00F80A0A"/>
    <w:rsid w:val="00F818A4"/>
    <w:rsid w:val="00F82B19"/>
    <w:rsid w:val="00F840AD"/>
    <w:rsid w:val="00F85127"/>
    <w:rsid w:val="00F9151F"/>
    <w:rsid w:val="00F917D0"/>
    <w:rsid w:val="00F9212D"/>
    <w:rsid w:val="00F965DA"/>
    <w:rsid w:val="00F97209"/>
    <w:rsid w:val="00F97326"/>
    <w:rsid w:val="00FA062A"/>
    <w:rsid w:val="00FA3352"/>
    <w:rsid w:val="00FA37B6"/>
    <w:rsid w:val="00FA406A"/>
    <w:rsid w:val="00FA57D1"/>
    <w:rsid w:val="00FA7DFB"/>
    <w:rsid w:val="00FB09FA"/>
    <w:rsid w:val="00FB2829"/>
    <w:rsid w:val="00FB389D"/>
    <w:rsid w:val="00FB47BC"/>
    <w:rsid w:val="00FB503A"/>
    <w:rsid w:val="00FB516C"/>
    <w:rsid w:val="00FB5937"/>
    <w:rsid w:val="00FB6C09"/>
    <w:rsid w:val="00FB7802"/>
    <w:rsid w:val="00FB7DAA"/>
    <w:rsid w:val="00FC02AA"/>
    <w:rsid w:val="00FC3E78"/>
    <w:rsid w:val="00FC5FFF"/>
    <w:rsid w:val="00FC7AB7"/>
    <w:rsid w:val="00FD0236"/>
    <w:rsid w:val="00FD059F"/>
    <w:rsid w:val="00FD10B8"/>
    <w:rsid w:val="00FD18F4"/>
    <w:rsid w:val="00FD4E02"/>
    <w:rsid w:val="00FD54DB"/>
    <w:rsid w:val="00FD5D2C"/>
    <w:rsid w:val="00FD619F"/>
    <w:rsid w:val="00FE02D7"/>
    <w:rsid w:val="00FE0635"/>
    <w:rsid w:val="00FE36AE"/>
    <w:rsid w:val="00FE37AD"/>
    <w:rsid w:val="00FE3C8D"/>
    <w:rsid w:val="00FE6135"/>
    <w:rsid w:val="00FE6B83"/>
    <w:rsid w:val="00FF0A6C"/>
    <w:rsid w:val="00FF122F"/>
    <w:rsid w:val="00FF1F6D"/>
    <w:rsid w:val="00FF77EB"/>
    <w:rsid w:val="010019A2"/>
    <w:rsid w:val="01002534"/>
    <w:rsid w:val="01006CB0"/>
    <w:rsid w:val="0101237C"/>
    <w:rsid w:val="01017FB5"/>
    <w:rsid w:val="01022F1A"/>
    <w:rsid w:val="010230DF"/>
    <w:rsid w:val="01043138"/>
    <w:rsid w:val="01044493"/>
    <w:rsid w:val="0106663B"/>
    <w:rsid w:val="01081B3E"/>
    <w:rsid w:val="01085094"/>
    <w:rsid w:val="0108714A"/>
    <w:rsid w:val="01087940"/>
    <w:rsid w:val="01090B8D"/>
    <w:rsid w:val="010975C0"/>
    <w:rsid w:val="01097CE8"/>
    <w:rsid w:val="010A08C5"/>
    <w:rsid w:val="010A5041"/>
    <w:rsid w:val="010B2AC3"/>
    <w:rsid w:val="010B5BB6"/>
    <w:rsid w:val="010C0545"/>
    <w:rsid w:val="010C3DC8"/>
    <w:rsid w:val="010D1849"/>
    <w:rsid w:val="010D3379"/>
    <w:rsid w:val="010E3A48"/>
    <w:rsid w:val="010E72CB"/>
    <w:rsid w:val="010F4AB6"/>
    <w:rsid w:val="011027CE"/>
    <w:rsid w:val="01106F4B"/>
    <w:rsid w:val="01110250"/>
    <w:rsid w:val="011411D4"/>
    <w:rsid w:val="01150B21"/>
    <w:rsid w:val="011533D3"/>
    <w:rsid w:val="01156C56"/>
    <w:rsid w:val="011614FB"/>
    <w:rsid w:val="011646D7"/>
    <w:rsid w:val="011768D6"/>
    <w:rsid w:val="01177A27"/>
    <w:rsid w:val="011941B1"/>
    <w:rsid w:val="011A52DC"/>
    <w:rsid w:val="011B0B5F"/>
    <w:rsid w:val="011B2D5D"/>
    <w:rsid w:val="011C07DF"/>
    <w:rsid w:val="011C62C9"/>
    <w:rsid w:val="011D4062"/>
    <w:rsid w:val="011D6260"/>
    <w:rsid w:val="011E1AE4"/>
    <w:rsid w:val="011F1764"/>
    <w:rsid w:val="011F3252"/>
    <w:rsid w:val="011F33B8"/>
    <w:rsid w:val="01200DBA"/>
    <w:rsid w:val="01202A68"/>
    <w:rsid w:val="012071E5"/>
    <w:rsid w:val="012104EA"/>
    <w:rsid w:val="01211959"/>
    <w:rsid w:val="01214C67"/>
    <w:rsid w:val="01225F6B"/>
    <w:rsid w:val="0123016A"/>
    <w:rsid w:val="012339ED"/>
    <w:rsid w:val="0124146F"/>
    <w:rsid w:val="01264972"/>
    <w:rsid w:val="012651AE"/>
    <w:rsid w:val="01287101"/>
    <w:rsid w:val="012872C5"/>
    <w:rsid w:val="01287E75"/>
    <w:rsid w:val="01290F7E"/>
    <w:rsid w:val="01292073"/>
    <w:rsid w:val="012958F6"/>
    <w:rsid w:val="012A083E"/>
    <w:rsid w:val="012A3378"/>
    <w:rsid w:val="012B5576"/>
    <w:rsid w:val="012C2FF8"/>
    <w:rsid w:val="012C687B"/>
    <w:rsid w:val="012D0A79"/>
    <w:rsid w:val="012E1D7E"/>
    <w:rsid w:val="012E34F5"/>
    <w:rsid w:val="012E64FB"/>
    <w:rsid w:val="012F3F7C"/>
    <w:rsid w:val="012F7800"/>
    <w:rsid w:val="01305281"/>
    <w:rsid w:val="01314F01"/>
    <w:rsid w:val="0131747F"/>
    <w:rsid w:val="01322983"/>
    <w:rsid w:val="01330404"/>
    <w:rsid w:val="013369C0"/>
    <w:rsid w:val="01343C87"/>
    <w:rsid w:val="01345E86"/>
    <w:rsid w:val="01351648"/>
    <w:rsid w:val="01352CD2"/>
    <w:rsid w:val="01352E88"/>
    <w:rsid w:val="013531F3"/>
    <w:rsid w:val="01353907"/>
    <w:rsid w:val="01357F39"/>
    <w:rsid w:val="01361389"/>
    <w:rsid w:val="01361677"/>
    <w:rsid w:val="013625FC"/>
    <w:rsid w:val="01372051"/>
    <w:rsid w:val="01372215"/>
    <w:rsid w:val="01374C0C"/>
    <w:rsid w:val="01375B0D"/>
    <w:rsid w:val="01376E0A"/>
    <w:rsid w:val="0138268E"/>
    <w:rsid w:val="013A3612"/>
    <w:rsid w:val="013A432D"/>
    <w:rsid w:val="013B1094"/>
    <w:rsid w:val="013B4D07"/>
    <w:rsid w:val="013C58A6"/>
    <w:rsid w:val="013C6B15"/>
    <w:rsid w:val="013D4597"/>
    <w:rsid w:val="013E2018"/>
    <w:rsid w:val="013E6E1F"/>
    <w:rsid w:val="01412F9D"/>
    <w:rsid w:val="01420A1F"/>
    <w:rsid w:val="01421AD5"/>
    <w:rsid w:val="01426932"/>
    <w:rsid w:val="0143581A"/>
    <w:rsid w:val="01435D3B"/>
    <w:rsid w:val="0143625C"/>
    <w:rsid w:val="014364A0"/>
    <w:rsid w:val="01443F22"/>
    <w:rsid w:val="01444C23"/>
    <w:rsid w:val="014519A3"/>
    <w:rsid w:val="01454397"/>
    <w:rsid w:val="01474EA6"/>
    <w:rsid w:val="01482928"/>
    <w:rsid w:val="014A5E2B"/>
    <w:rsid w:val="014A7C57"/>
    <w:rsid w:val="014B07F6"/>
    <w:rsid w:val="014B38AD"/>
    <w:rsid w:val="014C11D0"/>
    <w:rsid w:val="014C132E"/>
    <w:rsid w:val="014E4831"/>
    <w:rsid w:val="01510A39"/>
    <w:rsid w:val="01513237"/>
    <w:rsid w:val="01514860"/>
    <w:rsid w:val="015155C3"/>
    <w:rsid w:val="015157B6"/>
    <w:rsid w:val="01520CB9"/>
    <w:rsid w:val="01525F9E"/>
    <w:rsid w:val="01526ABB"/>
    <w:rsid w:val="0153453C"/>
    <w:rsid w:val="0153673B"/>
    <w:rsid w:val="01541FBE"/>
    <w:rsid w:val="015476DB"/>
    <w:rsid w:val="01557A3F"/>
    <w:rsid w:val="01560A8F"/>
    <w:rsid w:val="015654C1"/>
    <w:rsid w:val="015676BF"/>
    <w:rsid w:val="01572F42"/>
    <w:rsid w:val="01575141"/>
    <w:rsid w:val="015821CD"/>
    <w:rsid w:val="01590644"/>
    <w:rsid w:val="01593EC7"/>
    <w:rsid w:val="01596446"/>
    <w:rsid w:val="015A390A"/>
    <w:rsid w:val="015B3B47"/>
    <w:rsid w:val="015C15C8"/>
    <w:rsid w:val="015D1E09"/>
    <w:rsid w:val="015D585D"/>
    <w:rsid w:val="015D704A"/>
    <w:rsid w:val="015E034F"/>
    <w:rsid w:val="015E6DD6"/>
    <w:rsid w:val="015F254D"/>
    <w:rsid w:val="015F3216"/>
    <w:rsid w:val="015F7975"/>
    <w:rsid w:val="0160261F"/>
    <w:rsid w:val="016027D5"/>
    <w:rsid w:val="01602CF5"/>
    <w:rsid w:val="01603852"/>
    <w:rsid w:val="01607FCF"/>
    <w:rsid w:val="01611507"/>
    <w:rsid w:val="01612479"/>
    <w:rsid w:val="01615A50"/>
    <w:rsid w:val="01620C7B"/>
    <w:rsid w:val="016234D2"/>
    <w:rsid w:val="01630F53"/>
    <w:rsid w:val="016347D7"/>
    <w:rsid w:val="01642258"/>
    <w:rsid w:val="01657CDA"/>
    <w:rsid w:val="01661ED8"/>
    <w:rsid w:val="0166575B"/>
    <w:rsid w:val="016731DD"/>
    <w:rsid w:val="0167511D"/>
    <w:rsid w:val="0167795A"/>
    <w:rsid w:val="01680C5E"/>
    <w:rsid w:val="016908DE"/>
    <w:rsid w:val="016966E0"/>
    <w:rsid w:val="016A4161"/>
    <w:rsid w:val="016A6360"/>
    <w:rsid w:val="016B1BE3"/>
    <w:rsid w:val="016B3DE1"/>
    <w:rsid w:val="016B7C0E"/>
    <w:rsid w:val="016C7665"/>
    <w:rsid w:val="016D1EEA"/>
    <w:rsid w:val="016D50E6"/>
    <w:rsid w:val="016D72E4"/>
    <w:rsid w:val="016F05E9"/>
    <w:rsid w:val="016F27E7"/>
    <w:rsid w:val="016F329F"/>
    <w:rsid w:val="01700269"/>
    <w:rsid w:val="01703458"/>
    <w:rsid w:val="0170606B"/>
    <w:rsid w:val="0171156E"/>
    <w:rsid w:val="01713AEC"/>
    <w:rsid w:val="01715CEB"/>
    <w:rsid w:val="017253B6"/>
    <w:rsid w:val="0172557B"/>
    <w:rsid w:val="01754D1F"/>
    <w:rsid w:val="01757692"/>
    <w:rsid w:val="0176006D"/>
    <w:rsid w:val="01760231"/>
    <w:rsid w:val="01762172"/>
    <w:rsid w:val="01777BF4"/>
    <w:rsid w:val="01780EF9"/>
    <w:rsid w:val="017930F7"/>
    <w:rsid w:val="0179697A"/>
    <w:rsid w:val="017A0B78"/>
    <w:rsid w:val="017A43FC"/>
    <w:rsid w:val="017C78FF"/>
    <w:rsid w:val="017D5815"/>
    <w:rsid w:val="017E2E02"/>
    <w:rsid w:val="017F5000"/>
    <w:rsid w:val="017F5C35"/>
    <w:rsid w:val="01806305"/>
    <w:rsid w:val="01810306"/>
    <w:rsid w:val="018104CB"/>
    <w:rsid w:val="01813D87"/>
    <w:rsid w:val="01815F85"/>
    <w:rsid w:val="01821808"/>
    <w:rsid w:val="01823A06"/>
    <w:rsid w:val="018425E2"/>
    <w:rsid w:val="0185498B"/>
    <w:rsid w:val="0186020E"/>
    <w:rsid w:val="01874535"/>
    <w:rsid w:val="018750D4"/>
    <w:rsid w:val="01875299"/>
    <w:rsid w:val="01883711"/>
    <w:rsid w:val="01891193"/>
    <w:rsid w:val="018A4696"/>
    <w:rsid w:val="018A71EC"/>
    <w:rsid w:val="018A73B0"/>
    <w:rsid w:val="018B1C01"/>
    <w:rsid w:val="018B2118"/>
    <w:rsid w:val="018C0929"/>
    <w:rsid w:val="018C4316"/>
    <w:rsid w:val="018D1D97"/>
    <w:rsid w:val="018D561B"/>
    <w:rsid w:val="018E1EA2"/>
    <w:rsid w:val="01902D1C"/>
    <w:rsid w:val="0191079E"/>
    <w:rsid w:val="01913FB9"/>
    <w:rsid w:val="01914021"/>
    <w:rsid w:val="0192621F"/>
    <w:rsid w:val="01933CA1"/>
    <w:rsid w:val="01937524"/>
    <w:rsid w:val="01952A27"/>
    <w:rsid w:val="019601E9"/>
    <w:rsid w:val="019604A9"/>
    <w:rsid w:val="019726A7"/>
    <w:rsid w:val="01980129"/>
    <w:rsid w:val="019839AC"/>
    <w:rsid w:val="01995BAA"/>
    <w:rsid w:val="019A362C"/>
    <w:rsid w:val="019A4593"/>
    <w:rsid w:val="019A4749"/>
    <w:rsid w:val="019B3879"/>
    <w:rsid w:val="019B6B2F"/>
    <w:rsid w:val="019C2A3A"/>
    <w:rsid w:val="019D7E34"/>
    <w:rsid w:val="019E58B5"/>
    <w:rsid w:val="01A00DB8"/>
    <w:rsid w:val="01A15995"/>
    <w:rsid w:val="01A21021"/>
    <w:rsid w:val="01A21D3D"/>
    <w:rsid w:val="01A377BE"/>
    <w:rsid w:val="01A4259A"/>
    <w:rsid w:val="01A53138"/>
    <w:rsid w:val="01A60743"/>
    <w:rsid w:val="01A746B1"/>
    <w:rsid w:val="01A83C46"/>
    <w:rsid w:val="01A916C8"/>
    <w:rsid w:val="01A95C58"/>
    <w:rsid w:val="01A95E0E"/>
    <w:rsid w:val="01AA498B"/>
    <w:rsid w:val="01AA6604"/>
    <w:rsid w:val="01AA7149"/>
    <w:rsid w:val="01AB42B5"/>
    <w:rsid w:val="01AE147F"/>
    <w:rsid w:val="01AF35D1"/>
    <w:rsid w:val="01B01053"/>
    <w:rsid w:val="01B033D2"/>
    <w:rsid w:val="01B03597"/>
    <w:rsid w:val="01B16AD4"/>
    <w:rsid w:val="01B24B10"/>
    <w:rsid w:val="01B31FD7"/>
    <w:rsid w:val="01B359E2"/>
    <w:rsid w:val="01B56C27"/>
    <w:rsid w:val="01B60A7A"/>
    <w:rsid w:val="01B67601"/>
    <w:rsid w:val="01B709DD"/>
    <w:rsid w:val="01B80280"/>
    <w:rsid w:val="01B8645F"/>
    <w:rsid w:val="01B93EE0"/>
    <w:rsid w:val="01BA73E4"/>
    <w:rsid w:val="01BC28E7"/>
    <w:rsid w:val="01BC366C"/>
    <w:rsid w:val="01BC3830"/>
    <w:rsid w:val="01BD616A"/>
    <w:rsid w:val="01BE5DEA"/>
    <w:rsid w:val="01BF166D"/>
    <w:rsid w:val="01BF5783"/>
    <w:rsid w:val="01C14B70"/>
    <w:rsid w:val="01C16D6E"/>
    <w:rsid w:val="01C20035"/>
    <w:rsid w:val="01C20073"/>
    <w:rsid w:val="01C225F2"/>
    <w:rsid w:val="01C247F0"/>
    <w:rsid w:val="01C30FD8"/>
    <w:rsid w:val="01C32272"/>
    <w:rsid w:val="01C41761"/>
    <w:rsid w:val="01C41B44"/>
    <w:rsid w:val="01C43576"/>
    <w:rsid w:val="01C50FF8"/>
    <w:rsid w:val="01C55775"/>
    <w:rsid w:val="01C630F0"/>
    <w:rsid w:val="01C744FB"/>
    <w:rsid w:val="01C80F04"/>
    <w:rsid w:val="01C8126F"/>
    <w:rsid w:val="01C866F9"/>
    <w:rsid w:val="01C95043"/>
    <w:rsid w:val="01CA1BFC"/>
    <w:rsid w:val="01CB2F01"/>
    <w:rsid w:val="01CB4366"/>
    <w:rsid w:val="01CC0983"/>
    <w:rsid w:val="01CC50FF"/>
    <w:rsid w:val="01CC715B"/>
    <w:rsid w:val="01CD0898"/>
    <w:rsid w:val="01CD2B81"/>
    <w:rsid w:val="01CD6404"/>
    <w:rsid w:val="01CE0603"/>
    <w:rsid w:val="01CE3E86"/>
    <w:rsid w:val="01CE642A"/>
    <w:rsid w:val="01CF1907"/>
    <w:rsid w:val="01CF1FD5"/>
    <w:rsid w:val="01CF6084"/>
    <w:rsid w:val="01D027EB"/>
    <w:rsid w:val="01D07389"/>
    <w:rsid w:val="01D2288C"/>
    <w:rsid w:val="01D27009"/>
    <w:rsid w:val="01D3030E"/>
    <w:rsid w:val="01D3250C"/>
    <w:rsid w:val="01D37168"/>
    <w:rsid w:val="01D454A1"/>
    <w:rsid w:val="01D45911"/>
    <w:rsid w:val="01D45D8F"/>
    <w:rsid w:val="01D53811"/>
    <w:rsid w:val="01D55A0F"/>
    <w:rsid w:val="01D61292"/>
    <w:rsid w:val="01D76D14"/>
    <w:rsid w:val="01D7777D"/>
    <w:rsid w:val="01D94415"/>
    <w:rsid w:val="01DA226F"/>
    <w:rsid w:val="01DB2E0E"/>
    <w:rsid w:val="01DB7918"/>
    <w:rsid w:val="01DC0C1D"/>
    <w:rsid w:val="01DC539A"/>
    <w:rsid w:val="01DD4386"/>
    <w:rsid w:val="01DE4120"/>
    <w:rsid w:val="01DF1BA2"/>
    <w:rsid w:val="01DF631E"/>
    <w:rsid w:val="01E062DA"/>
    <w:rsid w:val="01E07623"/>
    <w:rsid w:val="01E150A5"/>
    <w:rsid w:val="01E16E78"/>
    <w:rsid w:val="01E27A17"/>
    <w:rsid w:val="01E305A8"/>
    <w:rsid w:val="01E305B6"/>
    <w:rsid w:val="01E34D25"/>
    <w:rsid w:val="01E3718B"/>
    <w:rsid w:val="01E46029"/>
    <w:rsid w:val="01E468FF"/>
    <w:rsid w:val="01E50228"/>
    <w:rsid w:val="01E53AAB"/>
    <w:rsid w:val="01E6152D"/>
    <w:rsid w:val="01E76FAE"/>
    <w:rsid w:val="01E811AC"/>
    <w:rsid w:val="01E951BF"/>
    <w:rsid w:val="01EA2131"/>
    <w:rsid w:val="01EA7F33"/>
    <w:rsid w:val="01EC3436"/>
    <w:rsid w:val="01ED30B6"/>
    <w:rsid w:val="01ED7E75"/>
    <w:rsid w:val="01EE084F"/>
    <w:rsid w:val="01EE0B37"/>
    <w:rsid w:val="01EF13EE"/>
    <w:rsid w:val="01EF43BB"/>
    <w:rsid w:val="01F01DC8"/>
    <w:rsid w:val="01F01E3C"/>
    <w:rsid w:val="01F0403A"/>
    <w:rsid w:val="01F1203F"/>
    <w:rsid w:val="01F12715"/>
    <w:rsid w:val="01F210DC"/>
    <w:rsid w:val="01F22DC1"/>
    <w:rsid w:val="01F23341"/>
    <w:rsid w:val="01F2533F"/>
    <w:rsid w:val="01F2753D"/>
    <w:rsid w:val="01F30842"/>
    <w:rsid w:val="01F323F7"/>
    <w:rsid w:val="01F34FBF"/>
    <w:rsid w:val="01F42A41"/>
    <w:rsid w:val="01F4561D"/>
    <w:rsid w:val="01F462C4"/>
    <w:rsid w:val="01F504C2"/>
    <w:rsid w:val="01F53D45"/>
    <w:rsid w:val="01F739C5"/>
    <w:rsid w:val="01F77570"/>
    <w:rsid w:val="01F81447"/>
    <w:rsid w:val="01F84CCA"/>
    <w:rsid w:val="01F9274C"/>
    <w:rsid w:val="01FA01CD"/>
    <w:rsid w:val="01FA494A"/>
    <w:rsid w:val="01FB5C4F"/>
    <w:rsid w:val="01FC2C01"/>
    <w:rsid w:val="01FC2DC5"/>
    <w:rsid w:val="01FC7E4D"/>
    <w:rsid w:val="01FD1152"/>
    <w:rsid w:val="01FF0DD2"/>
    <w:rsid w:val="01FF4EDD"/>
    <w:rsid w:val="020058B7"/>
    <w:rsid w:val="02006853"/>
    <w:rsid w:val="02021D56"/>
    <w:rsid w:val="02022281"/>
    <w:rsid w:val="020277D8"/>
    <w:rsid w:val="0203305B"/>
    <w:rsid w:val="02040ADD"/>
    <w:rsid w:val="020624C0"/>
    <w:rsid w:val="020629AB"/>
    <w:rsid w:val="02063FE0"/>
    <w:rsid w:val="02070CCA"/>
    <w:rsid w:val="02071A61"/>
    <w:rsid w:val="0207305F"/>
    <w:rsid w:val="020874E3"/>
    <w:rsid w:val="02094F64"/>
    <w:rsid w:val="020A0467"/>
    <w:rsid w:val="020A29E6"/>
    <w:rsid w:val="020A5176"/>
    <w:rsid w:val="020C396B"/>
    <w:rsid w:val="020D13EC"/>
    <w:rsid w:val="020E7C68"/>
    <w:rsid w:val="020F0807"/>
    <w:rsid w:val="020F09CB"/>
    <w:rsid w:val="020F48EF"/>
    <w:rsid w:val="020F5EE1"/>
    <w:rsid w:val="02101F44"/>
    <w:rsid w:val="02111D80"/>
    <w:rsid w:val="02112AE3"/>
    <w:rsid w:val="021146F3"/>
    <w:rsid w:val="02117DF2"/>
    <w:rsid w:val="021332F5"/>
    <w:rsid w:val="0213405C"/>
    <w:rsid w:val="021567F9"/>
    <w:rsid w:val="021639D3"/>
    <w:rsid w:val="0216427A"/>
    <w:rsid w:val="02165FAF"/>
    <w:rsid w:val="02171CFC"/>
    <w:rsid w:val="021900C6"/>
    <w:rsid w:val="02192117"/>
    <w:rsid w:val="021B0702"/>
    <w:rsid w:val="021C1A07"/>
    <w:rsid w:val="021D3C05"/>
    <w:rsid w:val="021E019D"/>
    <w:rsid w:val="021F298B"/>
    <w:rsid w:val="021F7108"/>
    <w:rsid w:val="02204B8A"/>
    <w:rsid w:val="0221260B"/>
    <w:rsid w:val="0221640D"/>
    <w:rsid w:val="0222008D"/>
    <w:rsid w:val="02223910"/>
    <w:rsid w:val="02223FF9"/>
    <w:rsid w:val="02231391"/>
    <w:rsid w:val="02246E13"/>
    <w:rsid w:val="02250EFF"/>
    <w:rsid w:val="022528E9"/>
    <w:rsid w:val="02254895"/>
    <w:rsid w:val="02256A93"/>
    <w:rsid w:val="02261C62"/>
    <w:rsid w:val="02262316"/>
    <w:rsid w:val="022831DB"/>
    <w:rsid w:val="02285819"/>
    <w:rsid w:val="02293D79"/>
    <w:rsid w:val="022A679E"/>
    <w:rsid w:val="022B2C0A"/>
    <w:rsid w:val="022B38DD"/>
    <w:rsid w:val="022B421F"/>
    <w:rsid w:val="022C1CA1"/>
    <w:rsid w:val="022C27C5"/>
    <w:rsid w:val="022C5CCC"/>
    <w:rsid w:val="022C641E"/>
    <w:rsid w:val="022D1D83"/>
    <w:rsid w:val="022D3E9F"/>
    <w:rsid w:val="022D740A"/>
    <w:rsid w:val="022E51A4"/>
    <w:rsid w:val="022E7DE4"/>
    <w:rsid w:val="022F0983"/>
    <w:rsid w:val="022F2C26"/>
    <w:rsid w:val="023006A7"/>
    <w:rsid w:val="02311EFB"/>
    <w:rsid w:val="023128A5"/>
    <w:rsid w:val="02316129"/>
    <w:rsid w:val="02320327"/>
    <w:rsid w:val="02322A9A"/>
    <w:rsid w:val="0234382A"/>
    <w:rsid w:val="023470AD"/>
    <w:rsid w:val="023512AC"/>
    <w:rsid w:val="023549ED"/>
    <w:rsid w:val="02354B2F"/>
    <w:rsid w:val="02354BB2"/>
    <w:rsid w:val="02366D2D"/>
    <w:rsid w:val="02370032"/>
    <w:rsid w:val="02375F66"/>
    <w:rsid w:val="02382230"/>
    <w:rsid w:val="02385AB4"/>
    <w:rsid w:val="02393535"/>
    <w:rsid w:val="02397CB2"/>
    <w:rsid w:val="023A0FB7"/>
    <w:rsid w:val="023B0C37"/>
    <w:rsid w:val="023B48CB"/>
    <w:rsid w:val="023B6A38"/>
    <w:rsid w:val="023C44BA"/>
    <w:rsid w:val="023D1F3B"/>
    <w:rsid w:val="023D413A"/>
    <w:rsid w:val="023F763D"/>
    <w:rsid w:val="02402EC0"/>
    <w:rsid w:val="02404E4B"/>
    <w:rsid w:val="02410942"/>
    <w:rsid w:val="02412B40"/>
    <w:rsid w:val="024205C1"/>
    <w:rsid w:val="02424648"/>
    <w:rsid w:val="024318C6"/>
    <w:rsid w:val="02436043"/>
    <w:rsid w:val="02443AC4"/>
    <w:rsid w:val="02447348"/>
    <w:rsid w:val="02451546"/>
    <w:rsid w:val="02485D4E"/>
    <w:rsid w:val="02497F4C"/>
    <w:rsid w:val="024A1251"/>
    <w:rsid w:val="024B5A70"/>
    <w:rsid w:val="024B6CD3"/>
    <w:rsid w:val="024C4754"/>
    <w:rsid w:val="024C5C84"/>
    <w:rsid w:val="024C5E48"/>
    <w:rsid w:val="024D21D6"/>
    <w:rsid w:val="024D6952"/>
    <w:rsid w:val="024E7C57"/>
    <w:rsid w:val="024F1E56"/>
    <w:rsid w:val="024F56D9"/>
    <w:rsid w:val="024F7D9B"/>
    <w:rsid w:val="024F7F60"/>
    <w:rsid w:val="0250093A"/>
    <w:rsid w:val="0250315A"/>
    <w:rsid w:val="025078D7"/>
    <w:rsid w:val="02510BDC"/>
    <w:rsid w:val="02515359"/>
    <w:rsid w:val="0252665D"/>
    <w:rsid w:val="0253085C"/>
    <w:rsid w:val="02541B61"/>
    <w:rsid w:val="025517E0"/>
    <w:rsid w:val="025575E2"/>
    <w:rsid w:val="02565064"/>
    <w:rsid w:val="02565543"/>
    <w:rsid w:val="02567262"/>
    <w:rsid w:val="02572AE5"/>
    <w:rsid w:val="02574CE3"/>
    <w:rsid w:val="025760E2"/>
    <w:rsid w:val="02580207"/>
    <w:rsid w:val="02580567"/>
    <w:rsid w:val="02586ABC"/>
    <w:rsid w:val="0259024D"/>
    <w:rsid w:val="02595FE8"/>
    <w:rsid w:val="0259765B"/>
    <w:rsid w:val="025A3A6A"/>
    <w:rsid w:val="025A5C68"/>
    <w:rsid w:val="025B0D98"/>
    <w:rsid w:val="025C5B23"/>
    <w:rsid w:val="025D6BED"/>
    <w:rsid w:val="025E466E"/>
    <w:rsid w:val="025E7EF2"/>
    <w:rsid w:val="025F20F0"/>
    <w:rsid w:val="02607B71"/>
    <w:rsid w:val="02614E03"/>
    <w:rsid w:val="026155F3"/>
    <w:rsid w:val="02623074"/>
    <w:rsid w:val="026259A2"/>
    <w:rsid w:val="026268F8"/>
    <w:rsid w:val="02630AF6"/>
    <w:rsid w:val="02634379"/>
    <w:rsid w:val="02646578"/>
    <w:rsid w:val="026478F5"/>
    <w:rsid w:val="02650658"/>
    <w:rsid w:val="02653FF9"/>
    <w:rsid w:val="02661A7B"/>
    <w:rsid w:val="026652FE"/>
    <w:rsid w:val="02672D95"/>
    <w:rsid w:val="02680801"/>
    <w:rsid w:val="026929FF"/>
    <w:rsid w:val="02693149"/>
    <w:rsid w:val="02697903"/>
    <w:rsid w:val="026A3B24"/>
    <w:rsid w:val="026B4187"/>
    <w:rsid w:val="026C549F"/>
    <w:rsid w:val="026C7207"/>
    <w:rsid w:val="026D4C89"/>
    <w:rsid w:val="026E270A"/>
    <w:rsid w:val="026F71B4"/>
    <w:rsid w:val="027112CC"/>
    <w:rsid w:val="0271368F"/>
    <w:rsid w:val="02721111"/>
    <w:rsid w:val="02721E6A"/>
    <w:rsid w:val="02732A09"/>
    <w:rsid w:val="02736B92"/>
    <w:rsid w:val="02742095"/>
    <w:rsid w:val="02747281"/>
    <w:rsid w:val="02764B31"/>
    <w:rsid w:val="0277301A"/>
    <w:rsid w:val="02780A9B"/>
    <w:rsid w:val="0279651D"/>
    <w:rsid w:val="027A3F9F"/>
    <w:rsid w:val="027C3D6B"/>
    <w:rsid w:val="027D4F23"/>
    <w:rsid w:val="027F3841"/>
    <w:rsid w:val="02805EA8"/>
    <w:rsid w:val="02813929"/>
    <w:rsid w:val="02814F7F"/>
    <w:rsid w:val="028213AB"/>
    <w:rsid w:val="028218A9"/>
    <w:rsid w:val="02821C14"/>
    <w:rsid w:val="02824C2E"/>
    <w:rsid w:val="0283153E"/>
    <w:rsid w:val="028326B0"/>
    <w:rsid w:val="028400BA"/>
    <w:rsid w:val="02852330"/>
    <w:rsid w:val="02855BB3"/>
    <w:rsid w:val="02857679"/>
    <w:rsid w:val="0286044B"/>
    <w:rsid w:val="02875833"/>
    <w:rsid w:val="02881B88"/>
    <w:rsid w:val="028832B4"/>
    <w:rsid w:val="02886B37"/>
    <w:rsid w:val="028945B9"/>
    <w:rsid w:val="028A203B"/>
    <w:rsid w:val="028A32C5"/>
    <w:rsid w:val="028A67B7"/>
    <w:rsid w:val="028B1CBA"/>
    <w:rsid w:val="028C553E"/>
    <w:rsid w:val="028C773C"/>
    <w:rsid w:val="028D2FBF"/>
    <w:rsid w:val="028D51BD"/>
    <w:rsid w:val="028E6791"/>
    <w:rsid w:val="028F06C1"/>
    <w:rsid w:val="02903F44"/>
    <w:rsid w:val="02906142"/>
    <w:rsid w:val="02907ECF"/>
    <w:rsid w:val="029108A9"/>
    <w:rsid w:val="029139AF"/>
    <w:rsid w:val="02913BC4"/>
    <w:rsid w:val="02922898"/>
    <w:rsid w:val="02927447"/>
    <w:rsid w:val="02931FE6"/>
    <w:rsid w:val="029429C0"/>
    <w:rsid w:val="02942B85"/>
    <w:rsid w:val="029638CF"/>
    <w:rsid w:val="02963F39"/>
    <w:rsid w:val="02972727"/>
    <w:rsid w:val="02975ACD"/>
    <w:rsid w:val="02984C1C"/>
    <w:rsid w:val="02990FD0"/>
    <w:rsid w:val="02994853"/>
    <w:rsid w:val="029A22D5"/>
    <w:rsid w:val="029B44D3"/>
    <w:rsid w:val="029B7D56"/>
    <w:rsid w:val="029C1F55"/>
    <w:rsid w:val="029D79D6"/>
    <w:rsid w:val="029F2ED9"/>
    <w:rsid w:val="029F675D"/>
    <w:rsid w:val="02A0095B"/>
    <w:rsid w:val="02A041DE"/>
    <w:rsid w:val="02A05901"/>
    <w:rsid w:val="02A11C60"/>
    <w:rsid w:val="02A163DC"/>
    <w:rsid w:val="02A23E5E"/>
    <w:rsid w:val="02A26AC8"/>
    <w:rsid w:val="02A35163"/>
    <w:rsid w:val="02A35AD5"/>
    <w:rsid w:val="02A44DE3"/>
    <w:rsid w:val="02A47361"/>
    <w:rsid w:val="02A56E89"/>
    <w:rsid w:val="02A602E6"/>
    <w:rsid w:val="02A660E8"/>
    <w:rsid w:val="02A75D67"/>
    <w:rsid w:val="02A9706C"/>
    <w:rsid w:val="02AA4AEE"/>
    <w:rsid w:val="02AB2095"/>
    <w:rsid w:val="02AB256F"/>
    <w:rsid w:val="02AB476E"/>
    <w:rsid w:val="02AC47F6"/>
    <w:rsid w:val="02AC7FF1"/>
    <w:rsid w:val="02AD34F4"/>
    <w:rsid w:val="02AD7C71"/>
    <w:rsid w:val="02AE0F75"/>
    <w:rsid w:val="02AE56F2"/>
    <w:rsid w:val="02AF690D"/>
    <w:rsid w:val="02AF7D72"/>
    <w:rsid w:val="02B00BF5"/>
    <w:rsid w:val="02B06C5B"/>
    <w:rsid w:val="02B240F8"/>
    <w:rsid w:val="02B41F9E"/>
    <w:rsid w:val="02B42E7F"/>
    <w:rsid w:val="02B475FB"/>
    <w:rsid w:val="02B62AFF"/>
    <w:rsid w:val="02B63EF1"/>
    <w:rsid w:val="02B66382"/>
    <w:rsid w:val="02B73E03"/>
    <w:rsid w:val="02B81885"/>
    <w:rsid w:val="02B86002"/>
    <w:rsid w:val="02B93A83"/>
    <w:rsid w:val="02B97306"/>
    <w:rsid w:val="02BA4D88"/>
    <w:rsid w:val="02BC02E4"/>
    <w:rsid w:val="02BC455C"/>
    <w:rsid w:val="02BC4A08"/>
    <w:rsid w:val="02BD5D0D"/>
    <w:rsid w:val="02BE1282"/>
    <w:rsid w:val="02BE1699"/>
    <w:rsid w:val="02BE1E79"/>
    <w:rsid w:val="02BE1F02"/>
    <w:rsid w:val="02BF1210"/>
    <w:rsid w:val="02BF2237"/>
    <w:rsid w:val="02BF340E"/>
    <w:rsid w:val="02C06C91"/>
    <w:rsid w:val="02C14713"/>
    <w:rsid w:val="02C16911"/>
    <w:rsid w:val="02C22194"/>
    <w:rsid w:val="02C2434F"/>
    <w:rsid w:val="02C31E14"/>
    <w:rsid w:val="02C45698"/>
    <w:rsid w:val="02C50B9B"/>
    <w:rsid w:val="02C55317"/>
    <w:rsid w:val="02C72045"/>
    <w:rsid w:val="02C81B1F"/>
    <w:rsid w:val="02C91AF7"/>
    <w:rsid w:val="02C93D1E"/>
    <w:rsid w:val="02C975A1"/>
    <w:rsid w:val="02CA179F"/>
    <w:rsid w:val="02CB7221"/>
    <w:rsid w:val="02CC0525"/>
    <w:rsid w:val="02CD2724"/>
    <w:rsid w:val="02CD5FA7"/>
    <w:rsid w:val="02CE01A5"/>
    <w:rsid w:val="02CE17E8"/>
    <w:rsid w:val="02CE2AFD"/>
    <w:rsid w:val="02CF14AA"/>
    <w:rsid w:val="02D06F2C"/>
    <w:rsid w:val="02D1729F"/>
    <w:rsid w:val="02D20818"/>
    <w:rsid w:val="02D2242F"/>
    <w:rsid w:val="02D313B6"/>
    <w:rsid w:val="02D3157B"/>
    <w:rsid w:val="02D41F55"/>
    <w:rsid w:val="02D45932"/>
    <w:rsid w:val="02D52AF4"/>
    <w:rsid w:val="02D60E35"/>
    <w:rsid w:val="02D634CE"/>
    <w:rsid w:val="02D84338"/>
    <w:rsid w:val="02D84A47"/>
    <w:rsid w:val="02D84C0B"/>
    <w:rsid w:val="02D91DBA"/>
    <w:rsid w:val="02D957AA"/>
    <w:rsid w:val="02DA6184"/>
    <w:rsid w:val="02DA783B"/>
    <w:rsid w:val="02DD00D7"/>
    <w:rsid w:val="02DD6241"/>
    <w:rsid w:val="02DF1744"/>
    <w:rsid w:val="02DF389F"/>
    <w:rsid w:val="02E02D8D"/>
    <w:rsid w:val="02E14C48"/>
    <w:rsid w:val="02E226C9"/>
    <w:rsid w:val="02E45A44"/>
    <w:rsid w:val="02E5364E"/>
    <w:rsid w:val="02E565E2"/>
    <w:rsid w:val="02E610CF"/>
    <w:rsid w:val="02E76B51"/>
    <w:rsid w:val="02E806FA"/>
    <w:rsid w:val="02E81E9C"/>
    <w:rsid w:val="02E958D7"/>
    <w:rsid w:val="02EB0DDA"/>
    <w:rsid w:val="02EB2811"/>
    <w:rsid w:val="02EC3D8A"/>
    <w:rsid w:val="02ED0A5A"/>
    <w:rsid w:val="02ED42DD"/>
    <w:rsid w:val="02ED4929"/>
    <w:rsid w:val="02EE1D5F"/>
    <w:rsid w:val="02EE64DC"/>
    <w:rsid w:val="02EF77E1"/>
    <w:rsid w:val="02F019DF"/>
    <w:rsid w:val="02F05262"/>
    <w:rsid w:val="02F07A01"/>
    <w:rsid w:val="02F24EE2"/>
    <w:rsid w:val="02F30994"/>
    <w:rsid w:val="02F32963"/>
    <w:rsid w:val="02F403E5"/>
    <w:rsid w:val="02F43C68"/>
    <w:rsid w:val="02F45E67"/>
    <w:rsid w:val="02F538E8"/>
    <w:rsid w:val="02F6136A"/>
    <w:rsid w:val="02F73DEE"/>
    <w:rsid w:val="02F76DEB"/>
    <w:rsid w:val="02F827B5"/>
    <w:rsid w:val="02F83562"/>
    <w:rsid w:val="02F900F0"/>
    <w:rsid w:val="02F922EE"/>
    <w:rsid w:val="02F96569"/>
    <w:rsid w:val="02FA5B72"/>
    <w:rsid w:val="02FA7D70"/>
    <w:rsid w:val="02FB290E"/>
    <w:rsid w:val="02FB35F3"/>
    <w:rsid w:val="02FD4578"/>
    <w:rsid w:val="02FE0DF2"/>
    <w:rsid w:val="02FE1FF9"/>
    <w:rsid w:val="02FE6776"/>
    <w:rsid w:val="02FF17CC"/>
    <w:rsid w:val="02FF1990"/>
    <w:rsid w:val="02FF41F8"/>
    <w:rsid w:val="02FF5E45"/>
    <w:rsid w:val="02FF7A7B"/>
    <w:rsid w:val="0300236B"/>
    <w:rsid w:val="030054FC"/>
    <w:rsid w:val="03012D45"/>
    <w:rsid w:val="03012F7E"/>
    <w:rsid w:val="03020A00"/>
    <w:rsid w:val="0302517C"/>
    <w:rsid w:val="03034482"/>
    <w:rsid w:val="0304067F"/>
    <w:rsid w:val="03043B39"/>
    <w:rsid w:val="03045021"/>
    <w:rsid w:val="03056101"/>
    <w:rsid w:val="03056415"/>
    <w:rsid w:val="03056936"/>
    <w:rsid w:val="03063B82"/>
    <w:rsid w:val="0306625F"/>
    <w:rsid w:val="03067406"/>
    <w:rsid w:val="03071604"/>
    <w:rsid w:val="03074E87"/>
    <w:rsid w:val="0309038A"/>
    <w:rsid w:val="030B000A"/>
    <w:rsid w:val="030D0F8F"/>
    <w:rsid w:val="030D3B7D"/>
    <w:rsid w:val="030E4812"/>
    <w:rsid w:val="030F2294"/>
    <w:rsid w:val="030F4492"/>
    <w:rsid w:val="030F52BB"/>
    <w:rsid w:val="03115797"/>
    <w:rsid w:val="03116833"/>
    <w:rsid w:val="03123218"/>
    <w:rsid w:val="031273D2"/>
    <w:rsid w:val="03130C9A"/>
    <w:rsid w:val="03132E98"/>
    <w:rsid w:val="0314091A"/>
    <w:rsid w:val="0314671B"/>
    <w:rsid w:val="031501B1"/>
    <w:rsid w:val="031514EA"/>
    <w:rsid w:val="03151C1F"/>
    <w:rsid w:val="0315639B"/>
    <w:rsid w:val="03157FFB"/>
    <w:rsid w:val="03161EC4"/>
    <w:rsid w:val="03163E1D"/>
    <w:rsid w:val="03173601"/>
    <w:rsid w:val="03182BA3"/>
    <w:rsid w:val="031841A0"/>
    <w:rsid w:val="03187320"/>
    <w:rsid w:val="031A60A6"/>
    <w:rsid w:val="031B3B28"/>
    <w:rsid w:val="031B62B7"/>
    <w:rsid w:val="031C5D26"/>
    <w:rsid w:val="031D37A8"/>
    <w:rsid w:val="031D702B"/>
    <w:rsid w:val="031E4AAC"/>
    <w:rsid w:val="03207FB0"/>
    <w:rsid w:val="032121AE"/>
    <w:rsid w:val="03212322"/>
    <w:rsid w:val="03215A31"/>
    <w:rsid w:val="03227C2F"/>
    <w:rsid w:val="0323443A"/>
    <w:rsid w:val="032356B1"/>
    <w:rsid w:val="03241F4C"/>
    <w:rsid w:val="03243133"/>
    <w:rsid w:val="032469B6"/>
    <w:rsid w:val="03250E34"/>
    <w:rsid w:val="03254437"/>
    <w:rsid w:val="03257B30"/>
    <w:rsid w:val="03276F2B"/>
    <w:rsid w:val="0329503C"/>
    <w:rsid w:val="032A1043"/>
    <w:rsid w:val="032B6341"/>
    <w:rsid w:val="032C5FC0"/>
    <w:rsid w:val="032D3A42"/>
    <w:rsid w:val="032D71CA"/>
    <w:rsid w:val="032E4D47"/>
    <w:rsid w:val="032F27C8"/>
    <w:rsid w:val="032F46D3"/>
    <w:rsid w:val="032F6F45"/>
    <w:rsid w:val="0330024A"/>
    <w:rsid w:val="033049C7"/>
    <w:rsid w:val="03305436"/>
    <w:rsid w:val="033159F7"/>
    <w:rsid w:val="03315CCB"/>
    <w:rsid w:val="033267EB"/>
    <w:rsid w:val="0332738A"/>
    <w:rsid w:val="0332754E"/>
    <w:rsid w:val="03327ECA"/>
    <w:rsid w:val="033546D2"/>
    <w:rsid w:val="03361E7B"/>
    <w:rsid w:val="03362040"/>
    <w:rsid w:val="03377BD5"/>
    <w:rsid w:val="033835B9"/>
    <w:rsid w:val="03385656"/>
    <w:rsid w:val="03393F93"/>
    <w:rsid w:val="033A0B59"/>
    <w:rsid w:val="033A62C2"/>
    <w:rsid w:val="033E7560"/>
    <w:rsid w:val="033F01C2"/>
    <w:rsid w:val="033F4FE1"/>
    <w:rsid w:val="033F7E69"/>
    <w:rsid w:val="03402A63"/>
    <w:rsid w:val="034104E4"/>
    <w:rsid w:val="034122DA"/>
    <w:rsid w:val="03422E78"/>
    <w:rsid w:val="03425F66"/>
    <w:rsid w:val="034339E7"/>
    <w:rsid w:val="03433A17"/>
    <w:rsid w:val="0343519F"/>
    <w:rsid w:val="03443858"/>
    <w:rsid w:val="03452BA8"/>
    <w:rsid w:val="03456094"/>
    <w:rsid w:val="03465B2E"/>
    <w:rsid w:val="03477E6F"/>
    <w:rsid w:val="034827E5"/>
    <w:rsid w:val="03486EE3"/>
    <w:rsid w:val="034C42F7"/>
    <w:rsid w:val="034E1C04"/>
    <w:rsid w:val="034F484F"/>
    <w:rsid w:val="03500937"/>
    <w:rsid w:val="03506580"/>
    <w:rsid w:val="03514002"/>
    <w:rsid w:val="03526200"/>
    <w:rsid w:val="03537505"/>
    <w:rsid w:val="03544F87"/>
    <w:rsid w:val="03547EE0"/>
    <w:rsid w:val="03550A7E"/>
    <w:rsid w:val="03552A08"/>
    <w:rsid w:val="03557185"/>
    <w:rsid w:val="03561459"/>
    <w:rsid w:val="03564C06"/>
    <w:rsid w:val="03572688"/>
    <w:rsid w:val="0358398D"/>
    <w:rsid w:val="0359140E"/>
    <w:rsid w:val="035A360D"/>
    <w:rsid w:val="035B4911"/>
    <w:rsid w:val="035B5688"/>
    <w:rsid w:val="035C6B10"/>
    <w:rsid w:val="035D2013"/>
    <w:rsid w:val="035D4591"/>
    <w:rsid w:val="035D6C01"/>
    <w:rsid w:val="035D6DC5"/>
    <w:rsid w:val="035D7E14"/>
    <w:rsid w:val="035E347F"/>
    <w:rsid w:val="035E5896"/>
    <w:rsid w:val="035E7A94"/>
    <w:rsid w:val="035F033E"/>
    <w:rsid w:val="035F3318"/>
    <w:rsid w:val="03600D99"/>
    <w:rsid w:val="0361114B"/>
    <w:rsid w:val="0362649B"/>
    <w:rsid w:val="03632E30"/>
    <w:rsid w:val="0364779F"/>
    <w:rsid w:val="03652CA2"/>
    <w:rsid w:val="03664EA1"/>
    <w:rsid w:val="03672922"/>
    <w:rsid w:val="03675921"/>
    <w:rsid w:val="036761A6"/>
    <w:rsid w:val="03683BE2"/>
    <w:rsid w:val="036916A9"/>
    <w:rsid w:val="03697BFD"/>
    <w:rsid w:val="036A38A7"/>
    <w:rsid w:val="036A549B"/>
    <w:rsid w:val="036B1176"/>
    <w:rsid w:val="036B1328"/>
    <w:rsid w:val="036C1D15"/>
    <w:rsid w:val="036C6DAA"/>
    <w:rsid w:val="036D00AF"/>
    <w:rsid w:val="036D2DAF"/>
    <w:rsid w:val="036D482C"/>
    <w:rsid w:val="036E22AD"/>
    <w:rsid w:val="036E328E"/>
    <w:rsid w:val="036E5B30"/>
    <w:rsid w:val="036F35B2"/>
    <w:rsid w:val="036F3C68"/>
    <w:rsid w:val="036F7D2F"/>
    <w:rsid w:val="037057B0"/>
    <w:rsid w:val="03713232"/>
    <w:rsid w:val="037153A5"/>
    <w:rsid w:val="03716AB5"/>
    <w:rsid w:val="03720CB3"/>
    <w:rsid w:val="03724537"/>
    <w:rsid w:val="037441B6"/>
    <w:rsid w:val="03747A3A"/>
    <w:rsid w:val="03751C38"/>
    <w:rsid w:val="037554BB"/>
    <w:rsid w:val="03760A36"/>
    <w:rsid w:val="03762F3D"/>
    <w:rsid w:val="03771FAF"/>
    <w:rsid w:val="0378063E"/>
    <w:rsid w:val="03793528"/>
    <w:rsid w:val="037A3B41"/>
    <w:rsid w:val="037B768C"/>
    <w:rsid w:val="037B7BAD"/>
    <w:rsid w:val="037C5803"/>
    <w:rsid w:val="037E123A"/>
    <w:rsid w:val="037E5DCB"/>
    <w:rsid w:val="037F384C"/>
    <w:rsid w:val="038012CE"/>
    <w:rsid w:val="03805A4B"/>
    <w:rsid w:val="038134CC"/>
    <w:rsid w:val="03816D4F"/>
    <w:rsid w:val="03820F4E"/>
    <w:rsid w:val="038247D1"/>
    <w:rsid w:val="03832248"/>
    <w:rsid w:val="03832252"/>
    <w:rsid w:val="03842DE7"/>
    <w:rsid w:val="03844451"/>
    <w:rsid w:val="03855756"/>
    <w:rsid w:val="038650C3"/>
    <w:rsid w:val="03870C59"/>
    <w:rsid w:val="038753D5"/>
    <w:rsid w:val="038832EC"/>
    <w:rsid w:val="038908D8"/>
    <w:rsid w:val="03892A60"/>
    <w:rsid w:val="0389415C"/>
    <w:rsid w:val="03897016"/>
    <w:rsid w:val="038A1428"/>
    <w:rsid w:val="038A1BDD"/>
    <w:rsid w:val="038A635A"/>
    <w:rsid w:val="038D1B08"/>
    <w:rsid w:val="038D72DF"/>
    <w:rsid w:val="038E05E4"/>
    <w:rsid w:val="038E27E2"/>
    <w:rsid w:val="038E286B"/>
    <w:rsid w:val="038E4D60"/>
    <w:rsid w:val="038F0263"/>
    <w:rsid w:val="03903AE7"/>
    <w:rsid w:val="03905CE5"/>
    <w:rsid w:val="039211E8"/>
    <w:rsid w:val="03926FEA"/>
    <w:rsid w:val="039424ED"/>
    <w:rsid w:val="039446EB"/>
    <w:rsid w:val="0395216D"/>
    <w:rsid w:val="03963471"/>
    <w:rsid w:val="03964C18"/>
    <w:rsid w:val="039659F0"/>
    <w:rsid w:val="03967BEE"/>
    <w:rsid w:val="03970EF3"/>
    <w:rsid w:val="03975670"/>
    <w:rsid w:val="039830F1"/>
    <w:rsid w:val="03990B73"/>
    <w:rsid w:val="039943F6"/>
    <w:rsid w:val="039A1E78"/>
    <w:rsid w:val="039B78F9"/>
    <w:rsid w:val="039E087E"/>
    <w:rsid w:val="039E635A"/>
    <w:rsid w:val="039F62FF"/>
    <w:rsid w:val="03A03D81"/>
    <w:rsid w:val="03A043CE"/>
    <w:rsid w:val="03A166F5"/>
    <w:rsid w:val="03A42787"/>
    <w:rsid w:val="03A50209"/>
    <w:rsid w:val="03A53001"/>
    <w:rsid w:val="03A65C8A"/>
    <w:rsid w:val="03A85C19"/>
    <w:rsid w:val="03A9642F"/>
    <w:rsid w:val="03A965F3"/>
    <w:rsid w:val="03AA4690"/>
    <w:rsid w:val="03AA6FCE"/>
    <w:rsid w:val="03AB2112"/>
    <w:rsid w:val="03AB7B6C"/>
    <w:rsid w:val="03AD10E5"/>
    <w:rsid w:val="03AD1C84"/>
    <w:rsid w:val="03AD5615"/>
    <w:rsid w:val="03AE0B18"/>
    <w:rsid w:val="03AE3097"/>
    <w:rsid w:val="03AF31FD"/>
    <w:rsid w:val="03AF4EB5"/>
    <w:rsid w:val="03B0401B"/>
    <w:rsid w:val="03B11A9D"/>
    <w:rsid w:val="03B1493A"/>
    <w:rsid w:val="03B2751E"/>
    <w:rsid w:val="03B35CEE"/>
    <w:rsid w:val="03B46A51"/>
    <w:rsid w:val="03B504A3"/>
    <w:rsid w:val="03B51295"/>
    <w:rsid w:val="03B57C8F"/>
    <w:rsid w:val="03B6017D"/>
    <w:rsid w:val="03B6069E"/>
    <w:rsid w:val="03B63D26"/>
    <w:rsid w:val="03B65F25"/>
    <w:rsid w:val="03B662AC"/>
    <w:rsid w:val="03B70B69"/>
    <w:rsid w:val="03B739A6"/>
    <w:rsid w:val="03B84CAB"/>
    <w:rsid w:val="03B92C81"/>
    <w:rsid w:val="03BA01AE"/>
    <w:rsid w:val="03BA2ABC"/>
    <w:rsid w:val="03BB23AC"/>
    <w:rsid w:val="03BC76A4"/>
    <w:rsid w:val="03BD1133"/>
    <w:rsid w:val="03BE3331"/>
    <w:rsid w:val="03BF0DB3"/>
    <w:rsid w:val="03BF4636"/>
    <w:rsid w:val="03C020B7"/>
    <w:rsid w:val="03C10264"/>
    <w:rsid w:val="03C21D37"/>
    <w:rsid w:val="03C255BA"/>
    <w:rsid w:val="03C263B6"/>
    <w:rsid w:val="03C3303C"/>
    <w:rsid w:val="03C33F93"/>
    <w:rsid w:val="03C40520"/>
    <w:rsid w:val="03C4237C"/>
    <w:rsid w:val="03C520CE"/>
    <w:rsid w:val="03C52CBC"/>
    <w:rsid w:val="03C63DF1"/>
    <w:rsid w:val="03C63FC1"/>
    <w:rsid w:val="03C661BF"/>
    <w:rsid w:val="03C816C2"/>
    <w:rsid w:val="03C94F45"/>
    <w:rsid w:val="03C965AB"/>
    <w:rsid w:val="03C97144"/>
    <w:rsid w:val="03CA29C7"/>
    <w:rsid w:val="03CB0448"/>
    <w:rsid w:val="03CC380A"/>
    <w:rsid w:val="03CC5ECA"/>
    <w:rsid w:val="03CD109D"/>
    <w:rsid w:val="03CD5B4A"/>
    <w:rsid w:val="03CE1E00"/>
    <w:rsid w:val="03CE6E4F"/>
    <w:rsid w:val="03CF104D"/>
    <w:rsid w:val="03CF27DA"/>
    <w:rsid w:val="03CF48D0"/>
    <w:rsid w:val="03D02352"/>
    <w:rsid w:val="03D13D53"/>
    <w:rsid w:val="03D14550"/>
    <w:rsid w:val="03D17DD3"/>
    <w:rsid w:val="03D21FD2"/>
    <w:rsid w:val="03D2609A"/>
    <w:rsid w:val="03D332D6"/>
    <w:rsid w:val="03D37A53"/>
    <w:rsid w:val="03D56844"/>
    <w:rsid w:val="03D56A09"/>
    <w:rsid w:val="03D6425B"/>
    <w:rsid w:val="03D673E3"/>
    <w:rsid w:val="03D71CDD"/>
    <w:rsid w:val="03D8775E"/>
    <w:rsid w:val="03D9126A"/>
    <w:rsid w:val="03D9195C"/>
    <w:rsid w:val="03DA2C61"/>
    <w:rsid w:val="03DA66C8"/>
    <w:rsid w:val="03DA73DE"/>
    <w:rsid w:val="03DC28E1"/>
    <w:rsid w:val="03DC41B1"/>
    <w:rsid w:val="03DC6164"/>
    <w:rsid w:val="03DD0363"/>
    <w:rsid w:val="03DD3BE6"/>
    <w:rsid w:val="03DD4B8B"/>
    <w:rsid w:val="03DE1667"/>
    <w:rsid w:val="03DE572A"/>
    <w:rsid w:val="03DE5DE4"/>
    <w:rsid w:val="03DF12E7"/>
    <w:rsid w:val="03E132FB"/>
    <w:rsid w:val="03E147EA"/>
    <w:rsid w:val="03E17841"/>
    <w:rsid w:val="03E2006E"/>
    <w:rsid w:val="03E2021C"/>
    <w:rsid w:val="03E203E0"/>
    <w:rsid w:val="03E2226C"/>
    <w:rsid w:val="03E35AEF"/>
    <w:rsid w:val="03E37CED"/>
    <w:rsid w:val="03E43571"/>
    <w:rsid w:val="03E4576F"/>
    <w:rsid w:val="03E531F1"/>
    <w:rsid w:val="03E71F77"/>
    <w:rsid w:val="03E766F4"/>
    <w:rsid w:val="03E84FE9"/>
    <w:rsid w:val="03E9547A"/>
    <w:rsid w:val="03E95B88"/>
    <w:rsid w:val="03EA7678"/>
    <w:rsid w:val="03EA7B21"/>
    <w:rsid w:val="03EB50FA"/>
    <w:rsid w:val="03EC63FF"/>
    <w:rsid w:val="03EC7ADB"/>
    <w:rsid w:val="03EC7C9F"/>
    <w:rsid w:val="03ED083E"/>
    <w:rsid w:val="03ED3E80"/>
    <w:rsid w:val="03EE1902"/>
    <w:rsid w:val="03EE372A"/>
    <w:rsid w:val="03EE3A96"/>
    <w:rsid w:val="03EF5703"/>
    <w:rsid w:val="03F01582"/>
    <w:rsid w:val="03F13ECF"/>
    <w:rsid w:val="03F17003"/>
    <w:rsid w:val="03F20308"/>
    <w:rsid w:val="03F32506"/>
    <w:rsid w:val="03F35447"/>
    <w:rsid w:val="03F4380B"/>
    <w:rsid w:val="03F44EFF"/>
    <w:rsid w:val="03F450FB"/>
    <w:rsid w:val="03F5128D"/>
    <w:rsid w:val="03F70F0C"/>
    <w:rsid w:val="03F74790"/>
    <w:rsid w:val="03F97C93"/>
    <w:rsid w:val="03FA7913"/>
    <w:rsid w:val="03FB3196"/>
    <w:rsid w:val="03FC0C17"/>
    <w:rsid w:val="03FC2E16"/>
    <w:rsid w:val="03FC378E"/>
    <w:rsid w:val="03FD0897"/>
    <w:rsid w:val="03FD4168"/>
    <w:rsid w:val="03FD6699"/>
    <w:rsid w:val="03FE411B"/>
    <w:rsid w:val="03FE4C3A"/>
    <w:rsid w:val="03FF3D9A"/>
    <w:rsid w:val="0400181C"/>
    <w:rsid w:val="0400509F"/>
    <w:rsid w:val="04006C5A"/>
    <w:rsid w:val="04012B21"/>
    <w:rsid w:val="040205A2"/>
    <w:rsid w:val="04030D72"/>
    <w:rsid w:val="04043AA5"/>
    <w:rsid w:val="04066FA8"/>
    <w:rsid w:val="04074A2A"/>
    <w:rsid w:val="040824AC"/>
    <w:rsid w:val="04094FA1"/>
    <w:rsid w:val="04095165"/>
    <w:rsid w:val="04097F2D"/>
    <w:rsid w:val="040B3430"/>
    <w:rsid w:val="040C727D"/>
    <w:rsid w:val="040C7782"/>
    <w:rsid w:val="040D07F6"/>
    <w:rsid w:val="040D6149"/>
    <w:rsid w:val="040D6933"/>
    <w:rsid w:val="040E43B5"/>
    <w:rsid w:val="041078B8"/>
    <w:rsid w:val="0411533A"/>
    <w:rsid w:val="04123E86"/>
    <w:rsid w:val="0413083D"/>
    <w:rsid w:val="04134A25"/>
    <w:rsid w:val="04153D40"/>
    <w:rsid w:val="041617C1"/>
    <w:rsid w:val="041741E8"/>
    <w:rsid w:val="04174CC4"/>
    <w:rsid w:val="04177243"/>
    <w:rsid w:val="04177352"/>
    <w:rsid w:val="041800B5"/>
    <w:rsid w:val="0418481B"/>
    <w:rsid w:val="0418735A"/>
    <w:rsid w:val="041A146A"/>
    <w:rsid w:val="041A162E"/>
    <w:rsid w:val="041A5C49"/>
    <w:rsid w:val="041B14CC"/>
    <w:rsid w:val="041B2BA7"/>
    <w:rsid w:val="041B36CB"/>
    <w:rsid w:val="041C009B"/>
    <w:rsid w:val="041C05BB"/>
    <w:rsid w:val="041D49CF"/>
    <w:rsid w:val="041E4CBE"/>
    <w:rsid w:val="041F7ED2"/>
    <w:rsid w:val="042033D6"/>
    <w:rsid w:val="04206237"/>
    <w:rsid w:val="04210E57"/>
    <w:rsid w:val="042155D4"/>
    <w:rsid w:val="042268D9"/>
    <w:rsid w:val="042277B0"/>
    <w:rsid w:val="04227975"/>
    <w:rsid w:val="0423435A"/>
    <w:rsid w:val="04240EED"/>
    <w:rsid w:val="04246559"/>
    <w:rsid w:val="04253FDA"/>
    <w:rsid w:val="0425785D"/>
    <w:rsid w:val="042652DF"/>
    <w:rsid w:val="04272D60"/>
    <w:rsid w:val="04272E41"/>
    <w:rsid w:val="042807E2"/>
    <w:rsid w:val="042839DF"/>
    <w:rsid w:val="04284F5F"/>
    <w:rsid w:val="042929E0"/>
    <w:rsid w:val="04294F58"/>
    <w:rsid w:val="042A0462"/>
    <w:rsid w:val="042B1767"/>
    <w:rsid w:val="042B64D1"/>
    <w:rsid w:val="042B6695"/>
    <w:rsid w:val="042C3965"/>
    <w:rsid w:val="042C60EA"/>
    <w:rsid w:val="042C7070"/>
    <w:rsid w:val="042C71E8"/>
    <w:rsid w:val="042D13E6"/>
    <w:rsid w:val="042D4C6A"/>
    <w:rsid w:val="042E26EB"/>
    <w:rsid w:val="042F236B"/>
    <w:rsid w:val="04305BEE"/>
    <w:rsid w:val="04307DED"/>
    <w:rsid w:val="0431586E"/>
    <w:rsid w:val="043210F1"/>
    <w:rsid w:val="04323463"/>
    <w:rsid w:val="04330D71"/>
    <w:rsid w:val="04336B73"/>
    <w:rsid w:val="043445F5"/>
    <w:rsid w:val="04351B1E"/>
    <w:rsid w:val="04352076"/>
    <w:rsid w:val="04361CF6"/>
    <w:rsid w:val="04367AF8"/>
    <w:rsid w:val="04372FFB"/>
    <w:rsid w:val="043770CF"/>
    <w:rsid w:val="0438006D"/>
    <w:rsid w:val="0438616D"/>
    <w:rsid w:val="04390C0B"/>
    <w:rsid w:val="04395000"/>
    <w:rsid w:val="043B1FC0"/>
    <w:rsid w:val="043B617E"/>
    <w:rsid w:val="043C3BFF"/>
    <w:rsid w:val="043C7483"/>
    <w:rsid w:val="043D1681"/>
    <w:rsid w:val="043D3538"/>
    <w:rsid w:val="043D36FD"/>
    <w:rsid w:val="043D4F04"/>
    <w:rsid w:val="043E2986"/>
    <w:rsid w:val="043E7102"/>
    <w:rsid w:val="043F0407"/>
    <w:rsid w:val="04405814"/>
    <w:rsid w:val="044161EF"/>
    <w:rsid w:val="044163B3"/>
    <w:rsid w:val="0443358A"/>
    <w:rsid w:val="044516F7"/>
    <w:rsid w:val="0446450F"/>
    <w:rsid w:val="04471F90"/>
    <w:rsid w:val="04475814"/>
    <w:rsid w:val="044779E7"/>
    <w:rsid w:val="04477D53"/>
    <w:rsid w:val="04477F08"/>
    <w:rsid w:val="04483295"/>
    <w:rsid w:val="04490D17"/>
    <w:rsid w:val="04492F15"/>
    <w:rsid w:val="04494535"/>
    <w:rsid w:val="044A6798"/>
    <w:rsid w:val="044B5C73"/>
    <w:rsid w:val="044B766A"/>
    <w:rsid w:val="044C0B64"/>
    <w:rsid w:val="044D191B"/>
    <w:rsid w:val="044D71EC"/>
    <w:rsid w:val="044F2C20"/>
    <w:rsid w:val="044F4E1E"/>
    <w:rsid w:val="0450113F"/>
    <w:rsid w:val="04506123"/>
    <w:rsid w:val="04510321"/>
    <w:rsid w:val="04511CDD"/>
    <w:rsid w:val="04511EA2"/>
    <w:rsid w:val="04521626"/>
    <w:rsid w:val="04525DA3"/>
    <w:rsid w:val="045370A8"/>
    <w:rsid w:val="045412A6"/>
    <w:rsid w:val="045525AB"/>
    <w:rsid w:val="0455289B"/>
    <w:rsid w:val="04561CA4"/>
    <w:rsid w:val="045647A9"/>
    <w:rsid w:val="04565F0C"/>
    <w:rsid w:val="04575AAE"/>
    <w:rsid w:val="0458352F"/>
    <w:rsid w:val="04587485"/>
    <w:rsid w:val="045B1761"/>
    <w:rsid w:val="045C1F36"/>
    <w:rsid w:val="045C1F77"/>
    <w:rsid w:val="045E35EB"/>
    <w:rsid w:val="045E5439"/>
    <w:rsid w:val="045F408F"/>
    <w:rsid w:val="045F4253"/>
    <w:rsid w:val="045F4DF2"/>
    <w:rsid w:val="04602B3A"/>
    <w:rsid w:val="046105BC"/>
    <w:rsid w:val="0461636B"/>
    <w:rsid w:val="04623E3F"/>
    <w:rsid w:val="0462603D"/>
    <w:rsid w:val="04633ABF"/>
    <w:rsid w:val="04635E25"/>
    <w:rsid w:val="046402BE"/>
    <w:rsid w:val="04641540"/>
    <w:rsid w:val="046447EC"/>
    <w:rsid w:val="04644EC2"/>
    <w:rsid w:val="04650E5C"/>
    <w:rsid w:val="04661837"/>
    <w:rsid w:val="04662845"/>
    <w:rsid w:val="04664A43"/>
    <w:rsid w:val="046724C5"/>
    <w:rsid w:val="04675D48"/>
    <w:rsid w:val="04682F74"/>
    <w:rsid w:val="046837CA"/>
    <w:rsid w:val="0469124B"/>
    <w:rsid w:val="046A46B1"/>
    <w:rsid w:val="046B474E"/>
    <w:rsid w:val="046C21D0"/>
    <w:rsid w:val="046C67C9"/>
    <w:rsid w:val="046D7C52"/>
    <w:rsid w:val="046E56D3"/>
    <w:rsid w:val="046F3155"/>
    <w:rsid w:val="04700BD6"/>
    <w:rsid w:val="04710A64"/>
    <w:rsid w:val="04711E59"/>
    <w:rsid w:val="04716658"/>
    <w:rsid w:val="04726FC9"/>
    <w:rsid w:val="04731B5B"/>
    <w:rsid w:val="0473320E"/>
    <w:rsid w:val="04770561"/>
    <w:rsid w:val="04776088"/>
    <w:rsid w:val="04785FE3"/>
    <w:rsid w:val="0478689E"/>
    <w:rsid w:val="04793A64"/>
    <w:rsid w:val="047C20F3"/>
    <w:rsid w:val="047C49E9"/>
    <w:rsid w:val="047E366C"/>
    <w:rsid w:val="047E3830"/>
    <w:rsid w:val="047E7EEC"/>
    <w:rsid w:val="04801CC7"/>
    <w:rsid w:val="048115F1"/>
    <w:rsid w:val="048146F4"/>
    <w:rsid w:val="04824374"/>
    <w:rsid w:val="04831DF5"/>
    <w:rsid w:val="04845678"/>
    <w:rsid w:val="048473D7"/>
    <w:rsid w:val="0484789B"/>
    <w:rsid w:val="048530FA"/>
    <w:rsid w:val="048552F8"/>
    <w:rsid w:val="04860E14"/>
    <w:rsid w:val="048707FB"/>
    <w:rsid w:val="048765FD"/>
    <w:rsid w:val="04882551"/>
    <w:rsid w:val="048830F0"/>
    <w:rsid w:val="04892F2B"/>
    <w:rsid w:val="04893CFE"/>
    <w:rsid w:val="04897582"/>
    <w:rsid w:val="048A0C82"/>
    <w:rsid w:val="048B2A85"/>
    <w:rsid w:val="048C4C83"/>
    <w:rsid w:val="048C5A1D"/>
    <w:rsid w:val="048D2705"/>
    <w:rsid w:val="048D5F88"/>
    <w:rsid w:val="048D6780"/>
    <w:rsid w:val="048E4D30"/>
    <w:rsid w:val="048F5C08"/>
    <w:rsid w:val="0491110B"/>
    <w:rsid w:val="04911272"/>
    <w:rsid w:val="0491498E"/>
    <w:rsid w:val="04926B8C"/>
    <w:rsid w:val="049329AF"/>
    <w:rsid w:val="0493460E"/>
    <w:rsid w:val="04937E91"/>
    <w:rsid w:val="04945913"/>
    <w:rsid w:val="04953394"/>
    <w:rsid w:val="04953F28"/>
    <w:rsid w:val="04964902"/>
    <w:rsid w:val="04973358"/>
    <w:rsid w:val="049752DD"/>
    <w:rsid w:val="04976040"/>
    <w:rsid w:val="04976897"/>
    <w:rsid w:val="04980A96"/>
    <w:rsid w:val="04991D9B"/>
    <w:rsid w:val="049A781C"/>
    <w:rsid w:val="049B749C"/>
    <w:rsid w:val="049C2D1F"/>
    <w:rsid w:val="049D07A1"/>
    <w:rsid w:val="049D07AF"/>
    <w:rsid w:val="049E6222"/>
    <w:rsid w:val="04A01725"/>
    <w:rsid w:val="04A03924"/>
    <w:rsid w:val="04A041C2"/>
    <w:rsid w:val="04A14C29"/>
    <w:rsid w:val="04A258FF"/>
    <w:rsid w:val="04A45BAD"/>
    <w:rsid w:val="04A47A17"/>
    <w:rsid w:val="04A57DAB"/>
    <w:rsid w:val="04A60F90"/>
    <w:rsid w:val="04A610B0"/>
    <w:rsid w:val="04A6582D"/>
    <w:rsid w:val="04A7208D"/>
    <w:rsid w:val="04A76B32"/>
    <w:rsid w:val="04A91589"/>
    <w:rsid w:val="04A967B2"/>
    <w:rsid w:val="04AA7AB6"/>
    <w:rsid w:val="04AB1CB5"/>
    <w:rsid w:val="04AB1CEA"/>
    <w:rsid w:val="04AB5538"/>
    <w:rsid w:val="04AC2FBA"/>
    <w:rsid w:val="04AD040F"/>
    <w:rsid w:val="04AE2C39"/>
    <w:rsid w:val="04AE64BD"/>
    <w:rsid w:val="04B019C0"/>
    <w:rsid w:val="04B03BBE"/>
    <w:rsid w:val="04B1084F"/>
    <w:rsid w:val="04B113EE"/>
    <w:rsid w:val="04B11640"/>
    <w:rsid w:val="04B34B43"/>
    <w:rsid w:val="04B425C4"/>
    <w:rsid w:val="04B50046"/>
    <w:rsid w:val="04B55E47"/>
    <w:rsid w:val="04B638C9"/>
    <w:rsid w:val="04B65AC7"/>
    <w:rsid w:val="04B7134B"/>
    <w:rsid w:val="04B73549"/>
    <w:rsid w:val="04B80FCA"/>
    <w:rsid w:val="04B8484E"/>
    <w:rsid w:val="04B96A4C"/>
    <w:rsid w:val="04BA44CE"/>
    <w:rsid w:val="04BB2CD9"/>
    <w:rsid w:val="04BB57D2"/>
    <w:rsid w:val="04BC3254"/>
    <w:rsid w:val="04BC79D1"/>
    <w:rsid w:val="04BD0CD5"/>
    <w:rsid w:val="04BD5452"/>
    <w:rsid w:val="04BF0955"/>
    <w:rsid w:val="04BF379F"/>
    <w:rsid w:val="04C218DA"/>
    <w:rsid w:val="04C258B7"/>
    <w:rsid w:val="04C32BDF"/>
    <w:rsid w:val="04C36291"/>
    <w:rsid w:val="04C40660"/>
    <w:rsid w:val="04C602E0"/>
    <w:rsid w:val="04C75D62"/>
    <w:rsid w:val="04C81265"/>
    <w:rsid w:val="04C81AE6"/>
    <w:rsid w:val="04C837E3"/>
    <w:rsid w:val="04C87066"/>
    <w:rsid w:val="04C9566C"/>
    <w:rsid w:val="04C95B8C"/>
    <w:rsid w:val="04CA4768"/>
    <w:rsid w:val="04CA4C2A"/>
    <w:rsid w:val="04CA4DE0"/>
    <w:rsid w:val="04CB3A39"/>
    <w:rsid w:val="04CB4033"/>
    <w:rsid w:val="04CC5A6D"/>
    <w:rsid w:val="04CC7C6B"/>
    <w:rsid w:val="04CD34EE"/>
    <w:rsid w:val="04CD4FB2"/>
    <w:rsid w:val="04CD5176"/>
    <w:rsid w:val="04CD5D15"/>
    <w:rsid w:val="04D01EF4"/>
    <w:rsid w:val="04D04473"/>
    <w:rsid w:val="04D17976"/>
    <w:rsid w:val="04D253F8"/>
    <w:rsid w:val="04D32E79"/>
    <w:rsid w:val="04D4275A"/>
    <w:rsid w:val="04D5637C"/>
    <w:rsid w:val="04D60F61"/>
    <w:rsid w:val="04D63DFE"/>
    <w:rsid w:val="04D7051F"/>
    <w:rsid w:val="04D70A40"/>
    <w:rsid w:val="04D7187F"/>
    <w:rsid w:val="04DA2804"/>
    <w:rsid w:val="04DA76EC"/>
    <w:rsid w:val="04DC0AA0"/>
    <w:rsid w:val="04DD3789"/>
    <w:rsid w:val="04DE120A"/>
    <w:rsid w:val="04DF6C8C"/>
    <w:rsid w:val="04E14131"/>
    <w:rsid w:val="04E24CCF"/>
    <w:rsid w:val="04E43113"/>
    <w:rsid w:val="04E56FAB"/>
    <w:rsid w:val="04E627DB"/>
    <w:rsid w:val="04E70FED"/>
    <w:rsid w:val="04E81B1A"/>
    <w:rsid w:val="04E8539D"/>
    <w:rsid w:val="04E86B91"/>
    <w:rsid w:val="04E8759B"/>
    <w:rsid w:val="04E918D9"/>
    <w:rsid w:val="04E9263C"/>
    <w:rsid w:val="04E92E1E"/>
    <w:rsid w:val="04E9501D"/>
    <w:rsid w:val="04EA08A0"/>
    <w:rsid w:val="04EA2A9E"/>
    <w:rsid w:val="04EB0520"/>
    <w:rsid w:val="04EB6322"/>
    <w:rsid w:val="04EC3DA3"/>
    <w:rsid w:val="04EC79F8"/>
    <w:rsid w:val="04ED1825"/>
    <w:rsid w:val="04ED3A23"/>
    <w:rsid w:val="04EE14A4"/>
    <w:rsid w:val="04EE72A6"/>
    <w:rsid w:val="04EF4D28"/>
    <w:rsid w:val="04EF6F26"/>
    <w:rsid w:val="04F0022B"/>
    <w:rsid w:val="04F00248"/>
    <w:rsid w:val="04F049A8"/>
    <w:rsid w:val="04F14881"/>
    <w:rsid w:val="04F15CAC"/>
    <w:rsid w:val="04F207BE"/>
    <w:rsid w:val="04F25D7B"/>
    <w:rsid w:val="04F27EAB"/>
    <w:rsid w:val="04F3135D"/>
    <w:rsid w:val="04F3592C"/>
    <w:rsid w:val="04F40539"/>
    <w:rsid w:val="04F44E03"/>
    <w:rsid w:val="04F45844"/>
    <w:rsid w:val="04F50E2F"/>
    <w:rsid w:val="04F5420C"/>
    <w:rsid w:val="04F546B3"/>
    <w:rsid w:val="04F548E2"/>
    <w:rsid w:val="04F63474"/>
    <w:rsid w:val="04F657D7"/>
    <w:rsid w:val="04F74332"/>
    <w:rsid w:val="04F77BB6"/>
    <w:rsid w:val="04F85637"/>
    <w:rsid w:val="04F930B9"/>
    <w:rsid w:val="04FA0B3A"/>
    <w:rsid w:val="04FA52B7"/>
    <w:rsid w:val="04FB2D39"/>
    <w:rsid w:val="04FB74DF"/>
    <w:rsid w:val="04FC07BA"/>
    <w:rsid w:val="04FD623C"/>
    <w:rsid w:val="04FD78D2"/>
    <w:rsid w:val="04FE15F6"/>
    <w:rsid w:val="04FE3CBD"/>
    <w:rsid w:val="04FE7541"/>
    <w:rsid w:val="04FF173F"/>
    <w:rsid w:val="05002A44"/>
    <w:rsid w:val="05002D34"/>
    <w:rsid w:val="050104C5"/>
    <w:rsid w:val="050126C3"/>
    <w:rsid w:val="05020145"/>
    <w:rsid w:val="0502794B"/>
    <w:rsid w:val="05036F0A"/>
    <w:rsid w:val="0504144A"/>
    <w:rsid w:val="05043648"/>
    <w:rsid w:val="05046312"/>
    <w:rsid w:val="050510CA"/>
    <w:rsid w:val="050553B0"/>
    <w:rsid w:val="05056D9E"/>
    <w:rsid w:val="05066B4B"/>
    <w:rsid w:val="050745CD"/>
    <w:rsid w:val="0508107A"/>
    <w:rsid w:val="050B2FD3"/>
    <w:rsid w:val="050B6856"/>
    <w:rsid w:val="050C0A55"/>
    <w:rsid w:val="050C1396"/>
    <w:rsid w:val="050C39A8"/>
    <w:rsid w:val="050C3B6C"/>
    <w:rsid w:val="050E77DB"/>
    <w:rsid w:val="050F525C"/>
    <w:rsid w:val="05102CDE"/>
    <w:rsid w:val="0510745B"/>
    <w:rsid w:val="05111DBD"/>
    <w:rsid w:val="05114EDC"/>
    <w:rsid w:val="05120CA5"/>
    <w:rsid w:val="05133C63"/>
    <w:rsid w:val="05137D43"/>
    <w:rsid w:val="051416E4"/>
    <w:rsid w:val="05141EB3"/>
    <w:rsid w:val="05145E61"/>
    <w:rsid w:val="05152A51"/>
    <w:rsid w:val="051538E2"/>
    <w:rsid w:val="0516342C"/>
    <w:rsid w:val="05172669"/>
    <w:rsid w:val="05177175"/>
    <w:rsid w:val="051800EA"/>
    <w:rsid w:val="05184867"/>
    <w:rsid w:val="051922E9"/>
    <w:rsid w:val="05197D6A"/>
    <w:rsid w:val="051A35ED"/>
    <w:rsid w:val="051A57EC"/>
    <w:rsid w:val="051B106F"/>
    <w:rsid w:val="051C0CEF"/>
    <w:rsid w:val="051C6AF1"/>
    <w:rsid w:val="051D6770"/>
    <w:rsid w:val="051E41F2"/>
    <w:rsid w:val="051F2311"/>
    <w:rsid w:val="051F7A75"/>
    <w:rsid w:val="052054F7"/>
    <w:rsid w:val="052076F5"/>
    <w:rsid w:val="052109FA"/>
    <w:rsid w:val="05212F78"/>
    <w:rsid w:val="052136C5"/>
    <w:rsid w:val="05222BF8"/>
    <w:rsid w:val="0523067A"/>
    <w:rsid w:val="05234C3E"/>
    <w:rsid w:val="052457DD"/>
    <w:rsid w:val="052459A1"/>
    <w:rsid w:val="052460FB"/>
    <w:rsid w:val="05253B7D"/>
    <w:rsid w:val="05257400"/>
    <w:rsid w:val="052615FE"/>
    <w:rsid w:val="05264E82"/>
    <w:rsid w:val="05272903"/>
    <w:rsid w:val="05280385"/>
    <w:rsid w:val="05295E06"/>
    <w:rsid w:val="052A0005"/>
    <w:rsid w:val="052B23E6"/>
    <w:rsid w:val="052B25AB"/>
    <w:rsid w:val="052B5A86"/>
    <w:rsid w:val="052D0F89"/>
    <w:rsid w:val="052E509C"/>
    <w:rsid w:val="052E6336"/>
    <w:rsid w:val="052E7472"/>
    <w:rsid w:val="052F448C"/>
    <w:rsid w:val="05301F0E"/>
    <w:rsid w:val="05304626"/>
    <w:rsid w:val="05305791"/>
    <w:rsid w:val="05313213"/>
    <w:rsid w:val="05315411"/>
    <w:rsid w:val="05320C94"/>
    <w:rsid w:val="0533072D"/>
    <w:rsid w:val="05330914"/>
    <w:rsid w:val="05351CA6"/>
    <w:rsid w:val="05351E6A"/>
    <w:rsid w:val="05382B9E"/>
    <w:rsid w:val="05383F82"/>
    <w:rsid w:val="0539061F"/>
    <w:rsid w:val="053A3B22"/>
    <w:rsid w:val="053C11E9"/>
    <w:rsid w:val="053C7025"/>
    <w:rsid w:val="053C7612"/>
    <w:rsid w:val="053E2528"/>
    <w:rsid w:val="054016A6"/>
    <w:rsid w:val="05405A2B"/>
    <w:rsid w:val="054134AD"/>
    <w:rsid w:val="05423841"/>
    <w:rsid w:val="0543421B"/>
    <w:rsid w:val="054343E0"/>
    <w:rsid w:val="054369B0"/>
    <w:rsid w:val="05444432"/>
    <w:rsid w:val="05444DBA"/>
    <w:rsid w:val="054664F7"/>
    <w:rsid w:val="05467935"/>
    <w:rsid w:val="054753B6"/>
    <w:rsid w:val="05476ED2"/>
    <w:rsid w:val="0549044B"/>
    <w:rsid w:val="054908B9"/>
    <w:rsid w:val="054B3DBD"/>
    <w:rsid w:val="054C3101"/>
    <w:rsid w:val="054D194C"/>
    <w:rsid w:val="054D1CB7"/>
    <w:rsid w:val="054D2B43"/>
    <w:rsid w:val="054D3ADB"/>
    <w:rsid w:val="054D72C0"/>
    <w:rsid w:val="054E05C4"/>
    <w:rsid w:val="054F5054"/>
    <w:rsid w:val="054F5218"/>
    <w:rsid w:val="054F6046"/>
    <w:rsid w:val="05500244"/>
    <w:rsid w:val="05503AC8"/>
    <w:rsid w:val="05505BF3"/>
    <w:rsid w:val="05505DB7"/>
    <w:rsid w:val="055076E1"/>
    <w:rsid w:val="05511549"/>
    <w:rsid w:val="05526FCB"/>
    <w:rsid w:val="055325D0"/>
    <w:rsid w:val="05534A4C"/>
    <w:rsid w:val="05536C4A"/>
    <w:rsid w:val="055424CE"/>
    <w:rsid w:val="055446CC"/>
    <w:rsid w:val="0555214E"/>
    <w:rsid w:val="05557F4F"/>
    <w:rsid w:val="055629C0"/>
    <w:rsid w:val="05567BCF"/>
    <w:rsid w:val="05573452"/>
    <w:rsid w:val="05580ED4"/>
    <w:rsid w:val="055830D2"/>
    <w:rsid w:val="055943D7"/>
    <w:rsid w:val="05596955"/>
    <w:rsid w:val="055A54B2"/>
    <w:rsid w:val="055B4057"/>
    <w:rsid w:val="055B464A"/>
    <w:rsid w:val="055B5E8C"/>
    <w:rsid w:val="055B78DA"/>
    <w:rsid w:val="055C535C"/>
    <w:rsid w:val="055D2DDD"/>
    <w:rsid w:val="055E085F"/>
    <w:rsid w:val="055F0B42"/>
    <w:rsid w:val="055F2A5D"/>
    <w:rsid w:val="055F62E0"/>
    <w:rsid w:val="05603D62"/>
    <w:rsid w:val="05622E1E"/>
    <w:rsid w:val="056239E2"/>
    <w:rsid w:val="05627265"/>
    <w:rsid w:val="056337F9"/>
    <w:rsid w:val="05634CE7"/>
    <w:rsid w:val="05642768"/>
    <w:rsid w:val="05644397"/>
    <w:rsid w:val="05646EE5"/>
    <w:rsid w:val="056501EA"/>
    <w:rsid w:val="05677E69"/>
    <w:rsid w:val="056905C6"/>
    <w:rsid w:val="056A0DEE"/>
    <w:rsid w:val="056A0FA1"/>
    <w:rsid w:val="056A4671"/>
    <w:rsid w:val="056B20F3"/>
    <w:rsid w:val="056B42F1"/>
    <w:rsid w:val="056D30B8"/>
    <w:rsid w:val="056D55F6"/>
    <w:rsid w:val="056D77F4"/>
    <w:rsid w:val="056E3078"/>
    <w:rsid w:val="056E3C57"/>
    <w:rsid w:val="056F0AF9"/>
    <w:rsid w:val="056F47F6"/>
    <w:rsid w:val="05713FFC"/>
    <w:rsid w:val="057161FA"/>
    <w:rsid w:val="05723C7C"/>
    <w:rsid w:val="05742A02"/>
    <w:rsid w:val="05750484"/>
    <w:rsid w:val="05761DD9"/>
    <w:rsid w:val="05761F9D"/>
    <w:rsid w:val="05762682"/>
    <w:rsid w:val="05770104"/>
    <w:rsid w:val="0577271C"/>
    <w:rsid w:val="05773987"/>
    <w:rsid w:val="05781604"/>
    <w:rsid w:val="05783516"/>
    <w:rsid w:val="05785527"/>
    <w:rsid w:val="05785B85"/>
    <w:rsid w:val="05793607"/>
    <w:rsid w:val="057A1088"/>
    <w:rsid w:val="057A490C"/>
    <w:rsid w:val="057A4A8F"/>
    <w:rsid w:val="057B238D"/>
    <w:rsid w:val="057C458C"/>
    <w:rsid w:val="057D5890"/>
    <w:rsid w:val="057E3312"/>
    <w:rsid w:val="057E7745"/>
    <w:rsid w:val="057E7A8F"/>
    <w:rsid w:val="057F0D93"/>
    <w:rsid w:val="05800AFA"/>
    <w:rsid w:val="05801699"/>
    <w:rsid w:val="05802F92"/>
    <w:rsid w:val="05806815"/>
    <w:rsid w:val="05810A13"/>
    <w:rsid w:val="05814297"/>
    <w:rsid w:val="05823F16"/>
    <w:rsid w:val="05831998"/>
    <w:rsid w:val="0583779A"/>
    <w:rsid w:val="05852BDA"/>
    <w:rsid w:val="05854E9B"/>
    <w:rsid w:val="0586071E"/>
    <w:rsid w:val="0586291D"/>
    <w:rsid w:val="058658C8"/>
    <w:rsid w:val="0587339F"/>
    <w:rsid w:val="058762A2"/>
    <w:rsid w:val="05883C21"/>
    <w:rsid w:val="05885E20"/>
    <w:rsid w:val="058916A3"/>
    <w:rsid w:val="058A1323"/>
    <w:rsid w:val="058A4BA6"/>
    <w:rsid w:val="058A7125"/>
    <w:rsid w:val="058B2628"/>
    <w:rsid w:val="058B29A1"/>
    <w:rsid w:val="058B6DA4"/>
    <w:rsid w:val="058C00A9"/>
    <w:rsid w:val="058D22A7"/>
    <w:rsid w:val="058D24D1"/>
    <w:rsid w:val="058D5B2B"/>
    <w:rsid w:val="058E35AC"/>
    <w:rsid w:val="058E7D29"/>
    <w:rsid w:val="058F102E"/>
    <w:rsid w:val="058F47AD"/>
    <w:rsid w:val="05910CAE"/>
    <w:rsid w:val="05914531"/>
    <w:rsid w:val="05914EEE"/>
    <w:rsid w:val="059331CF"/>
    <w:rsid w:val="059341B1"/>
    <w:rsid w:val="05937A34"/>
    <w:rsid w:val="059454B6"/>
    <w:rsid w:val="05952F37"/>
    <w:rsid w:val="059554A6"/>
    <w:rsid w:val="059576B4"/>
    <w:rsid w:val="059609B9"/>
    <w:rsid w:val="059611F2"/>
    <w:rsid w:val="059613B6"/>
    <w:rsid w:val="059648AF"/>
    <w:rsid w:val="05964C1A"/>
    <w:rsid w:val="05965135"/>
    <w:rsid w:val="05971F55"/>
    <w:rsid w:val="05972BB7"/>
    <w:rsid w:val="0597643A"/>
    <w:rsid w:val="0599193D"/>
    <w:rsid w:val="059960BA"/>
    <w:rsid w:val="059A73BF"/>
    <w:rsid w:val="059B4E40"/>
    <w:rsid w:val="059C28C2"/>
    <w:rsid w:val="059C5421"/>
    <w:rsid w:val="059C6184"/>
    <w:rsid w:val="059D0343"/>
    <w:rsid w:val="059E5DC5"/>
    <w:rsid w:val="059F3847"/>
    <w:rsid w:val="05A00AB1"/>
    <w:rsid w:val="05A00C76"/>
    <w:rsid w:val="05A012C8"/>
    <w:rsid w:val="05A306C5"/>
    <w:rsid w:val="05A32BC9"/>
    <w:rsid w:val="05A57242"/>
    <w:rsid w:val="05A60C53"/>
    <w:rsid w:val="05A64EA5"/>
    <w:rsid w:val="05A766D5"/>
    <w:rsid w:val="05A84156"/>
    <w:rsid w:val="05A91BD8"/>
    <w:rsid w:val="05A97997"/>
    <w:rsid w:val="05A97B5B"/>
    <w:rsid w:val="05AA0371"/>
    <w:rsid w:val="05AA0535"/>
    <w:rsid w:val="05AB0F0F"/>
    <w:rsid w:val="05AB50DB"/>
    <w:rsid w:val="05AD05DE"/>
    <w:rsid w:val="05AE3027"/>
    <w:rsid w:val="05AF3AE1"/>
    <w:rsid w:val="05B01562"/>
    <w:rsid w:val="05B045A0"/>
    <w:rsid w:val="05B13057"/>
    <w:rsid w:val="05B16FE4"/>
    <w:rsid w:val="05B24A66"/>
    <w:rsid w:val="05B35D6A"/>
    <w:rsid w:val="05B437EC"/>
    <w:rsid w:val="05B559EA"/>
    <w:rsid w:val="05B60993"/>
    <w:rsid w:val="05B66CEF"/>
    <w:rsid w:val="05B74771"/>
    <w:rsid w:val="05B828E7"/>
    <w:rsid w:val="05B8307E"/>
    <w:rsid w:val="05B943F0"/>
    <w:rsid w:val="05B97C74"/>
    <w:rsid w:val="05BA1E72"/>
    <w:rsid w:val="05BA56F5"/>
    <w:rsid w:val="05BA78F4"/>
    <w:rsid w:val="05BB3177"/>
    <w:rsid w:val="05BB5375"/>
    <w:rsid w:val="05BC0BF8"/>
    <w:rsid w:val="05BC2DF7"/>
    <w:rsid w:val="05BD0878"/>
    <w:rsid w:val="05BD438C"/>
    <w:rsid w:val="05BE40FB"/>
    <w:rsid w:val="05BE62FA"/>
    <w:rsid w:val="05BF1B7D"/>
    <w:rsid w:val="05BF2DF2"/>
    <w:rsid w:val="05C017FD"/>
    <w:rsid w:val="05C05314"/>
    <w:rsid w:val="05C14C3D"/>
    <w:rsid w:val="05C22B02"/>
    <w:rsid w:val="05C24D00"/>
    <w:rsid w:val="05C32781"/>
    <w:rsid w:val="05C40203"/>
    <w:rsid w:val="05C42D45"/>
    <w:rsid w:val="05C55C85"/>
    <w:rsid w:val="05C74A0B"/>
    <w:rsid w:val="05C75836"/>
    <w:rsid w:val="05C8248C"/>
    <w:rsid w:val="05C9468B"/>
    <w:rsid w:val="05C96DAF"/>
    <w:rsid w:val="05CA5990"/>
    <w:rsid w:val="05CA794E"/>
    <w:rsid w:val="05CC0E93"/>
    <w:rsid w:val="05CD1A66"/>
    <w:rsid w:val="05CD3091"/>
    <w:rsid w:val="05CE06E8"/>
    <w:rsid w:val="05CE0B13"/>
    <w:rsid w:val="05CE4396"/>
    <w:rsid w:val="05CF1E17"/>
    <w:rsid w:val="05D03D42"/>
    <w:rsid w:val="05D04016"/>
    <w:rsid w:val="05D07899"/>
    <w:rsid w:val="05D14557"/>
    <w:rsid w:val="05D22D9C"/>
    <w:rsid w:val="05D250F6"/>
    <w:rsid w:val="05D3081E"/>
    <w:rsid w:val="05D32A1C"/>
    <w:rsid w:val="05D35C95"/>
    <w:rsid w:val="05D36833"/>
    <w:rsid w:val="05D4720E"/>
    <w:rsid w:val="05D639A0"/>
    <w:rsid w:val="05D71422"/>
    <w:rsid w:val="05D77224"/>
    <w:rsid w:val="05D84CA5"/>
    <w:rsid w:val="05D86EA4"/>
    <w:rsid w:val="05D92727"/>
    <w:rsid w:val="05D9289E"/>
    <w:rsid w:val="05D92A62"/>
    <w:rsid w:val="05DA01A8"/>
    <w:rsid w:val="05DA23A7"/>
    <w:rsid w:val="05DA5C2A"/>
    <w:rsid w:val="05DB3E17"/>
    <w:rsid w:val="05DB3FDB"/>
    <w:rsid w:val="05DB7E28"/>
    <w:rsid w:val="05DD1BF7"/>
    <w:rsid w:val="05DD22CE"/>
    <w:rsid w:val="05DD2483"/>
    <w:rsid w:val="05DD332B"/>
    <w:rsid w:val="05DD6BAF"/>
    <w:rsid w:val="05DE4630"/>
    <w:rsid w:val="05DE60F3"/>
    <w:rsid w:val="05DF009E"/>
    <w:rsid w:val="05DF20B2"/>
    <w:rsid w:val="05E0020A"/>
    <w:rsid w:val="05E042B0"/>
    <w:rsid w:val="05E07B33"/>
    <w:rsid w:val="05E10DA9"/>
    <w:rsid w:val="05E11D32"/>
    <w:rsid w:val="05E155B5"/>
    <w:rsid w:val="05E23036"/>
    <w:rsid w:val="05E30AB8"/>
    <w:rsid w:val="05E35235"/>
    <w:rsid w:val="05E36C7F"/>
    <w:rsid w:val="05E46539"/>
    <w:rsid w:val="05E50738"/>
    <w:rsid w:val="05E536D6"/>
    <w:rsid w:val="05E53FBB"/>
    <w:rsid w:val="05E61A3D"/>
    <w:rsid w:val="05E63D58"/>
    <w:rsid w:val="05E64439"/>
    <w:rsid w:val="05E73C3B"/>
    <w:rsid w:val="05E73CE9"/>
    <w:rsid w:val="05E774BE"/>
    <w:rsid w:val="05E84F40"/>
    <w:rsid w:val="05E857EE"/>
    <w:rsid w:val="05E929C1"/>
    <w:rsid w:val="05E9638D"/>
    <w:rsid w:val="05E9713E"/>
    <w:rsid w:val="05EA0443"/>
    <w:rsid w:val="05EB00C3"/>
    <w:rsid w:val="05EB2641"/>
    <w:rsid w:val="05EC04A4"/>
    <w:rsid w:val="05EC3946"/>
    <w:rsid w:val="05EC5B44"/>
    <w:rsid w:val="05ED13C7"/>
    <w:rsid w:val="05ED1BE1"/>
    <w:rsid w:val="05EE1A1D"/>
    <w:rsid w:val="05EE6E49"/>
    <w:rsid w:val="05EF315A"/>
    <w:rsid w:val="05EF48CA"/>
    <w:rsid w:val="05EF6AC9"/>
    <w:rsid w:val="05F03CF9"/>
    <w:rsid w:val="05F0454A"/>
    <w:rsid w:val="05F146D3"/>
    <w:rsid w:val="05F17DCE"/>
    <w:rsid w:val="05F2584F"/>
    <w:rsid w:val="05F30D52"/>
    <w:rsid w:val="05F332D1"/>
    <w:rsid w:val="05F354CF"/>
    <w:rsid w:val="05F432B6"/>
    <w:rsid w:val="05F467D4"/>
    <w:rsid w:val="05F57389"/>
    <w:rsid w:val="05F61CD7"/>
    <w:rsid w:val="05F66454"/>
    <w:rsid w:val="05F67D64"/>
    <w:rsid w:val="05F77758"/>
    <w:rsid w:val="05F814A1"/>
    <w:rsid w:val="05F81957"/>
    <w:rsid w:val="05F83EAE"/>
    <w:rsid w:val="05F851DA"/>
    <w:rsid w:val="05FA06DD"/>
    <w:rsid w:val="05FA2855"/>
    <w:rsid w:val="05FA6F1D"/>
    <w:rsid w:val="05FB28DB"/>
    <w:rsid w:val="05FB5A9A"/>
    <w:rsid w:val="05FB615F"/>
    <w:rsid w:val="05FC5058"/>
    <w:rsid w:val="05FE3860"/>
    <w:rsid w:val="05FF12E2"/>
    <w:rsid w:val="05FF4B65"/>
    <w:rsid w:val="060077E8"/>
    <w:rsid w:val="06010068"/>
    <w:rsid w:val="0603173B"/>
    <w:rsid w:val="06040FED"/>
    <w:rsid w:val="060644F0"/>
    <w:rsid w:val="06067602"/>
    <w:rsid w:val="06071F71"/>
    <w:rsid w:val="06084F90"/>
    <w:rsid w:val="060905E2"/>
    <w:rsid w:val="060A6344"/>
    <w:rsid w:val="060A70A7"/>
    <w:rsid w:val="060A7E98"/>
    <w:rsid w:val="060B0977"/>
    <w:rsid w:val="060B63F9"/>
    <w:rsid w:val="060C0620"/>
    <w:rsid w:val="060C3E7B"/>
    <w:rsid w:val="060D18FC"/>
    <w:rsid w:val="060E737E"/>
    <w:rsid w:val="060F2573"/>
    <w:rsid w:val="060F45F1"/>
    <w:rsid w:val="060F4DFF"/>
    <w:rsid w:val="06102881"/>
    <w:rsid w:val="06110302"/>
    <w:rsid w:val="06113AEC"/>
    <w:rsid w:val="06120DFE"/>
    <w:rsid w:val="0612484F"/>
    <w:rsid w:val="0616408D"/>
    <w:rsid w:val="06177D1B"/>
    <w:rsid w:val="06187C8D"/>
    <w:rsid w:val="061B0C12"/>
    <w:rsid w:val="061C1F17"/>
    <w:rsid w:val="061C6693"/>
    <w:rsid w:val="061F2E9B"/>
    <w:rsid w:val="061F6062"/>
    <w:rsid w:val="0620091D"/>
    <w:rsid w:val="0620509A"/>
    <w:rsid w:val="06212B1B"/>
    <w:rsid w:val="0622059D"/>
    <w:rsid w:val="06223E20"/>
    <w:rsid w:val="06230B53"/>
    <w:rsid w:val="062318A1"/>
    <w:rsid w:val="06241521"/>
    <w:rsid w:val="062416F2"/>
    <w:rsid w:val="06254DA5"/>
    <w:rsid w:val="06256FA3"/>
    <w:rsid w:val="062647CB"/>
    <w:rsid w:val="06264A24"/>
    <w:rsid w:val="062702A8"/>
    <w:rsid w:val="062724A6"/>
    <w:rsid w:val="06285D29"/>
    <w:rsid w:val="06295921"/>
    <w:rsid w:val="062959A9"/>
    <w:rsid w:val="06295AE6"/>
    <w:rsid w:val="062A122C"/>
    <w:rsid w:val="062A342B"/>
    <w:rsid w:val="062C21B1"/>
    <w:rsid w:val="062C692E"/>
    <w:rsid w:val="062D7C32"/>
    <w:rsid w:val="062D7F7A"/>
    <w:rsid w:val="062E0FB2"/>
    <w:rsid w:val="062E1E31"/>
    <w:rsid w:val="062E56B4"/>
    <w:rsid w:val="06300BB7"/>
    <w:rsid w:val="063026EF"/>
    <w:rsid w:val="06305334"/>
    <w:rsid w:val="063130C9"/>
    <w:rsid w:val="06316639"/>
    <w:rsid w:val="06320837"/>
    <w:rsid w:val="06324807"/>
    <w:rsid w:val="0633208D"/>
    <w:rsid w:val="06334642"/>
    <w:rsid w:val="06340450"/>
    <w:rsid w:val="063475BD"/>
    <w:rsid w:val="0635503F"/>
    <w:rsid w:val="06362AC0"/>
    <w:rsid w:val="063672F8"/>
    <w:rsid w:val="06377E97"/>
    <w:rsid w:val="06380A36"/>
    <w:rsid w:val="063A14C7"/>
    <w:rsid w:val="063A5C43"/>
    <w:rsid w:val="063B1146"/>
    <w:rsid w:val="063B2B4D"/>
    <w:rsid w:val="063B6F48"/>
    <w:rsid w:val="063D464A"/>
    <w:rsid w:val="063E20CB"/>
    <w:rsid w:val="063E4AA0"/>
    <w:rsid w:val="063E7D85"/>
    <w:rsid w:val="063F7B4D"/>
    <w:rsid w:val="06410E51"/>
    <w:rsid w:val="06413050"/>
    <w:rsid w:val="06417756"/>
    <w:rsid w:val="064202F5"/>
    <w:rsid w:val="06420AD1"/>
    <w:rsid w:val="06427C05"/>
    <w:rsid w:val="06431DD6"/>
    <w:rsid w:val="06431E80"/>
    <w:rsid w:val="06434355"/>
    <w:rsid w:val="06436553"/>
    <w:rsid w:val="064504DC"/>
    <w:rsid w:val="06451A56"/>
    <w:rsid w:val="064552D9"/>
    <w:rsid w:val="064674D8"/>
    <w:rsid w:val="06467696"/>
    <w:rsid w:val="06474F59"/>
    <w:rsid w:val="064829DB"/>
    <w:rsid w:val="0648625E"/>
    <w:rsid w:val="06494D3A"/>
    <w:rsid w:val="064A5EDE"/>
    <w:rsid w:val="064C4C64"/>
    <w:rsid w:val="064D26E6"/>
    <w:rsid w:val="064D79F0"/>
    <w:rsid w:val="064F0F69"/>
    <w:rsid w:val="064F1B08"/>
    <w:rsid w:val="064F1CCC"/>
    <w:rsid w:val="064F2365"/>
    <w:rsid w:val="064F5BE9"/>
    <w:rsid w:val="0650366A"/>
    <w:rsid w:val="06507DE7"/>
    <w:rsid w:val="065110EC"/>
    <w:rsid w:val="065232EA"/>
    <w:rsid w:val="06523F87"/>
    <w:rsid w:val="06526B6D"/>
    <w:rsid w:val="0653338F"/>
    <w:rsid w:val="065345F9"/>
    <w:rsid w:val="065347BE"/>
    <w:rsid w:val="06542070"/>
    <w:rsid w:val="065668D5"/>
    <w:rsid w:val="065964F8"/>
    <w:rsid w:val="065A13C7"/>
    <w:rsid w:val="065B3BFA"/>
    <w:rsid w:val="065B747D"/>
    <w:rsid w:val="065C34DF"/>
    <w:rsid w:val="065C4EFE"/>
    <w:rsid w:val="065D2980"/>
    <w:rsid w:val="065E0402"/>
    <w:rsid w:val="065E4B7E"/>
    <w:rsid w:val="065F5E83"/>
    <w:rsid w:val="06600081"/>
    <w:rsid w:val="06601965"/>
    <w:rsid w:val="06603905"/>
    <w:rsid w:val="06606195"/>
    <w:rsid w:val="06611386"/>
    <w:rsid w:val="06615B03"/>
    <w:rsid w:val="066163F9"/>
    <w:rsid w:val="06616D34"/>
    <w:rsid w:val="06623584"/>
    <w:rsid w:val="06626E08"/>
    <w:rsid w:val="06631006"/>
    <w:rsid w:val="06634889"/>
    <w:rsid w:val="06646A88"/>
    <w:rsid w:val="06651825"/>
    <w:rsid w:val="06654509"/>
    <w:rsid w:val="06657D8C"/>
    <w:rsid w:val="06661F8B"/>
    <w:rsid w:val="066623C4"/>
    <w:rsid w:val="0666580E"/>
    <w:rsid w:val="0667328F"/>
    <w:rsid w:val="06680D11"/>
    <w:rsid w:val="06683779"/>
    <w:rsid w:val="066944DC"/>
    <w:rsid w:val="06696793"/>
    <w:rsid w:val="066A0D5B"/>
    <w:rsid w:val="066B1C96"/>
    <w:rsid w:val="066B5890"/>
    <w:rsid w:val="066D5199"/>
    <w:rsid w:val="066D79A8"/>
    <w:rsid w:val="066E070B"/>
    <w:rsid w:val="066E2C1A"/>
    <w:rsid w:val="066F069C"/>
    <w:rsid w:val="066F0F20"/>
    <w:rsid w:val="066F10E5"/>
    <w:rsid w:val="066F71A1"/>
    <w:rsid w:val="06701C84"/>
    <w:rsid w:val="06703B83"/>
    <w:rsid w:val="0670611D"/>
    <w:rsid w:val="06721621"/>
    <w:rsid w:val="067231FC"/>
    <w:rsid w:val="067370A2"/>
    <w:rsid w:val="067425A5"/>
    <w:rsid w:val="06744B24"/>
    <w:rsid w:val="06750027"/>
    <w:rsid w:val="06755314"/>
    <w:rsid w:val="06765CEE"/>
    <w:rsid w:val="06787FCA"/>
    <w:rsid w:val="067909A4"/>
    <w:rsid w:val="06796A2D"/>
    <w:rsid w:val="067A1543"/>
    <w:rsid w:val="067B1F30"/>
    <w:rsid w:val="067C79B2"/>
    <w:rsid w:val="067D33B3"/>
    <w:rsid w:val="067D38D3"/>
    <w:rsid w:val="067E2606"/>
    <w:rsid w:val="067E2EB5"/>
    <w:rsid w:val="067F0936"/>
    <w:rsid w:val="067F4BD4"/>
    <w:rsid w:val="068063B8"/>
    <w:rsid w:val="068218BB"/>
    <w:rsid w:val="0682513E"/>
    <w:rsid w:val="06826B27"/>
    <w:rsid w:val="06832BC0"/>
    <w:rsid w:val="0683733C"/>
    <w:rsid w:val="068400A0"/>
    <w:rsid w:val="06840264"/>
    <w:rsid w:val="06840E03"/>
    <w:rsid w:val="06844439"/>
    <w:rsid w:val="06850C3E"/>
    <w:rsid w:val="068517DD"/>
    <w:rsid w:val="0685283F"/>
    <w:rsid w:val="068837C4"/>
    <w:rsid w:val="06894AC9"/>
    <w:rsid w:val="068A4E6D"/>
    <w:rsid w:val="068D4DE3"/>
    <w:rsid w:val="068D4F99"/>
    <w:rsid w:val="068D56CD"/>
    <w:rsid w:val="068D6F85"/>
    <w:rsid w:val="068E0F51"/>
    <w:rsid w:val="068E314F"/>
    <w:rsid w:val="068E7B23"/>
    <w:rsid w:val="068F69D2"/>
    <w:rsid w:val="06906652"/>
    <w:rsid w:val="06911ED5"/>
    <w:rsid w:val="069140D4"/>
    <w:rsid w:val="06921B55"/>
    <w:rsid w:val="069227DA"/>
    <w:rsid w:val="06927957"/>
    <w:rsid w:val="069331B4"/>
    <w:rsid w:val="069353D8"/>
    <w:rsid w:val="069408DC"/>
    <w:rsid w:val="06942E5A"/>
    <w:rsid w:val="06945058"/>
    <w:rsid w:val="06952ADA"/>
    <w:rsid w:val="069552CB"/>
    <w:rsid w:val="0696055B"/>
    <w:rsid w:val="06963DDF"/>
    <w:rsid w:val="069725DF"/>
    <w:rsid w:val="06975FDD"/>
    <w:rsid w:val="0698721F"/>
    <w:rsid w:val="069872E2"/>
    <w:rsid w:val="069914E0"/>
    <w:rsid w:val="06994D63"/>
    <w:rsid w:val="069A088E"/>
    <w:rsid w:val="069A27E5"/>
    <w:rsid w:val="069B0266"/>
    <w:rsid w:val="069B1336"/>
    <w:rsid w:val="069B14FB"/>
    <w:rsid w:val="069D376A"/>
    <w:rsid w:val="069D7C35"/>
    <w:rsid w:val="069E11EB"/>
    <w:rsid w:val="06A168EC"/>
    <w:rsid w:val="06A2436E"/>
    <w:rsid w:val="06A26ADE"/>
    <w:rsid w:val="06A27BF1"/>
    <w:rsid w:val="06A35673"/>
    <w:rsid w:val="06A452F3"/>
    <w:rsid w:val="06A50BF6"/>
    <w:rsid w:val="06A52D74"/>
    <w:rsid w:val="06A607F6"/>
    <w:rsid w:val="06A74079"/>
    <w:rsid w:val="06A76277"/>
    <w:rsid w:val="06A81AFB"/>
    <w:rsid w:val="06A83CF9"/>
    <w:rsid w:val="06A9177A"/>
    <w:rsid w:val="06A9757C"/>
    <w:rsid w:val="06AA4FFE"/>
    <w:rsid w:val="06AA6D2D"/>
    <w:rsid w:val="06AB4C7D"/>
    <w:rsid w:val="06AD0181"/>
    <w:rsid w:val="06AE1485"/>
    <w:rsid w:val="06AE5C02"/>
    <w:rsid w:val="06AF3684"/>
    <w:rsid w:val="06B01105"/>
    <w:rsid w:val="06B04988"/>
    <w:rsid w:val="06B1240A"/>
    <w:rsid w:val="06B156A8"/>
    <w:rsid w:val="06B225CD"/>
    <w:rsid w:val="06B3590D"/>
    <w:rsid w:val="06B4338F"/>
    <w:rsid w:val="06B47B0B"/>
    <w:rsid w:val="06B50E10"/>
    <w:rsid w:val="06B5558D"/>
    <w:rsid w:val="06B623E7"/>
    <w:rsid w:val="06B66892"/>
    <w:rsid w:val="06B70A90"/>
    <w:rsid w:val="06B74313"/>
    <w:rsid w:val="06B81D95"/>
    <w:rsid w:val="06B83B39"/>
    <w:rsid w:val="06B86512"/>
    <w:rsid w:val="06B867FC"/>
    <w:rsid w:val="06B93983"/>
    <w:rsid w:val="06B93F93"/>
    <w:rsid w:val="06B97816"/>
    <w:rsid w:val="06BA7D75"/>
    <w:rsid w:val="06BB2D1A"/>
    <w:rsid w:val="06BB7496"/>
    <w:rsid w:val="06BC079B"/>
    <w:rsid w:val="06BC4F18"/>
    <w:rsid w:val="06BE3405"/>
    <w:rsid w:val="06BE35C9"/>
    <w:rsid w:val="06BF1720"/>
    <w:rsid w:val="06BF391E"/>
    <w:rsid w:val="06C071A1"/>
    <w:rsid w:val="06C14C23"/>
    <w:rsid w:val="06C226A4"/>
    <w:rsid w:val="06C248A3"/>
    <w:rsid w:val="06C30126"/>
    <w:rsid w:val="06C32324"/>
    <w:rsid w:val="06C453DB"/>
    <w:rsid w:val="06C47634"/>
    <w:rsid w:val="06C510AB"/>
    <w:rsid w:val="06C55827"/>
    <w:rsid w:val="06C57B04"/>
    <w:rsid w:val="06C60D71"/>
    <w:rsid w:val="06C632A9"/>
    <w:rsid w:val="06C745AE"/>
    <w:rsid w:val="06C8202F"/>
    <w:rsid w:val="06C822EA"/>
    <w:rsid w:val="06C867AC"/>
    <w:rsid w:val="06C97AB1"/>
    <w:rsid w:val="06CA1CAF"/>
    <w:rsid w:val="06CA5532"/>
    <w:rsid w:val="06CB2FB4"/>
    <w:rsid w:val="06CB7731"/>
    <w:rsid w:val="06CC0A35"/>
    <w:rsid w:val="06CC597B"/>
    <w:rsid w:val="06CE6EF4"/>
    <w:rsid w:val="06CF496A"/>
    <w:rsid w:val="06CF7A92"/>
    <w:rsid w:val="06CF7C57"/>
    <w:rsid w:val="06D0743C"/>
    <w:rsid w:val="06D14EBD"/>
    <w:rsid w:val="06D32749"/>
    <w:rsid w:val="06D45E42"/>
    <w:rsid w:val="06D50E5E"/>
    <w:rsid w:val="06D538C3"/>
    <w:rsid w:val="06D60267"/>
    <w:rsid w:val="06D61345"/>
    <w:rsid w:val="06D84848"/>
    <w:rsid w:val="06D85DD9"/>
    <w:rsid w:val="06D922CA"/>
    <w:rsid w:val="06D9478C"/>
    <w:rsid w:val="06DD1E44"/>
    <w:rsid w:val="06DD2008"/>
    <w:rsid w:val="06DD6751"/>
    <w:rsid w:val="06DE29E2"/>
    <w:rsid w:val="06DE41D3"/>
    <w:rsid w:val="06E04120"/>
    <w:rsid w:val="06E076D6"/>
    <w:rsid w:val="06E14CBE"/>
    <w:rsid w:val="06E243E8"/>
    <w:rsid w:val="06E24909"/>
    <w:rsid w:val="06E3065B"/>
    <w:rsid w:val="06E33B5C"/>
    <w:rsid w:val="06E425B9"/>
    <w:rsid w:val="06E42F65"/>
    <w:rsid w:val="06E573E1"/>
    <w:rsid w:val="06E64E63"/>
    <w:rsid w:val="06E71703"/>
    <w:rsid w:val="06E728E4"/>
    <w:rsid w:val="06E82466"/>
    <w:rsid w:val="06E84AE2"/>
    <w:rsid w:val="06E92564"/>
    <w:rsid w:val="06E92E40"/>
    <w:rsid w:val="06EA3869"/>
    <w:rsid w:val="06EB5A67"/>
    <w:rsid w:val="06EC6D6C"/>
    <w:rsid w:val="06ED5AF7"/>
    <w:rsid w:val="06EE226F"/>
    <w:rsid w:val="06EE69EC"/>
    <w:rsid w:val="06EF446D"/>
    <w:rsid w:val="06EF6EAB"/>
    <w:rsid w:val="06EF7070"/>
    <w:rsid w:val="06F01EEF"/>
    <w:rsid w:val="06F07C0E"/>
    <w:rsid w:val="06F1685A"/>
    <w:rsid w:val="06F17970"/>
    <w:rsid w:val="06F21D26"/>
    <w:rsid w:val="06F253F2"/>
    <w:rsid w:val="06F366F7"/>
    <w:rsid w:val="06F408F5"/>
    <w:rsid w:val="06F4329F"/>
    <w:rsid w:val="06F51BFA"/>
    <w:rsid w:val="06F53DF8"/>
    <w:rsid w:val="06F6767B"/>
    <w:rsid w:val="06F750FD"/>
    <w:rsid w:val="06F772FB"/>
    <w:rsid w:val="06F84D7D"/>
    <w:rsid w:val="06F85D90"/>
    <w:rsid w:val="06F90600"/>
    <w:rsid w:val="06F927FE"/>
    <w:rsid w:val="06F9676B"/>
    <w:rsid w:val="06FA74CE"/>
    <w:rsid w:val="06FC0A47"/>
    <w:rsid w:val="06FC3783"/>
    <w:rsid w:val="06FC76C2"/>
    <w:rsid w:val="06FD7006"/>
    <w:rsid w:val="06FE1FBF"/>
    <w:rsid w:val="06FE2509"/>
    <w:rsid w:val="06FE6C86"/>
    <w:rsid w:val="06FF4708"/>
    <w:rsid w:val="06FF7F8B"/>
    <w:rsid w:val="07002189"/>
    <w:rsid w:val="07005A0C"/>
    <w:rsid w:val="07014C76"/>
    <w:rsid w:val="0701711F"/>
    <w:rsid w:val="07020F0F"/>
    <w:rsid w:val="0702568C"/>
    <w:rsid w:val="07036991"/>
    <w:rsid w:val="07040B8F"/>
    <w:rsid w:val="07044413"/>
    <w:rsid w:val="07046BC9"/>
    <w:rsid w:val="07051E94"/>
    <w:rsid w:val="07056611"/>
    <w:rsid w:val="07064092"/>
    <w:rsid w:val="07067916"/>
    <w:rsid w:val="07082E19"/>
    <w:rsid w:val="070A2A99"/>
    <w:rsid w:val="070B051A"/>
    <w:rsid w:val="070C181F"/>
    <w:rsid w:val="070C4535"/>
    <w:rsid w:val="070C5F9C"/>
    <w:rsid w:val="070D149F"/>
    <w:rsid w:val="070D50D4"/>
    <w:rsid w:val="070D72A1"/>
    <w:rsid w:val="070E313E"/>
    <w:rsid w:val="070E4D22"/>
    <w:rsid w:val="070E5AAE"/>
    <w:rsid w:val="070F27A4"/>
    <w:rsid w:val="070F28B2"/>
    <w:rsid w:val="070F49A2"/>
    <w:rsid w:val="07100225"/>
    <w:rsid w:val="0710194F"/>
    <w:rsid w:val="07102423"/>
    <w:rsid w:val="071105A0"/>
    <w:rsid w:val="07115CA7"/>
    <w:rsid w:val="07117EA5"/>
    <w:rsid w:val="07125927"/>
    <w:rsid w:val="07131B19"/>
    <w:rsid w:val="07131CDD"/>
    <w:rsid w:val="071333A8"/>
    <w:rsid w:val="07140E2A"/>
    <w:rsid w:val="0714287C"/>
    <w:rsid w:val="07146C2B"/>
    <w:rsid w:val="0715212E"/>
    <w:rsid w:val="071546AD"/>
    <w:rsid w:val="0716432D"/>
    <w:rsid w:val="07174993"/>
    <w:rsid w:val="071952B1"/>
    <w:rsid w:val="071A291B"/>
    <w:rsid w:val="071A68E6"/>
    <w:rsid w:val="071B4038"/>
    <w:rsid w:val="071B72C1"/>
    <w:rsid w:val="071D753B"/>
    <w:rsid w:val="071E3DC1"/>
    <w:rsid w:val="071F2A3E"/>
    <w:rsid w:val="071F3380"/>
    <w:rsid w:val="071F3871"/>
    <w:rsid w:val="071F71BB"/>
    <w:rsid w:val="072034F0"/>
    <w:rsid w:val="07204C3C"/>
    <w:rsid w:val="07215F41"/>
    <w:rsid w:val="0722013F"/>
    <w:rsid w:val="072239C3"/>
    <w:rsid w:val="07224C2D"/>
    <w:rsid w:val="07231444"/>
    <w:rsid w:val="07235607"/>
    <w:rsid w:val="07235BC1"/>
    <w:rsid w:val="07243642"/>
    <w:rsid w:val="07246EC6"/>
    <w:rsid w:val="07254947"/>
    <w:rsid w:val="07256D45"/>
    <w:rsid w:val="072645C7"/>
    <w:rsid w:val="072678E3"/>
    <w:rsid w:val="07272049"/>
    <w:rsid w:val="07277E4A"/>
    <w:rsid w:val="07280C98"/>
    <w:rsid w:val="072858CC"/>
    <w:rsid w:val="072919FB"/>
    <w:rsid w:val="07293586"/>
    <w:rsid w:val="07295285"/>
    <w:rsid w:val="072A0DCF"/>
    <w:rsid w:val="072A2FCD"/>
    <w:rsid w:val="072B00F8"/>
    <w:rsid w:val="072B0A4F"/>
    <w:rsid w:val="072B394E"/>
    <w:rsid w:val="072C42D2"/>
    <w:rsid w:val="072C64D0"/>
    <w:rsid w:val="072C6E2A"/>
    <w:rsid w:val="072D1D54"/>
    <w:rsid w:val="072D3F52"/>
    <w:rsid w:val="072E19D4"/>
    <w:rsid w:val="072F2CD8"/>
    <w:rsid w:val="072F6440"/>
    <w:rsid w:val="072F6604"/>
    <w:rsid w:val="07304ED7"/>
    <w:rsid w:val="073071A3"/>
    <w:rsid w:val="07317B7D"/>
    <w:rsid w:val="07347160"/>
    <w:rsid w:val="07350929"/>
    <w:rsid w:val="07362663"/>
    <w:rsid w:val="073700E5"/>
    <w:rsid w:val="073935E8"/>
    <w:rsid w:val="073A1069"/>
    <w:rsid w:val="073A689E"/>
    <w:rsid w:val="073C0184"/>
    <w:rsid w:val="073C456C"/>
    <w:rsid w:val="073C7C63"/>
    <w:rsid w:val="073C7FCF"/>
    <w:rsid w:val="073D0B7A"/>
    <w:rsid w:val="073D1FEE"/>
    <w:rsid w:val="073E7A70"/>
    <w:rsid w:val="073F54F1"/>
    <w:rsid w:val="0742420A"/>
    <w:rsid w:val="07426476"/>
    <w:rsid w:val="07433EF7"/>
    <w:rsid w:val="074455BF"/>
    <w:rsid w:val="07456CFC"/>
    <w:rsid w:val="074628FE"/>
    <w:rsid w:val="0747037F"/>
    <w:rsid w:val="07470439"/>
    <w:rsid w:val="07480C4F"/>
    <w:rsid w:val="074844BB"/>
    <w:rsid w:val="07493882"/>
    <w:rsid w:val="07494150"/>
    <w:rsid w:val="074A1304"/>
    <w:rsid w:val="074C2609"/>
    <w:rsid w:val="074C4807"/>
    <w:rsid w:val="074D008A"/>
    <w:rsid w:val="074D44A4"/>
    <w:rsid w:val="074E358D"/>
    <w:rsid w:val="074E7D0A"/>
    <w:rsid w:val="074F100F"/>
    <w:rsid w:val="0750320D"/>
    <w:rsid w:val="07506A90"/>
    <w:rsid w:val="07510C8F"/>
    <w:rsid w:val="07514512"/>
    <w:rsid w:val="0752118F"/>
    <w:rsid w:val="07521F93"/>
    <w:rsid w:val="07527B34"/>
    <w:rsid w:val="07537A15"/>
    <w:rsid w:val="07541C13"/>
    <w:rsid w:val="07545496"/>
    <w:rsid w:val="07552626"/>
    <w:rsid w:val="075631C5"/>
    <w:rsid w:val="07572B98"/>
    <w:rsid w:val="07573D64"/>
    <w:rsid w:val="07580619"/>
    <w:rsid w:val="07584902"/>
    <w:rsid w:val="0758565F"/>
    <w:rsid w:val="07585B80"/>
    <w:rsid w:val="0759191E"/>
    <w:rsid w:val="0759609B"/>
    <w:rsid w:val="075A3B1D"/>
    <w:rsid w:val="075A73A0"/>
    <w:rsid w:val="075B159E"/>
    <w:rsid w:val="075B4E21"/>
    <w:rsid w:val="075C7020"/>
    <w:rsid w:val="075C73F4"/>
    <w:rsid w:val="075C75B8"/>
    <w:rsid w:val="075D0324"/>
    <w:rsid w:val="075E096D"/>
    <w:rsid w:val="075E2523"/>
    <w:rsid w:val="075E7FA4"/>
    <w:rsid w:val="075F150C"/>
    <w:rsid w:val="075F3828"/>
    <w:rsid w:val="07616D2B"/>
    <w:rsid w:val="076247AC"/>
    <w:rsid w:val="076269AA"/>
    <w:rsid w:val="0763222E"/>
    <w:rsid w:val="07636392"/>
    <w:rsid w:val="07647CAF"/>
    <w:rsid w:val="07650F54"/>
    <w:rsid w:val="076562D9"/>
    <w:rsid w:val="07660C34"/>
    <w:rsid w:val="076653B1"/>
    <w:rsid w:val="07672E32"/>
    <w:rsid w:val="0767768E"/>
    <w:rsid w:val="076822F3"/>
    <w:rsid w:val="07684137"/>
    <w:rsid w:val="07686B6F"/>
    <w:rsid w:val="07690DCB"/>
    <w:rsid w:val="07696335"/>
    <w:rsid w:val="076A3DB7"/>
    <w:rsid w:val="076B50BC"/>
    <w:rsid w:val="076C2B3D"/>
    <w:rsid w:val="076D05BF"/>
    <w:rsid w:val="076D38BD"/>
    <w:rsid w:val="076D4D3B"/>
    <w:rsid w:val="076F3AC2"/>
    <w:rsid w:val="076F4FFA"/>
    <w:rsid w:val="07701543"/>
    <w:rsid w:val="07705CC0"/>
    <w:rsid w:val="07706573"/>
    <w:rsid w:val="07716F4D"/>
    <w:rsid w:val="07727AEC"/>
    <w:rsid w:val="077324C8"/>
    <w:rsid w:val="07736C45"/>
    <w:rsid w:val="07737A75"/>
    <w:rsid w:val="07743731"/>
    <w:rsid w:val="07747F4A"/>
    <w:rsid w:val="077520F8"/>
    <w:rsid w:val="07752148"/>
    <w:rsid w:val="0776344D"/>
    <w:rsid w:val="0776564B"/>
    <w:rsid w:val="07770C56"/>
    <w:rsid w:val="077730CD"/>
    <w:rsid w:val="077965D0"/>
    <w:rsid w:val="077A4051"/>
    <w:rsid w:val="077A5294"/>
    <w:rsid w:val="077B78D4"/>
    <w:rsid w:val="077C5356"/>
    <w:rsid w:val="077C680D"/>
    <w:rsid w:val="077C69D1"/>
    <w:rsid w:val="077C7554"/>
    <w:rsid w:val="077D2DD8"/>
    <w:rsid w:val="077E0AE9"/>
    <w:rsid w:val="077E62DB"/>
    <w:rsid w:val="077F04D9"/>
    <w:rsid w:val="07812A3C"/>
    <w:rsid w:val="078139DC"/>
    <w:rsid w:val="0782145E"/>
    <w:rsid w:val="07824CE1"/>
    <w:rsid w:val="07834179"/>
    <w:rsid w:val="07836EDF"/>
    <w:rsid w:val="07853608"/>
    <w:rsid w:val="07853B29"/>
    <w:rsid w:val="078636E7"/>
    <w:rsid w:val="078660CC"/>
    <w:rsid w:val="07867E64"/>
    <w:rsid w:val="07871169"/>
    <w:rsid w:val="078758E5"/>
    <w:rsid w:val="07883367"/>
    <w:rsid w:val="07886BEA"/>
    <w:rsid w:val="078A20ED"/>
    <w:rsid w:val="078A25D6"/>
    <w:rsid w:val="078C55F0"/>
    <w:rsid w:val="078D3874"/>
    <w:rsid w:val="078D3A39"/>
    <w:rsid w:val="078D77EF"/>
    <w:rsid w:val="078E0AF3"/>
    <w:rsid w:val="078E4413"/>
    <w:rsid w:val="078E5270"/>
    <w:rsid w:val="07903FF7"/>
    <w:rsid w:val="07913C76"/>
    <w:rsid w:val="0791652A"/>
    <w:rsid w:val="079270C9"/>
    <w:rsid w:val="079275D3"/>
    <w:rsid w:val="07927789"/>
    <w:rsid w:val="07934F7B"/>
    <w:rsid w:val="07936150"/>
    <w:rsid w:val="07936671"/>
    <w:rsid w:val="07937179"/>
    <w:rsid w:val="07944BFB"/>
    <w:rsid w:val="0795267D"/>
    <w:rsid w:val="07963981"/>
    <w:rsid w:val="07975B80"/>
    <w:rsid w:val="07983601"/>
    <w:rsid w:val="07993CD2"/>
    <w:rsid w:val="07994906"/>
    <w:rsid w:val="079A2388"/>
    <w:rsid w:val="079D330C"/>
    <w:rsid w:val="079E0D8E"/>
    <w:rsid w:val="079E7F01"/>
    <w:rsid w:val="079F0AA0"/>
    <w:rsid w:val="07A0147A"/>
    <w:rsid w:val="07A01890"/>
    <w:rsid w:val="07A04291"/>
    <w:rsid w:val="07A27794"/>
    <w:rsid w:val="07A35216"/>
    <w:rsid w:val="07A37949"/>
    <w:rsid w:val="07A6619A"/>
    <w:rsid w:val="07A72991"/>
    <w:rsid w:val="07A76C22"/>
    <w:rsid w:val="07A8169D"/>
    <w:rsid w:val="07A877C1"/>
    <w:rsid w:val="07AA0D3A"/>
    <w:rsid w:val="07AB2622"/>
    <w:rsid w:val="07AC00A3"/>
    <w:rsid w:val="07AD5B25"/>
    <w:rsid w:val="07AE4743"/>
    <w:rsid w:val="07AE5CDD"/>
    <w:rsid w:val="07AF406D"/>
    <w:rsid w:val="07AF43CA"/>
    <w:rsid w:val="07AF6AAA"/>
    <w:rsid w:val="07B02D9F"/>
    <w:rsid w:val="07B0452B"/>
    <w:rsid w:val="07B0724B"/>
    <w:rsid w:val="07B11FAD"/>
    <w:rsid w:val="07B1581D"/>
    <w:rsid w:val="07B332B2"/>
    <w:rsid w:val="07B354B0"/>
    <w:rsid w:val="07B37081"/>
    <w:rsid w:val="07B37C1F"/>
    <w:rsid w:val="07B40D33"/>
    <w:rsid w:val="07B42F31"/>
    <w:rsid w:val="07B51198"/>
    <w:rsid w:val="07B567B5"/>
    <w:rsid w:val="07B64236"/>
    <w:rsid w:val="07B66435"/>
    <w:rsid w:val="07B728D5"/>
    <w:rsid w:val="07B73EB6"/>
    <w:rsid w:val="07B76CEE"/>
    <w:rsid w:val="07B77739"/>
    <w:rsid w:val="07B81938"/>
    <w:rsid w:val="07B851BB"/>
    <w:rsid w:val="07B92C3C"/>
    <w:rsid w:val="07B973B9"/>
    <w:rsid w:val="07BA4E3B"/>
    <w:rsid w:val="07BB28BC"/>
    <w:rsid w:val="07BB53C7"/>
    <w:rsid w:val="07BC3BC1"/>
    <w:rsid w:val="07BC5DA1"/>
    <w:rsid w:val="07BD1643"/>
    <w:rsid w:val="07BD5DBF"/>
    <w:rsid w:val="07BD69FF"/>
    <w:rsid w:val="07BE74DF"/>
    <w:rsid w:val="07BF4B46"/>
    <w:rsid w:val="07BF4EA6"/>
    <w:rsid w:val="07BF505C"/>
    <w:rsid w:val="07BF7EB9"/>
    <w:rsid w:val="07C10049"/>
    <w:rsid w:val="07C11432"/>
    <w:rsid w:val="07C21FD0"/>
    <w:rsid w:val="07C22247"/>
    <w:rsid w:val="07C25ACA"/>
    <w:rsid w:val="07C40FCD"/>
    <w:rsid w:val="07C4574A"/>
    <w:rsid w:val="07C56A4F"/>
    <w:rsid w:val="07C644D1"/>
    <w:rsid w:val="07C65661"/>
    <w:rsid w:val="07C71F52"/>
    <w:rsid w:val="07C74150"/>
    <w:rsid w:val="07C766CF"/>
    <w:rsid w:val="07CB2B57"/>
    <w:rsid w:val="07CC63DA"/>
    <w:rsid w:val="07CD242F"/>
    <w:rsid w:val="07CD3E5B"/>
    <w:rsid w:val="07CE18DD"/>
    <w:rsid w:val="07CF155D"/>
    <w:rsid w:val="07CF735F"/>
    <w:rsid w:val="07D102E3"/>
    <w:rsid w:val="07D26499"/>
    <w:rsid w:val="07D37F63"/>
    <w:rsid w:val="07D41268"/>
    <w:rsid w:val="07D459E5"/>
    <w:rsid w:val="07D50775"/>
    <w:rsid w:val="07D53466"/>
    <w:rsid w:val="07D6114F"/>
    <w:rsid w:val="07D71CEE"/>
    <w:rsid w:val="07D721EC"/>
    <w:rsid w:val="07D76969"/>
    <w:rsid w:val="07D91E6C"/>
    <w:rsid w:val="07D956F0"/>
    <w:rsid w:val="07DA3171"/>
    <w:rsid w:val="07DB2381"/>
    <w:rsid w:val="07DB4646"/>
    <w:rsid w:val="07DB49A4"/>
    <w:rsid w:val="07DB536F"/>
    <w:rsid w:val="07DD0873"/>
    <w:rsid w:val="07DD40F6"/>
    <w:rsid w:val="07DE62F4"/>
    <w:rsid w:val="07E14CFA"/>
    <w:rsid w:val="07E2057E"/>
    <w:rsid w:val="07E2277C"/>
    <w:rsid w:val="07E301FD"/>
    <w:rsid w:val="07E32CEB"/>
    <w:rsid w:val="07E35FFF"/>
    <w:rsid w:val="07E61182"/>
    <w:rsid w:val="07E66F84"/>
    <w:rsid w:val="07E72487"/>
    <w:rsid w:val="07E74A05"/>
    <w:rsid w:val="07E84685"/>
    <w:rsid w:val="07E86197"/>
    <w:rsid w:val="07E92107"/>
    <w:rsid w:val="07E94D14"/>
    <w:rsid w:val="07E9507F"/>
    <w:rsid w:val="07E953EA"/>
    <w:rsid w:val="07EA49A8"/>
    <w:rsid w:val="07EA7B88"/>
    <w:rsid w:val="07EB0E8D"/>
    <w:rsid w:val="07EC690F"/>
    <w:rsid w:val="07ED23E6"/>
    <w:rsid w:val="07EE1AC0"/>
    <w:rsid w:val="07EE1E12"/>
    <w:rsid w:val="07EE2F85"/>
    <w:rsid w:val="07EE658E"/>
    <w:rsid w:val="07EF395F"/>
    <w:rsid w:val="07F044FE"/>
    <w:rsid w:val="07F05315"/>
    <w:rsid w:val="07F12D96"/>
    <w:rsid w:val="07F17513"/>
    <w:rsid w:val="07F20818"/>
    <w:rsid w:val="07F24F95"/>
    <w:rsid w:val="07F32A16"/>
    <w:rsid w:val="07F36615"/>
    <w:rsid w:val="07F43D1B"/>
    <w:rsid w:val="07F46FEF"/>
    <w:rsid w:val="07F6399B"/>
    <w:rsid w:val="07F71107"/>
    <w:rsid w:val="07F712CB"/>
    <w:rsid w:val="07F76E9E"/>
    <w:rsid w:val="07F8491F"/>
    <w:rsid w:val="07F963D9"/>
    <w:rsid w:val="07FA7E23"/>
    <w:rsid w:val="07FB4797"/>
    <w:rsid w:val="07FB58A4"/>
    <w:rsid w:val="07FC1127"/>
    <w:rsid w:val="07FC3326"/>
    <w:rsid w:val="07FD0DA7"/>
    <w:rsid w:val="07FD6BA9"/>
    <w:rsid w:val="07FE6829"/>
    <w:rsid w:val="07FE68AF"/>
    <w:rsid w:val="07FE6A73"/>
    <w:rsid w:val="07FF20AC"/>
    <w:rsid w:val="07FF7612"/>
    <w:rsid w:val="07FF7B2E"/>
    <w:rsid w:val="080055AF"/>
    <w:rsid w:val="08007FEC"/>
    <w:rsid w:val="08013031"/>
    <w:rsid w:val="08021565"/>
    <w:rsid w:val="08031F3F"/>
    <w:rsid w:val="08036534"/>
    <w:rsid w:val="08036B8C"/>
    <w:rsid w:val="08042ADE"/>
    <w:rsid w:val="08042CA2"/>
    <w:rsid w:val="08043FB5"/>
    <w:rsid w:val="08061963"/>
    <w:rsid w:val="080674B8"/>
    <w:rsid w:val="08070A00"/>
    <w:rsid w:val="08074F3A"/>
    <w:rsid w:val="080829BC"/>
    <w:rsid w:val="0808616E"/>
    <w:rsid w:val="08086333"/>
    <w:rsid w:val="08096D0D"/>
    <w:rsid w:val="08096ED2"/>
    <w:rsid w:val="080B044A"/>
    <w:rsid w:val="080C13C2"/>
    <w:rsid w:val="080D6E43"/>
    <w:rsid w:val="080E239D"/>
    <w:rsid w:val="080F2346"/>
    <w:rsid w:val="080F4957"/>
    <w:rsid w:val="08107DC8"/>
    <w:rsid w:val="081144B5"/>
    <w:rsid w:val="08114679"/>
    <w:rsid w:val="08144B81"/>
    <w:rsid w:val="081608A9"/>
    <w:rsid w:val="08161CD1"/>
    <w:rsid w:val="08171283"/>
    <w:rsid w:val="081751D4"/>
    <w:rsid w:val="08177753"/>
    <w:rsid w:val="081906D7"/>
    <w:rsid w:val="081964D9"/>
    <w:rsid w:val="081A339A"/>
    <w:rsid w:val="081C745E"/>
    <w:rsid w:val="081D54B2"/>
    <w:rsid w:val="081D70DE"/>
    <w:rsid w:val="081F03E2"/>
    <w:rsid w:val="081F25E1"/>
    <w:rsid w:val="08200062"/>
    <w:rsid w:val="082038E6"/>
    <w:rsid w:val="08210B42"/>
    <w:rsid w:val="08215AE4"/>
    <w:rsid w:val="0822097E"/>
    <w:rsid w:val="08226DE9"/>
    <w:rsid w:val="0823486A"/>
    <w:rsid w:val="08236FF3"/>
    <w:rsid w:val="08246A68"/>
    <w:rsid w:val="082544EA"/>
    <w:rsid w:val="08254F79"/>
    <w:rsid w:val="08257D6D"/>
    <w:rsid w:val="082657EF"/>
    <w:rsid w:val="082779ED"/>
    <w:rsid w:val="08280CF2"/>
    <w:rsid w:val="08292EF0"/>
    <w:rsid w:val="082962EA"/>
    <w:rsid w:val="08296773"/>
    <w:rsid w:val="082B1C77"/>
    <w:rsid w:val="082B63F3"/>
    <w:rsid w:val="082C023D"/>
    <w:rsid w:val="082C3E75"/>
    <w:rsid w:val="082C76F8"/>
    <w:rsid w:val="082D18F6"/>
    <w:rsid w:val="082D517A"/>
    <w:rsid w:val="082E2BFB"/>
    <w:rsid w:val="082E7378"/>
    <w:rsid w:val="082F067D"/>
    <w:rsid w:val="082F4DFA"/>
    <w:rsid w:val="082F62F4"/>
    <w:rsid w:val="083002FD"/>
    <w:rsid w:val="08303A92"/>
    <w:rsid w:val="083060FE"/>
    <w:rsid w:val="08313B80"/>
    <w:rsid w:val="08314631"/>
    <w:rsid w:val="08315D7E"/>
    <w:rsid w:val="08331281"/>
    <w:rsid w:val="08335BAA"/>
    <w:rsid w:val="08352586"/>
    <w:rsid w:val="08354784"/>
    <w:rsid w:val="08357123"/>
    <w:rsid w:val="08362206"/>
    <w:rsid w:val="08375A89"/>
    <w:rsid w:val="08377C87"/>
    <w:rsid w:val="08380F8C"/>
    <w:rsid w:val="0838123A"/>
    <w:rsid w:val="08385709"/>
    <w:rsid w:val="08391DD9"/>
    <w:rsid w:val="083B668E"/>
    <w:rsid w:val="083C7992"/>
    <w:rsid w:val="083D1B91"/>
    <w:rsid w:val="083D5414"/>
    <w:rsid w:val="083D5469"/>
    <w:rsid w:val="083E2E96"/>
    <w:rsid w:val="083E7612"/>
    <w:rsid w:val="083F0917"/>
    <w:rsid w:val="083F4163"/>
    <w:rsid w:val="083F5094"/>
    <w:rsid w:val="08402B15"/>
    <w:rsid w:val="0840356C"/>
    <w:rsid w:val="08407581"/>
    <w:rsid w:val="08410597"/>
    <w:rsid w:val="08412609"/>
    <w:rsid w:val="08413E1A"/>
    <w:rsid w:val="0842189C"/>
    <w:rsid w:val="08426019"/>
    <w:rsid w:val="0844151C"/>
    <w:rsid w:val="08442073"/>
    <w:rsid w:val="08452820"/>
    <w:rsid w:val="08456F9D"/>
    <w:rsid w:val="084602A2"/>
    <w:rsid w:val="084635EB"/>
    <w:rsid w:val="084637B0"/>
    <w:rsid w:val="084724A0"/>
    <w:rsid w:val="0847434F"/>
    <w:rsid w:val="084837A5"/>
    <w:rsid w:val="08484D29"/>
    <w:rsid w:val="084859A3"/>
    <w:rsid w:val="08487F22"/>
    <w:rsid w:val="084A0EA6"/>
    <w:rsid w:val="084A190F"/>
    <w:rsid w:val="084A6E40"/>
    <w:rsid w:val="084B6928"/>
    <w:rsid w:val="084B781B"/>
    <w:rsid w:val="084B79DF"/>
    <w:rsid w:val="084C21AB"/>
    <w:rsid w:val="084C43AA"/>
    <w:rsid w:val="084D0D93"/>
    <w:rsid w:val="084D1E2B"/>
    <w:rsid w:val="084D7C2D"/>
    <w:rsid w:val="084E1AF7"/>
    <w:rsid w:val="084E56AE"/>
    <w:rsid w:val="084E78AD"/>
    <w:rsid w:val="084F24D1"/>
    <w:rsid w:val="084F532E"/>
    <w:rsid w:val="08500BB1"/>
    <w:rsid w:val="08502EAB"/>
    <w:rsid w:val="08506633"/>
    <w:rsid w:val="08510831"/>
    <w:rsid w:val="08513C0E"/>
    <w:rsid w:val="085140B5"/>
    <w:rsid w:val="085262B3"/>
    <w:rsid w:val="08533D34"/>
    <w:rsid w:val="08534FC3"/>
    <w:rsid w:val="08535187"/>
    <w:rsid w:val="085375B8"/>
    <w:rsid w:val="085417B6"/>
    <w:rsid w:val="08552ABB"/>
    <w:rsid w:val="08564CB9"/>
    <w:rsid w:val="0856729F"/>
    <w:rsid w:val="0857273B"/>
    <w:rsid w:val="08583A3F"/>
    <w:rsid w:val="08595C3E"/>
    <w:rsid w:val="085A36BF"/>
    <w:rsid w:val="085A6F43"/>
    <w:rsid w:val="085B1141"/>
    <w:rsid w:val="085B49C4"/>
    <w:rsid w:val="085D0005"/>
    <w:rsid w:val="085D4644"/>
    <w:rsid w:val="085E20C5"/>
    <w:rsid w:val="085E5949"/>
    <w:rsid w:val="085F33CA"/>
    <w:rsid w:val="08600E4C"/>
    <w:rsid w:val="0860304A"/>
    <w:rsid w:val="08617538"/>
    <w:rsid w:val="0862434F"/>
    <w:rsid w:val="0862654D"/>
    <w:rsid w:val="08627F12"/>
    <w:rsid w:val="0863510B"/>
    <w:rsid w:val="08647852"/>
    <w:rsid w:val="08652D8D"/>
    <w:rsid w:val="086552D4"/>
    <w:rsid w:val="086707D7"/>
    <w:rsid w:val="086735A3"/>
    <w:rsid w:val="08674142"/>
    <w:rsid w:val="08686258"/>
    <w:rsid w:val="0869175B"/>
    <w:rsid w:val="086A6259"/>
    <w:rsid w:val="086B33D9"/>
    <w:rsid w:val="086B4C5E"/>
    <w:rsid w:val="086B6DF8"/>
    <w:rsid w:val="086C1A35"/>
    <w:rsid w:val="086C26E0"/>
    <w:rsid w:val="086C77D2"/>
    <w:rsid w:val="086C7996"/>
    <w:rsid w:val="086E5BE3"/>
    <w:rsid w:val="086F18EA"/>
    <w:rsid w:val="086F1AAE"/>
    <w:rsid w:val="086F3665"/>
    <w:rsid w:val="086F623A"/>
    <w:rsid w:val="08702488"/>
    <w:rsid w:val="0870264D"/>
    <w:rsid w:val="08723A01"/>
    <w:rsid w:val="087245E9"/>
    <w:rsid w:val="08745B19"/>
    <w:rsid w:val="08767256"/>
    <w:rsid w:val="08770A71"/>
    <w:rsid w:val="08777DF5"/>
    <w:rsid w:val="087807CF"/>
    <w:rsid w:val="087A4C54"/>
    <w:rsid w:val="087D297A"/>
    <w:rsid w:val="087E3C7F"/>
    <w:rsid w:val="08801380"/>
    <w:rsid w:val="08814C04"/>
    <w:rsid w:val="08816951"/>
    <w:rsid w:val="08816E02"/>
    <w:rsid w:val="088176B4"/>
    <w:rsid w:val="08822685"/>
    <w:rsid w:val="08830107"/>
    <w:rsid w:val="08830C2D"/>
    <w:rsid w:val="08845B88"/>
    <w:rsid w:val="08847D87"/>
    <w:rsid w:val="08851FE1"/>
    <w:rsid w:val="0885360A"/>
    <w:rsid w:val="0886328A"/>
    <w:rsid w:val="0887371F"/>
    <w:rsid w:val="08882010"/>
    <w:rsid w:val="088840F9"/>
    <w:rsid w:val="088842BD"/>
    <w:rsid w:val="0888458F"/>
    <w:rsid w:val="0888678D"/>
    <w:rsid w:val="088875E7"/>
    <w:rsid w:val="0889727B"/>
    <w:rsid w:val="08897A92"/>
    <w:rsid w:val="088A1C90"/>
    <w:rsid w:val="088B2F95"/>
    <w:rsid w:val="088B556C"/>
    <w:rsid w:val="088B7712"/>
    <w:rsid w:val="088C6DAF"/>
    <w:rsid w:val="088E0328"/>
    <w:rsid w:val="088E0696"/>
    <w:rsid w:val="088E3F19"/>
    <w:rsid w:val="088F199B"/>
    <w:rsid w:val="088F1A65"/>
    <w:rsid w:val="088F6118"/>
    <w:rsid w:val="08902440"/>
    <w:rsid w:val="08902604"/>
    <w:rsid w:val="08915791"/>
    <w:rsid w:val="08922920"/>
    <w:rsid w:val="08926EC0"/>
    <w:rsid w:val="0892709C"/>
    <w:rsid w:val="0894259F"/>
    <w:rsid w:val="08945E23"/>
    <w:rsid w:val="08961326"/>
    <w:rsid w:val="089622E5"/>
    <w:rsid w:val="08965AA3"/>
    <w:rsid w:val="089718A3"/>
    <w:rsid w:val="0897720D"/>
    <w:rsid w:val="08980FA6"/>
    <w:rsid w:val="08984829"/>
    <w:rsid w:val="08990786"/>
    <w:rsid w:val="089922AB"/>
    <w:rsid w:val="089979DE"/>
    <w:rsid w:val="089A1160"/>
    <w:rsid w:val="089A1F2A"/>
    <w:rsid w:val="089B1EC4"/>
    <w:rsid w:val="089B57AE"/>
    <w:rsid w:val="089B79AC"/>
    <w:rsid w:val="089C542D"/>
    <w:rsid w:val="089D0CB1"/>
    <w:rsid w:val="089E0931"/>
    <w:rsid w:val="089E6732"/>
    <w:rsid w:val="089F41B4"/>
    <w:rsid w:val="089F5390"/>
    <w:rsid w:val="08A01C35"/>
    <w:rsid w:val="08A03E34"/>
    <w:rsid w:val="08A05F2E"/>
    <w:rsid w:val="08A118B5"/>
    <w:rsid w:val="08A16908"/>
    <w:rsid w:val="08A27337"/>
    <w:rsid w:val="08A4283A"/>
    <w:rsid w:val="08A460BD"/>
    <w:rsid w:val="08A502BB"/>
    <w:rsid w:val="08A51783"/>
    <w:rsid w:val="08A53B3F"/>
    <w:rsid w:val="08A65D3D"/>
    <w:rsid w:val="08A72B38"/>
    <w:rsid w:val="08A737BE"/>
    <w:rsid w:val="08A77042"/>
    <w:rsid w:val="08A92545"/>
    <w:rsid w:val="08A94275"/>
    <w:rsid w:val="08AA4743"/>
    <w:rsid w:val="08AB21C5"/>
    <w:rsid w:val="08AB5A48"/>
    <w:rsid w:val="08AC34C9"/>
    <w:rsid w:val="08AC6F2B"/>
    <w:rsid w:val="08AD0F4B"/>
    <w:rsid w:val="08AD7905"/>
    <w:rsid w:val="08AE04A4"/>
    <w:rsid w:val="08AE69CD"/>
    <w:rsid w:val="08AF0BCB"/>
    <w:rsid w:val="08B01A1D"/>
    <w:rsid w:val="08B11B50"/>
    <w:rsid w:val="08B11F30"/>
    <w:rsid w:val="08B123F7"/>
    <w:rsid w:val="08B17951"/>
    <w:rsid w:val="08B2184D"/>
    <w:rsid w:val="08B22F96"/>
    <w:rsid w:val="08B24EDB"/>
    <w:rsid w:val="08B275D1"/>
    <w:rsid w:val="08B33B34"/>
    <w:rsid w:val="08B35053"/>
    <w:rsid w:val="08B408D6"/>
    <w:rsid w:val="08B4450F"/>
    <w:rsid w:val="08B446D3"/>
    <w:rsid w:val="08B45FD1"/>
    <w:rsid w:val="08B466A8"/>
    <w:rsid w:val="08B50556"/>
    <w:rsid w:val="08B55745"/>
    <w:rsid w:val="08B65A87"/>
    <w:rsid w:val="08B65FD7"/>
    <w:rsid w:val="08B73A59"/>
    <w:rsid w:val="08B814DA"/>
    <w:rsid w:val="08B84D5E"/>
    <w:rsid w:val="08B872DC"/>
    <w:rsid w:val="08B90902"/>
    <w:rsid w:val="08B927DF"/>
    <w:rsid w:val="08BA0261"/>
    <w:rsid w:val="08BA12DC"/>
    <w:rsid w:val="08BA49DD"/>
    <w:rsid w:val="08BB5CE2"/>
    <w:rsid w:val="08BC3764"/>
    <w:rsid w:val="08BD5962"/>
    <w:rsid w:val="08BE6C67"/>
    <w:rsid w:val="08C068E7"/>
    <w:rsid w:val="08C160AA"/>
    <w:rsid w:val="08C17BEC"/>
    <w:rsid w:val="08C26A84"/>
    <w:rsid w:val="08C305F9"/>
    <w:rsid w:val="08C307AE"/>
    <w:rsid w:val="08C30B19"/>
    <w:rsid w:val="08C330EF"/>
    <w:rsid w:val="08C3745F"/>
    <w:rsid w:val="08C37623"/>
    <w:rsid w:val="08C40B70"/>
    <w:rsid w:val="08C452ED"/>
    <w:rsid w:val="08C47BB7"/>
    <w:rsid w:val="08C568EA"/>
    <w:rsid w:val="08C64073"/>
    <w:rsid w:val="08C71AF5"/>
    <w:rsid w:val="08C72115"/>
    <w:rsid w:val="08C8368E"/>
    <w:rsid w:val="08C83CF3"/>
    <w:rsid w:val="08C91775"/>
    <w:rsid w:val="08CB04FB"/>
    <w:rsid w:val="08CC5F7D"/>
    <w:rsid w:val="08CD39FE"/>
    <w:rsid w:val="08CD6D1E"/>
    <w:rsid w:val="08CE1480"/>
    <w:rsid w:val="08CF6F01"/>
    <w:rsid w:val="08D04983"/>
    <w:rsid w:val="08D12404"/>
    <w:rsid w:val="08D12F8B"/>
    <w:rsid w:val="08D13817"/>
    <w:rsid w:val="08D17E86"/>
    <w:rsid w:val="08D33112"/>
    <w:rsid w:val="08D33389"/>
    <w:rsid w:val="08D4468A"/>
    <w:rsid w:val="08D44BE5"/>
    <w:rsid w:val="08D55065"/>
    <w:rsid w:val="08D5688C"/>
    <w:rsid w:val="08D6430E"/>
    <w:rsid w:val="08D767A2"/>
    <w:rsid w:val="08D87811"/>
    <w:rsid w:val="08D95292"/>
    <w:rsid w:val="08DB0795"/>
    <w:rsid w:val="08DC2D87"/>
    <w:rsid w:val="08DC6217"/>
    <w:rsid w:val="08E04924"/>
    <w:rsid w:val="08E04C1D"/>
    <w:rsid w:val="08E154C3"/>
    <w:rsid w:val="08E17C10"/>
    <w:rsid w:val="08E20120"/>
    <w:rsid w:val="08E236EE"/>
    <w:rsid w:val="08E25E9D"/>
    <w:rsid w:val="08E35BA2"/>
    <w:rsid w:val="08E375DA"/>
    <w:rsid w:val="08E43623"/>
    <w:rsid w:val="08E46EA7"/>
    <w:rsid w:val="08E50D18"/>
    <w:rsid w:val="08E510A5"/>
    <w:rsid w:val="08E52240"/>
    <w:rsid w:val="08E54928"/>
    <w:rsid w:val="08E623AA"/>
    <w:rsid w:val="08E66B26"/>
    <w:rsid w:val="08E6788B"/>
    <w:rsid w:val="08E720CC"/>
    <w:rsid w:val="08E745A8"/>
    <w:rsid w:val="08E77E2B"/>
    <w:rsid w:val="08E858AD"/>
    <w:rsid w:val="08E9332E"/>
    <w:rsid w:val="08E9552D"/>
    <w:rsid w:val="08E972AA"/>
    <w:rsid w:val="08E97AAB"/>
    <w:rsid w:val="08EA0DB0"/>
    <w:rsid w:val="08EA2FAE"/>
    <w:rsid w:val="08EB0A30"/>
    <w:rsid w:val="08EB6831"/>
    <w:rsid w:val="08EC42B3"/>
    <w:rsid w:val="08ED1D35"/>
    <w:rsid w:val="08ED3F33"/>
    <w:rsid w:val="08ED64C0"/>
    <w:rsid w:val="08EE19B4"/>
    <w:rsid w:val="08EE6E9A"/>
    <w:rsid w:val="08EE7BDA"/>
    <w:rsid w:val="08EF7436"/>
    <w:rsid w:val="08F02CB9"/>
    <w:rsid w:val="08F1198C"/>
    <w:rsid w:val="08F11B50"/>
    <w:rsid w:val="08F12939"/>
    <w:rsid w:val="08F203BB"/>
    <w:rsid w:val="08F316BF"/>
    <w:rsid w:val="08F438BE"/>
    <w:rsid w:val="08F54642"/>
    <w:rsid w:val="08F54BC3"/>
    <w:rsid w:val="08F62644"/>
    <w:rsid w:val="08F700C6"/>
    <w:rsid w:val="08F74842"/>
    <w:rsid w:val="08F822C4"/>
    <w:rsid w:val="08F97D45"/>
    <w:rsid w:val="08FA104A"/>
    <w:rsid w:val="08FB3249"/>
    <w:rsid w:val="08FB6ACC"/>
    <w:rsid w:val="08FC256D"/>
    <w:rsid w:val="08FD1FCF"/>
    <w:rsid w:val="08FD674C"/>
    <w:rsid w:val="08FE06A8"/>
    <w:rsid w:val="08FE0D7F"/>
    <w:rsid w:val="08FE7A50"/>
    <w:rsid w:val="08FF0187"/>
    <w:rsid w:val="090076D0"/>
    <w:rsid w:val="090109D5"/>
    <w:rsid w:val="0901547A"/>
    <w:rsid w:val="0901567A"/>
    <w:rsid w:val="090360D7"/>
    <w:rsid w:val="09043B58"/>
    <w:rsid w:val="09050131"/>
    <w:rsid w:val="090515DA"/>
    <w:rsid w:val="090573DB"/>
    <w:rsid w:val="09060B0B"/>
    <w:rsid w:val="09064E5D"/>
    <w:rsid w:val="0906705B"/>
    <w:rsid w:val="090716A9"/>
    <w:rsid w:val="09074ADD"/>
    <w:rsid w:val="09082248"/>
    <w:rsid w:val="0908255E"/>
    <w:rsid w:val="09093863"/>
    <w:rsid w:val="09095DE2"/>
    <w:rsid w:val="09097FE0"/>
    <w:rsid w:val="090A2141"/>
    <w:rsid w:val="090A5A61"/>
    <w:rsid w:val="090B34E3"/>
    <w:rsid w:val="090B4360"/>
    <w:rsid w:val="090B4829"/>
    <w:rsid w:val="090B4D3A"/>
    <w:rsid w:val="090B6D66"/>
    <w:rsid w:val="090C0F64"/>
    <w:rsid w:val="090C47E8"/>
    <w:rsid w:val="090D2269"/>
    <w:rsid w:val="090D303B"/>
    <w:rsid w:val="090D69E6"/>
    <w:rsid w:val="090E4468"/>
    <w:rsid w:val="090E7CEB"/>
    <w:rsid w:val="090F1EE9"/>
    <w:rsid w:val="090F576C"/>
    <w:rsid w:val="09110F69"/>
    <w:rsid w:val="091153EC"/>
    <w:rsid w:val="091266F1"/>
    <w:rsid w:val="091308EF"/>
    <w:rsid w:val="091324E2"/>
    <w:rsid w:val="09134173"/>
    <w:rsid w:val="09146371"/>
    <w:rsid w:val="09153A5B"/>
    <w:rsid w:val="09153DF2"/>
    <w:rsid w:val="091650F7"/>
    <w:rsid w:val="09172B79"/>
    <w:rsid w:val="091772F6"/>
    <w:rsid w:val="091805FA"/>
    <w:rsid w:val="09184D77"/>
    <w:rsid w:val="0919027A"/>
    <w:rsid w:val="091A5CFC"/>
    <w:rsid w:val="091B377D"/>
    <w:rsid w:val="091B5662"/>
    <w:rsid w:val="091B62A2"/>
    <w:rsid w:val="091C11FF"/>
    <w:rsid w:val="091D1F66"/>
    <w:rsid w:val="091D4A82"/>
    <w:rsid w:val="091E2940"/>
    <w:rsid w:val="091E2E96"/>
    <w:rsid w:val="091E4702"/>
    <w:rsid w:val="091F34DF"/>
    <w:rsid w:val="091F7F85"/>
    <w:rsid w:val="09205A07"/>
    <w:rsid w:val="09215687"/>
    <w:rsid w:val="092217DD"/>
    <w:rsid w:val="092255F6"/>
    <w:rsid w:val="0922698B"/>
    <w:rsid w:val="09241E8E"/>
    <w:rsid w:val="0924660B"/>
    <w:rsid w:val="0925408D"/>
    <w:rsid w:val="09260ED4"/>
    <w:rsid w:val="09277590"/>
    <w:rsid w:val="09280DA2"/>
    <w:rsid w:val="09285011"/>
    <w:rsid w:val="09296316"/>
    <w:rsid w:val="092A0515"/>
    <w:rsid w:val="092A393D"/>
    <w:rsid w:val="092A3D98"/>
    <w:rsid w:val="092A75B4"/>
    <w:rsid w:val="092B1819"/>
    <w:rsid w:val="092B4153"/>
    <w:rsid w:val="092C4CF1"/>
    <w:rsid w:val="092C769C"/>
    <w:rsid w:val="092D1499"/>
    <w:rsid w:val="092D4D1C"/>
    <w:rsid w:val="092E642F"/>
    <w:rsid w:val="092F499C"/>
    <w:rsid w:val="092F6FCD"/>
    <w:rsid w:val="0930241E"/>
    <w:rsid w:val="09305CA1"/>
    <w:rsid w:val="09310157"/>
    <w:rsid w:val="09342F98"/>
    <w:rsid w:val="09353A12"/>
    <w:rsid w:val="09364775"/>
    <w:rsid w:val="09372CF3"/>
    <w:rsid w:val="09381EDF"/>
    <w:rsid w:val="09382988"/>
    <w:rsid w:val="09385CEE"/>
    <w:rsid w:val="09390B2F"/>
    <w:rsid w:val="093966C8"/>
    <w:rsid w:val="0939688D"/>
    <w:rsid w:val="093A6C7B"/>
    <w:rsid w:val="093A7294"/>
    <w:rsid w:val="093D137F"/>
    <w:rsid w:val="093D4FB7"/>
    <w:rsid w:val="093E2A38"/>
    <w:rsid w:val="093F04BA"/>
    <w:rsid w:val="09405F3B"/>
    <w:rsid w:val="094139BD"/>
    <w:rsid w:val="0942143F"/>
    <w:rsid w:val="0943614C"/>
    <w:rsid w:val="09436EC0"/>
    <w:rsid w:val="09444942"/>
    <w:rsid w:val="094523C3"/>
    <w:rsid w:val="09465165"/>
    <w:rsid w:val="0946531A"/>
    <w:rsid w:val="09473B2C"/>
    <w:rsid w:val="094758C6"/>
    <w:rsid w:val="09483348"/>
    <w:rsid w:val="094921B7"/>
    <w:rsid w:val="0949237B"/>
    <w:rsid w:val="094B3730"/>
    <w:rsid w:val="094C42CE"/>
    <w:rsid w:val="094D3053"/>
    <w:rsid w:val="094D4CA9"/>
    <w:rsid w:val="094D77D0"/>
    <w:rsid w:val="094F2CD3"/>
    <w:rsid w:val="09500754"/>
    <w:rsid w:val="09503FD7"/>
    <w:rsid w:val="095161D6"/>
    <w:rsid w:val="0952109C"/>
    <w:rsid w:val="095216D9"/>
    <w:rsid w:val="09523C57"/>
    <w:rsid w:val="09534F5C"/>
    <w:rsid w:val="09542451"/>
    <w:rsid w:val="09544BDC"/>
    <w:rsid w:val="0955045F"/>
    <w:rsid w:val="0955265E"/>
    <w:rsid w:val="09565EE1"/>
    <w:rsid w:val="09566674"/>
    <w:rsid w:val="09572295"/>
    <w:rsid w:val="095813E4"/>
    <w:rsid w:val="09591064"/>
    <w:rsid w:val="095A6844"/>
    <w:rsid w:val="095A6AE5"/>
    <w:rsid w:val="095B4567"/>
    <w:rsid w:val="095B73E3"/>
    <w:rsid w:val="095C1FE8"/>
    <w:rsid w:val="095D095C"/>
    <w:rsid w:val="095E0D6F"/>
    <w:rsid w:val="095F2F6D"/>
    <w:rsid w:val="095F67F0"/>
    <w:rsid w:val="09613E28"/>
    <w:rsid w:val="09616470"/>
    <w:rsid w:val="09627775"/>
    <w:rsid w:val="09631973"/>
    <w:rsid w:val="09631DB4"/>
    <w:rsid w:val="09635565"/>
    <w:rsid w:val="09640931"/>
    <w:rsid w:val="09642C78"/>
    <w:rsid w:val="096506FA"/>
    <w:rsid w:val="09654E76"/>
    <w:rsid w:val="096628F8"/>
    <w:rsid w:val="0966617B"/>
    <w:rsid w:val="09673BFD"/>
    <w:rsid w:val="0968167E"/>
    <w:rsid w:val="09685DFB"/>
    <w:rsid w:val="09691794"/>
    <w:rsid w:val="096943A2"/>
    <w:rsid w:val="09697100"/>
    <w:rsid w:val="096A6D80"/>
    <w:rsid w:val="096B2603"/>
    <w:rsid w:val="096B2D0D"/>
    <w:rsid w:val="096B4801"/>
    <w:rsid w:val="096C0084"/>
    <w:rsid w:val="096C444A"/>
    <w:rsid w:val="096D7D04"/>
    <w:rsid w:val="096E3588"/>
    <w:rsid w:val="096E5786"/>
    <w:rsid w:val="096F1009"/>
    <w:rsid w:val="096F3207"/>
    <w:rsid w:val="096F6562"/>
    <w:rsid w:val="09700C89"/>
    <w:rsid w:val="09706A8B"/>
    <w:rsid w:val="09706D78"/>
    <w:rsid w:val="0971450C"/>
    <w:rsid w:val="097148FC"/>
    <w:rsid w:val="097237E4"/>
    <w:rsid w:val="09727A0F"/>
    <w:rsid w:val="09730E8F"/>
    <w:rsid w:val="09731C0E"/>
    <w:rsid w:val="09732F58"/>
    <w:rsid w:val="09735491"/>
    <w:rsid w:val="0974768F"/>
    <w:rsid w:val="09755111"/>
    <w:rsid w:val="09762B92"/>
    <w:rsid w:val="09766415"/>
    <w:rsid w:val="09770614"/>
    <w:rsid w:val="09781919"/>
    <w:rsid w:val="097846E4"/>
    <w:rsid w:val="09786095"/>
    <w:rsid w:val="09793B17"/>
    <w:rsid w:val="09794E91"/>
    <w:rsid w:val="097950BE"/>
    <w:rsid w:val="0979739A"/>
    <w:rsid w:val="097A4E1C"/>
    <w:rsid w:val="097B71D6"/>
    <w:rsid w:val="097B7229"/>
    <w:rsid w:val="097C031F"/>
    <w:rsid w:val="097C4A9B"/>
    <w:rsid w:val="097E3822"/>
    <w:rsid w:val="097E7F9F"/>
    <w:rsid w:val="097F5A20"/>
    <w:rsid w:val="0980017F"/>
    <w:rsid w:val="09806D25"/>
    <w:rsid w:val="09810F23"/>
    <w:rsid w:val="098135C9"/>
    <w:rsid w:val="098353CA"/>
    <w:rsid w:val="09837CAA"/>
    <w:rsid w:val="0984572B"/>
    <w:rsid w:val="09847929"/>
    <w:rsid w:val="09860C2E"/>
    <w:rsid w:val="09866A95"/>
    <w:rsid w:val="098708AE"/>
    <w:rsid w:val="098766B0"/>
    <w:rsid w:val="09880BAD"/>
    <w:rsid w:val="09886330"/>
    <w:rsid w:val="09891BB3"/>
    <w:rsid w:val="09893DB1"/>
    <w:rsid w:val="098A1833"/>
    <w:rsid w:val="098B2B38"/>
    <w:rsid w:val="098B2CC4"/>
    <w:rsid w:val="098C05B9"/>
    <w:rsid w:val="098C4D36"/>
    <w:rsid w:val="098D44AE"/>
    <w:rsid w:val="098D603B"/>
    <w:rsid w:val="098E0239"/>
    <w:rsid w:val="098E11E0"/>
    <w:rsid w:val="098E3ABC"/>
    <w:rsid w:val="098E4DDC"/>
    <w:rsid w:val="098F0433"/>
    <w:rsid w:val="098F5CBA"/>
    <w:rsid w:val="0990783C"/>
    <w:rsid w:val="099111BE"/>
    <w:rsid w:val="09926C3F"/>
    <w:rsid w:val="09927A92"/>
    <w:rsid w:val="09930631"/>
    <w:rsid w:val="09941BAA"/>
    <w:rsid w:val="099519E5"/>
    <w:rsid w:val="09953447"/>
    <w:rsid w:val="09957BC4"/>
    <w:rsid w:val="09965645"/>
    <w:rsid w:val="0997694A"/>
    <w:rsid w:val="099843CC"/>
    <w:rsid w:val="09992B4F"/>
    <w:rsid w:val="09995076"/>
    <w:rsid w:val="099A78CF"/>
    <w:rsid w:val="099C2DD2"/>
    <w:rsid w:val="099C4AB2"/>
    <w:rsid w:val="099C718D"/>
    <w:rsid w:val="099D32E7"/>
    <w:rsid w:val="099E62D5"/>
    <w:rsid w:val="099F12A5"/>
    <w:rsid w:val="099F1422"/>
    <w:rsid w:val="099F15D7"/>
    <w:rsid w:val="09A017D8"/>
    <w:rsid w:val="09A2275D"/>
    <w:rsid w:val="09A23581"/>
    <w:rsid w:val="09A301DE"/>
    <w:rsid w:val="09A536E1"/>
    <w:rsid w:val="09A66A4D"/>
    <w:rsid w:val="09A775EB"/>
    <w:rsid w:val="09A777B0"/>
    <w:rsid w:val="09A84666"/>
    <w:rsid w:val="09AA18C7"/>
    <w:rsid w:val="09AB20DD"/>
    <w:rsid w:val="09AB5E2F"/>
    <w:rsid w:val="09AC2C7C"/>
    <w:rsid w:val="09AC4D17"/>
    <w:rsid w:val="09AC590E"/>
    <w:rsid w:val="09AE41F5"/>
    <w:rsid w:val="09AE656F"/>
    <w:rsid w:val="09B01A72"/>
    <w:rsid w:val="09B12D77"/>
    <w:rsid w:val="09B174F4"/>
    <w:rsid w:val="09B207F9"/>
    <w:rsid w:val="09B329F7"/>
    <w:rsid w:val="09B43CFC"/>
    <w:rsid w:val="09B5177D"/>
    <w:rsid w:val="09B51B61"/>
    <w:rsid w:val="09B55EFA"/>
    <w:rsid w:val="09B6253B"/>
    <w:rsid w:val="09B62700"/>
    <w:rsid w:val="09B6397C"/>
    <w:rsid w:val="09B743C8"/>
    <w:rsid w:val="09B90184"/>
    <w:rsid w:val="09BA2382"/>
    <w:rsid w:val="09BA51F2"/>
    <w:rsid w:val="09BB3687"/>
    <w:rsid w:val="09BB5885"/>
    <w:rsid w:val="09BB7E03"/>
    <w:rsid w:val="09BC1108"/>
    <w:rsid w:val="09BD6B8A"/>
    <w:rsid w:val="09BE0882"/>
    <w:rsid w:val="09BE7CE3"/>
    <w:rsid w:val="09BF208D"/>
    <w:rsid w:val="09BF428B"/>
    <w:rsid w:val="09C01D0D"/>
    <w:rsid w:val="09C01FBF"/>
    <w:rsid w:val="09C1299A"/>
    <w:rsid w:val="09C1778E"/>
    <w:rsid w:val="09C23012"/>
    <w:rsid w:val="09C51A18"/>
    <w:rsid w:val="09C56195"/>
    <w:rsid w:val="09C63C16"/>
    <w:rsid w:val="09C67499"/>
    <w:rsid w:val="09C71698"/>
    <w:rsid w:val="09C74F1B"/>
    <w:rsid w:val="09C828C8"/>
    <w:rsid w:val="09C8299C"/>
    <w:rsid w:val="09C82D35"/>
    <w:rsid w:val="09C87119"/>
    <w:rsid w:val="09C87767"/>
    <w:rsid w:val="09C9041E"/>
    <w:rsid w:val="09C91E87"/>
    <w:rsid w:val="09CA0B1C"/>
    <w:rsid w:val="09CA1CEA"/>
    <w:rsid w:val="09CA261C"/>
    <w:rsid w:val="09CC13A3"/>
    <w:rsid w:val="09CD35A1"/>
    <w:rsid w:val="09CE1022"/>
    <w:rsid w:val="09CE25B1"/>
    <w:rsid w:val="09CF2327"/>
    <w:rsid w:val="09D04526"/>
    <w:rsid w:val="09D11FA7"/>
    <w:rsid w:val="09D1582A"/>
    <w:rsid w:val="09D232AC"/>
    <w:rsid w:val="09D30D2D"/>
    <w:rsid w:val="09D32F2C"/>
    <w:rsid w:val="09D354AA"/>
    <w:rsid w:val="09D37BC5"/>
    <w:rsid w:val="09D405A0"/>
    <w:rsid w:val="09D467AF"/>
    <w:rsid w:val="09D5642F"/>
    <w:rsid w:val="09D71932"/>
    <w:rsid w:val="09D724F3"/>
    <w:rsid w:val="09D77734"/>
    <w:rsid w:val="09D83A6D"/>
    <w:rsid w:val="09D851B5"/>
    <w:rsid w:val="09D92CC0"/>
    <w:rsid w:val="09D94E35"/>
    <w:rsid w:val="09DA28B7"/>
    <w:rsid w:val="09DA460A"/>
    <w:rsid w:val="09DA536D"/>
    <w:rsid w:val="09DA6CC4"/>
    <w:rsid w:val="09DB0338"/>
    <w:rsid w:val="09DD383B"/>
    <w:rsid w:val="09DE12BD"/>
    <w:rsid w:val="09DF0839"/>
    <w:rsid w:val="09DF6D3E"/>
    <w:rsid w:val="09E00043"/>
    <w:rsid w:val="09E047C0"/>
    <w:rsid w:val="09E11F77"/>
    <w:rsid w:val="09E12241"/>
    <w:rsid w:val="09E15AC5"/>
    <w:rsid w:val="09E22951"/>
    <w:rsid w:val="09E23546"/>
    <w:rsid w:val="09E27CC3"/>
    <w:rsid w:val="09E35745"/>
    <w:rsid w:val="09E46A49"/>
    <w:rsid w:val="09E50C48"/>
    <w:rsid w:val="09E544CB"/>
    <w:rsid w:val="09E576CD"/>
    <w:rsid w:val="09E66C8B"/>
    <w:rsid w:val="09E7414B"/>
    <w:rsid w:val="09E759BE"/>
    <w:rsid w:val="09E75FE1"/>
    <w:rsid w:val="09E9764E"/>
    <w:rsid w:val="09EA50CF"/>
    <w:rsid w:val="09EB63D4"/>
    <w:rsid w:val="09EC2210"/>
    <w:rsid w:val="09EC6054"/>
    <w:rsid w:val="09ED18D7"/>
    <w:rsid w:val="09ED3AD6"/>
    <w:rsid w:val="09EE1557"/>
    <w:rsid w:val="09EF4DDA"/>
    <w:rsid w:val="09F04A5A"/>
    <w:rsid w:val="09F31262"/>
    <w:rsid w:val="09F337E1"/>
    <w:rsid w:val="09F43460"/>
    <w:rsid w:val="09F46CE4"/>
    <w:rsid w:val="09F54765"/>
    <w:rsid w:val="09F621E7"/>
    <w:rsid w:val="09F675A4"/>
    <w:rsid w:val="09F743E5"/>
    <w:rsid w:val="09F75FDB"/>
    <w:rsid w:val="09F77C68"/>
    <w:rsid w:val="09F856EA"/>
    <w:rsid w:val="09F9316B"/>
    <w:rsid w:val="09FA0BED"/>
    <w:rsid w:val="09FA45C2"/>
    <w:rsid w:val="09FB2DEB"/>
    <w:rsid w:val="09FB666F"/>
    <w:rsid w:val="09FC086D"/>
    <w:rsid w:val="09FC1918"/>
    <w:rsid w:val="09FC40F0"/>
    <w:rsid w:val="09FD1B72"/>
    <w:rsid w:val="09FD5EAA"/>
    <w:rsid w:val="09FF2C83"/>
    <w:rsid w:val="09FF5075"/>
    <w:rsid w:val="0A002AF6"/>
    <w:rsid w:val="0A011554"/>
    <w:rsid w:val="0A03366B"/>
    <w:rsid w:val="0A033A7B"/>
    <w:rsid w:val="0A051860"/>
    <w:rsid w:val="0A054BE4"/>
    <w:rsid w:val="0A056DB5"/>
    <w:rsid w:val="0A056F7E"/>
    <w:rsid w:val="0A072481"/>
    <w:rsid w:val="0A086CFC"/>
    <w:rsid w:val="0A087F03"/>
    <w:rsid w:val="0A0976D6"/>
    <w:rsid w:val="0A0A00B0"/>
    <w:rsid w:val="0A0A3406"/>
    <w:rsid w:val="0A0B0C4F"/>
    <w:rsid w:val="0A0B6909"/>
    <w:rsid w:val="0A0C438A"/>
    <w:rsid w:val="0A0D1E0C"/>
    <w:rsid w:val="0A0D238C"/>
    <w:rsid w:val="0A0F3741"/>
    <w:rsid w:val="0A0F530F"/>
    <w:rsid w:val="0A102D91"/>
    <w:rsid w:val="0A126294"/>
    <w:rsid w:val="0A1263F7"/>
    <w:rsid w:val="0A133D15"/>
    <w:rsid w:val="0A136F96"/>
    <w:rsid w:val="0A141797"/>
    <w:rsid w:val="0A147970"/>
    <w:rsid w:val="0A147B34"/>
    <w:rsid w:val="0A157218"/>
    <w:rsid w:val="0A171C4C"/>
    <w:rsid w:val="0A18019D"/>
    <w:rsid w:val="0A182626"/>
    <w:rsid w:val="0A183A20"/>
    <w:rsid w:val="0A193000"/>
    <w:rsid w:val="0A195C1F"/>
    <w:rsid w:val="0A1A36A0"/>
    <w:rsid w:val="0A1B473E"/>
    <w:rsid w:val="0A1B49A5"/>
    <w:rsid w:val="0A1C6BA3"/>
    <w:rsid w:val="0A1D7EA8"/>
    <w:rsid w:val="0A1E20A6"/>
    <w:rsid w:val="0A1E592A"/>
    <w:rsid w:val="0A1F0A4A"/>
    <w:rsid w:val="0A1F0DB5"/>
    <w:rsid w:val="0A1F33AB"/>
    <w:rsid w:val="0A1F7B28"/>
    <w:rsid w:val="0A2001BE"/>
    <w:rsid w:val="0A200E2D"/>
    <w:rsid w:val="0A2055A9"/>
    <w:rsid w:val="0A211347"/>
    <w:rsid w:val="0A21150B"/>
    <w:rsid w:val="0A21302B"/>
    <w:rsid w:val="0A2148F3"/>
    <w:rsid w:val="0A217411"/>
    <w:rsid w:val="0A217932"/>
    <w:rsid w:val="0A220AAD"/>
    <w:rsid w:val="0A224330"/>
    <w:rsid w:val="0A232A84"/>
    <w:rsid w:val="0A241A31"/>
    <w:rsid w:val="0A243FB0"/>
    <w:rsid w:val="0A262D36"/>
    <w:rsid w:val="0A263993"/>
    <w:rsid w:val="0A2707B8"/>
    <w:rsid w:val="0A2729B6"/>
    <w:rsid w:val="0A280437"/>
    <w:rsid w:val="0A286115"/>
    <w:rsid w:val="0A293CBB"/>
    <w:rsid w:val="0A2A7852"/>
    <w:rsid w:val="0A2B13BC"/>
    <w:rsid w:val="0A2C6E3E"/>
    <w:rsid w:val="0A2D0142"/>
    <w:rsid w:val="0A2D3298"/>
    <w:rsid w:val="0A2D3AC2"/>
    <w:rsid w:val="0A2D48BF"/>
    <w:rsid w:val="0A2F3646"/>
    <w:rsid w:val="0A2F7DC2"/>
    <w:rsid w:val="0A304297"/>
    <w:rsid w:val="0A305844"/>
    <w:rsid w:val="0A314FFA"/>
    <w:rsid w:val="0A320D47"/>
    <w:rsid w:val="0A33204C"/>
    <w:rsid w:val="0A3367C8"/>
    <w:rsid w:val="0A34424A"/>
    <w:rsid w:val="0A346F4D"/>
    <w:rsid w:val="0A347ACD"/>
    <w:rsid w:val="0A362FD0"/>
    <w:rsid w:val="0A36774D"/>
    <w:rsid w:val="0A3906D2"/>
    <w:rsid w:val="0A3A19D7"/>
    <w:rsid w:val="0A3A3B56"/>
    <w:rsid w:val="0A3A6153"/>
    <w:rsid w:val="0A3C4EDA"/>
    <w:rsid w:val="0A3C5294"/>
    <w:rsid w:val="0A3C70D8"/>
    <w:rsid w:val="0A3D295B"/>
    <w:rsid w:val="0A3D4B5A"/>
    <w:rsid w:val="0A3D5E32"/>
    <w:rsid w:val="0A3E680D"/>
    <w:rsid w:val="0A3F005D"/>
    <w:rsid w:val="0A3F5E5E"/>
    <w:rsid w:val="0A407F4A"/>
    <w:rsid w:val="0A413560"/>
    <w:rsid w:val="0A420FE1"/>
    <w:rsid w:val="0A451F66"/>
    <w:rsid w:val="0A4557E9"/>
    <w:rsid w:val="0A46326B"/>
    <w:rsid w:val="0A463FB5"/>
    <w:rsid w:val="0A464179"/>
    <w:rsid w:val="0A4679E7"/>
    <w:rsid w:val="0A475469"/>
    <w:rsid w:val="0A4756F2"/>
    <w:rsid w:val="0A48676E"/>
    <w:rsid w:val="0A49096C"/>
    <w:rsid w:val="0A4915EC"/>
    <w:rsid w:val="0A4A63EE"/>
    <w:rsid w:val="0A4B75EA"/>
    <w:rsid w:val="0A4B76F2"/>
    <w:rsid w:val="0A4C18F1"/>
    <w:rsid w:val="0A4C631C"/>
    <w:rsid w:val="0A4C70C9"/>
    <w:rsid w:val="0A4D175D"/>
    <w:rsid w:val="0A4D1921"/>
    <w:rsid w:val="0A4D2BF6"/>
    <w:rsid w:val="0A4D5FB1"/>
    <w:rsid w:val="0A4D7372"/>
    <w:rsid w:val="0A4E0677"/>
    <w:rsid w:val="0A4E4DF4"/>
    <w:rsid w:val="0A4F016A"/>
    <w:rsid w:val="0A4F60F9"/>
    <w:rsid w:val="0A5002F7"/>
    <w:rsid w:val="0A503B7A"/>
    <w:rsid w:val="0A514413"/>
    <w:rsid w:val="0A52707D"/>
    <w:rsid w:val="0A534AFF"/>
    <w:rsid w:val="0A54477F"/>
    <w:rsid w:val="0A556F05"/>
    <w:rsid w:val="0A56047D"/>
    <w:rsid w:val="0A563076"/>
    <w:rsid w:val="0A573505"/>
    <w:rsid w:val="0A596A08"/>
    <w:rsid w:val="0A5A1C12"/>
    <w:rsid w:val="0A5A448A"/>
    <w:rsid w:val="0A5A6688"/>
    <w:rsid w:val="0A5B1F0B"/>
    <w:rsid w:val="0A5B3CD2"/>
    <w:rsid w:val="0A5C540E"/>
    <w:rsid w:val="0A5C798D"/>
    <w:rsid w:val="0A5D301F"/>
    <w:rsid w:val="0A5D760D"/>
    <w:rsid w:val="0A5E0911"/>
    <w:rsid w:val="0A5E508E"/>
    <w:rsid w:val="0A5E5DEA"/>
    <w:rsid w:val="0A607363"/>
    <w:rsid w:val="0A611896"/>
    <w:rsid w:val="0A617D3D"/>
    <w:rsid w:val="0A6208DC"/>
    <w:rsid w:val="0A631516"/>
    <w:rsid w:val="0A634D99"/>
    <w:rsid w:val="0A641E54"/>
    <w:rsid w:val="0A64281B"/>
    <w:rsid w:val="0A65029C"/>
    <w:rsid w:val="0A663F6C"/>
    <w:rsid w:val="0A67379F"/>
    <w:rsid w:val="0A681221"/>
    <w:rsid w:val="0A6845A4"/>
    <w:rsid w:val="0A6854E5"/>
    <w:rsid w:val="0A693642"/>
    <w:rsid w:val="0A693D18"/>
    <w:rsid w:val="0A696248"/>
    <w:rsid w:val="0A696CA3"/>
    <w:rsid w:val="0A6A6C22"/>
    <w:rsid w:val="0A6B1C9E"/>
    <w:rsid w:val="0A6B21A6"/>
    <w:rsid w:val="0A6C019B"/>
    <w:rsid w:val="0A6C0360"/>
    <w:rsid w:val="0A6F0BAC"/>
    <w:rsid w:val="0A6F22B3"/>
    <w:rsid w:val="0A70662D"/>
    <w:rsid w:val="0A7140AF"/>
    <w:rsid w:val="0A721B30"/>
    <w:rsid w:val="0A7279A9"/>
    <w:rsid w:val="0A730EA2"/>
    <w:rsid w:val="0A735943"/>
    <w:rsid w:val="0A750537"/>
    <w:rsid w:val="0A757080"/>
    <w:rsid w:val="0A7764F5"/>
    <w:rsid w:val="0A7814BB"/>
    <w:rsid w:val="0A791B72"/>
    <w:rsid w:val="0A791D37"/>
    <w:rsid w:val="0A7A254C"/>
    <w:rsid w:val="0A7A49BE"/>
    <w:rsid w:val="0A7A5B4A"/>
    <w:rsid w:val="0A7B2255"/>
    <w:rsid w:val="0A7C035C"/>
    <w:rsid w:val="0A7C7EC1"/>
    <w:rsid w:val="0A7D5943"/>
    <w:rsid w:val="0A7E33C5"/>
    <w:rsid w:val="0A7E5203"/>
    <w:rsid w:val="0A7E5DA1"/>
    <w:rsid w:val="0A7E6C48"/>
    <w:rsid w:val="0A7F0E46"/>
    <w:rsid w:val="0A7F46C9"/>
    <w:rsid w:val="0A80214B"/>
    <w:rsid w:val="0A8168BF"/>
    <w:rsid w:val="0A817BCD"/>
    <w:rsid w:val="0A817EB9"/>
    <w:rsid w:val="0A8330D0"/>
    <w:rsid w:val="0A83784C"/>
    <w:rsid w:val="0A8452CE"/>
    <w:rsid w:val="0A8511F3"/>
    <w:rsid w:val="0A8565D3"/>
    <w:rsid w:val="0A8605FC"/>
    <w:rsid w:val="0A871AD6"/>
    <w:rsid w:val="0A891756"/>
    <w:rsid w:val="0A8A2A5A"/>
    <w:rsid w:val="0A8A71D7"/>
    <w:rsid w:val="0A8B04DC"/>
    <w:rsid w:val="0A8B4C59"/>
    <w:rsid w:val="0A8C015C"/>
    <w:rsid w:val="0A8C26DA"/>
    <w:rsid w:val="0A8C7778"/>
    <w:rsid w:val="0A8D0EB6"/>
    <w:rsid w:val="0A8D39DF"/>
    <w:rsid w:val="0A8E365F"/>
    <w:rsid w:val="0A902E09"/>
    <w:rsid w:val="0A906B62"/>
    <w:rsid w:val="0A9123E5"/>
    <w:rsid w:val="0A9139A7"/>
    <w:rsid w:val="0A9145E4"/>
    <w:rsid w:val="0A922065"/>
    <w:rsid w:val="0A924546"/>
    <w:rsid w:val="0A9358E8"/>
    <w:rsid w:val="0A937AE7"/>
    <w:rsid w:val="0A943144"/>
    <w:rsid w:val="0A945568"/>
    <w:rsid w:val="0A952FEA"/>
    <w:rsid w:val="0A95686D"/>
    <w:rsid w:val="0A9642EF"/>
    <w:rsid w:val="0A973977"/>
    <w:rsid w:val="0A9805B1"/>
    <w:rsid w:val="0A9877F2"/>
    <w:rsid w:val="0A9919F0"/>
    <w:rsid w:val="0A995273"/>
    <w:rsid w:val="0A9B4EF3"/>
    <w:rsid w:val="0A9C61F8"/>
    <w:rsid w:val="0A9D3C79"/>
    <w:rsid w:val="0A9E16FB"/>
    <w:rsid w:val="0A9E5E78"/>
    <w:rsid w:val="0A9F38F9"/>
    <w:rsid w:val="0AA0137B"/>
    <w:rsid w:val="0AA12680"/>
    <w:rsid w:val="0AA16DFC"/>
    <w:rsid w:val="0AA20101"/>
    <w:rsid w:val="0AA2487E"/>
    <w:rsid w:val="0AA27E70"/>
    <w:rsid w:val="0AA30A0F"/>
    <w:rsid w:val="0AA322FF"/>
    <w:rsid w:val="0AA35B83"/>
    <w:rsid w:val="0AA415AE"/>
    <w:rsid w:val="0AA51086"/>
    <w:rsid w:val="0AA53284"/>
    <w:rsid w:val="0AA60D06"/>
    <w:rsid w:val="0AA73501"/>
    <w:rsid w:val="0AA74589"/>
    <w:rsid w:val="0AA755DF"/>
    <w:rsid w:val="0AA76787"/>
    <w:rsid w:val="0AA8200A"/>
    <w:rsid w:val="0AA84209"/>
    <w:rsid w:val="0AA91C8A"/>
    <w:rsid w:val="0AA97A8C"/>
    <w:rsid w:val="0AAA770C"/>
    <w:rsid w:val="0AAB518D"/>
    <w:rsid w:val="0AAB6B91"/>
    <w:rsid w:val="0AAC78F4"/>
    <w:rsid w:val="0AAD3F14"/>
    <w:rsid w:val="0AAE0CA9"/>
    <w:rsid w:val="0AAE6112"/>
    <w:rsid w:val="0AAF3B94"/>
    <w:rsid w:val="0AB01615"/>
    <w:rsid w:val="0AB018BB"/>
    <w:rsid w:val="0AB04E98"/>
    <w:rsid w:val="0AB1291A"/>
    <w:rsid w:val="0AB17097"/>
    <w:rsid w:val="0AB17A28"/>
    <w:rsid w:val="0AB17F49"/>
    <w:rsid w:val="0AB2039C"/>
    <w:rsid w:val="0AB24B18"/>
    <w:rsid w:val="0AB2675B"/>
    <w:rsid w:val="0AB3259A"/>
    <w:rsid w:val="0AB359AE"/>
    <w:rsid w:val="0AB35D19"/>
    <w:rsid w:val="0AB35E1D"/>
    <w:rsid w:val="0AB4389F"/>
    <w:rsid w:val="0AB55A9D"/>
    <w:rsid w:val="0AB56615"/>
    <w:rsid w:val="0AB6351E"/>
    <w:rsid w:val="0AB66DA2"/>
    <w:rsid w:val="0AB66FEF"/>
    <w:rsid w:val="0AB70FA0"/>
    <w:rsid w:val="0AB74823"/>
    <w:rsid w:val="0AB77B8E"/>
    <w:rsid w:val="0AB8072D"/>
    <w:rsid w:val="0AB944A3"/>
    <w:rsid w:val="0AB97D26"/>
    <w:rsid w:val="0ABA57A8"/>
    <w:rsid w:val="0ABC0CAB"/>
    <w:rsid w:val="0ABD3BF9"/>
    <w:rsid w:val="0ABD672D"/>
    <w:rsid w:val="0ABE63AC"/>
    <w:rsid w:val="0ABF2205"/>
    <w:rsid w:val="0ABF3E2E"/>
    <w:rsid w:val="0AC15133"/>
    <w:rsid w:val="0AC168AF"/>
    <w:rsid w:val="0AC17331"/>
    <w:rsid w:val="0AC22BB4"/>
    <w:rsid w:val="0AC24DB3"/>
    <w:rsid w:val="0AC2744D"/>
    <w:rsid w:val="0AC27FEC"/>
    <w:rsid w:val="0AC30636"/>
    <w:rsid w:val="0AC32834"/>
    <w:rsid w:val="0AC37E28"/>
    <w:rsid w:val="0AC41A19"/>
    <w:rsid w:val="0AC515BB"/>
    <w:rsid w:val="0AC53B39"/>
    <w:rsid w:val="0AC55D37"/>
    <w:rsid w:val="0AC637B9"/>
    <w:rsid w:val="0AC6703C"/>
    <w:rsid w:val="0AC74ABE"/>
    <w:rsid w:val="0AC8421B"/>
    <w:rsid w:val="0AC86CBC"/>
    <w:rsid w:val="0AC94A31"/>
    <w:rsid w:val="0ACA278E"/>
    <w:rsid w:val="0ACA5A42"/>
    <w:rsid w:val="0ACB7550"/>
    <w:rsid w:val="0ACD78AC"/>
    <w:rsid w:val="0ACE430C"/>
    <w:rsid w:val="0ACE49E2"/>
    <w:rsid w:val="0ACF355F"/>
    <w:rsid w:val="0AD0794C"/>
    <w:rsid w:val="0AD12F3C"/>
    <w:rsid w:val="0AD153CD"/>
    <w:rsid w:val="0AD22E4F"/>
    <w:rsid w:val="0AD23ADB"/>
    <w:rsid w:val="0AD45054"/>
    <w:rsid w:val="0AD46352"/>
    <w:rsid w:val="0AD55A2E"/>
    <w:rsid w:val="0AD61855"/>
    <w:rsid w:val="0AD656DD"/>
    <w:rsid w:val="0AD927DA"/>
    <w:rsid w:val="0ADA025B"/>
    <w:rsid w:val="0ADC2637"/>
    <w:rsid w:val="0ADC71BF"/>
    <w:rsid w:val="0ADD6413"/>
    <w:rsid w:val="0ADE46E3"/>
    <w:rsid w:val="0ADF2164"/>
    <w:rsid w:val="0AE07BE6"/>
    <w:rsid w:val="0AE15667"/>
    <w:rsid w:val="0AE16A2B"/>
    <w:rsid w:val="0AE230E9"/>
    <w:rsid w:val="0AE30B6B"/>
    <w:rsid w:val="0AE3696C"/>
    <w:rsid w:val="0AE37FA3"/>
    <w:rsid w:val="0AE4097E"/>
    <w:rsid w:val="0AE465EC"/>
    <w:rsid w:val="0AE51E6F"/>
    <w:rsid w:val="0AE572A2"/>
    <w:rsid w:val="0AE578F1"/>
    <w:rsid w:val="0AE61AEF"/>
    <w:rsid w:val="0AE65372"/>
    <w:rsid w:val="0AE72C5A"/>
    <w:rsid w:val="0AE72DF4"/>
    <w:rsid w:val="0AE77571"/>
    <w:rsid w:val="0AE8346F"/>
    <w:rsid w:val="0AEA04F5"/>
    <w:rsid w:val="0AEA3D79"/>
    <w:rsid w:val="0AEA4BAD"/>
    <w:rsid w:val="0AEB1110"/>
    <w:rsid w:val="0AEB147C"/>
    <w:rsid w:val="0AEB5587"/>
    <w:rsid w:val="0AEB5F77"/>
    <w:rsid w:val="0AEB62EA"/>
    <w:rsid w:val="0AEC01AE"/>
    <w:rsid w:val="0AEC39F9"/>
    <w:rsid w:val="0AEC6126"/>
    <w:rsid w:val="0AEC727C"/>
    <w:rsid w:val="0AEC7FF8"/>
    <w:rsid w:val="0AED4CFD"/>
    <w:rsid w:val="0AED6D2B"/>
    <w:rsid w:val="0AED7922"/>
    <w:rsid w:val="0AEE3D69"/>
    <w:rsid w:val="0AEE6EFC"/>
    <w:rsid w:val="0AEF0200"/>
    <w:rsid w:val="0AEF497D"/>
    <w:rsid w:val="0AF023FF"/>
    <w:rsid w:val="0AF05C82"/>
    <w:rsid w:val="0AF13704"/>
    <w:rsid w:val="0AF17E80"/>
    <w:rsid w:val="0AF22EF3"/>
    <w:rsid w:val="0AF36C07"/>
    <w:rsid w:val="0AF40E05"/>
    <w:rsid w:val="0AF4446C"/>
    <w:rsid w:val="0AF5210A"/>
    <w:rsid w:val="0AF5500B"/>
    <w:rsid w:val="0AF56886"/>
    <w:rsid w:val="0AF67B8B"/>
    <w:rsid w:val="0AF7780B"/>
    <w:rsid w:val="0AF83222"/>
    <w:rsid w:val="0AF8528D"/>
    <w:rsid w:val="0AF86F5E"/>
    <w:rsid w:val="0AF90B10"/>
    <w:rsid w:val="0AF92D0E"/>
    <w:rsid w:val="0AFA069B"/>
    <w:rsid w:val="0AFA0790"/>
    <w:rsid w:val="0AFA3738"/>
    <w:rsid w:val="0AFB20FF"/>
    <w:rsid w:val="0AFB4013"/>
    <w:rsid w:val="0AFB6211"/>
    <w:rsid w:val="0AFC16BE"/>
    <w:rsid w:val="0AFC3C93"/>
    <w:rsid w:val="0AFD1714"/>
    <w:rsid w:val="0AFD318D"/>
    <w:rsid w:val="0AFD4F98"/>
    <w:rsid w:val="0AFD7516"/>
    <w:rsid w:val="0AFF049B"/>
    <w:rsid w:val="0B002699"/>
    <w:rsid w:val="0B0052A5"/>
    <w:rsid w:val="0B005469"/>
    <w:rsid w:val="0B005F1C"/>
    <w:rsid w:val="0B02141F"/>
    <w:rsid w:val="0B022D92"/>
    <w:rsid w:val="0B044923"/>
    <w:rsid w:val="0B050935"/>
    <w:rsid w:val="0B0523A4"/>
    <w:rsid w:val="0B056B21"/>
    <w:rsid w:val="0B0645A2"/>
    <w:rsid w:val="0B067E26"/>
    <w:rsid w:val="0B072024"/>
    <w:rsid w:val="0B072072"/>
    <w:rsid w:val="0B083329"/>
    <w:rsid w:val="0B0835EB"/>
    <w:rsid w:val="0B087AA5"/>
    <w:rsid w:val="0B090DAA"/>
    <w:rsid w:val="0B093FC6"/>
    <w:rsid w:val="0B09418A"/>
    <w:rsid w:val="0B095527"/>
    <w:rsid w:val="0B0A2FA9"/>
    <w:rsid w:val="0B0A4206"/>
    <w:rsid w:val="0B0A4D29"/>
    <w:rsid w:val="0B0A682C"/>
    <w:rsid w:val="0B0B42AD"/>
    <w:rsid w:val="0B0C1D2F"/>
    <w:rsid w:val="0B0D77B0"/>
    <w:rsid w:val="0B0E19AF"/>
    <w:rsid w:val="0B0E5232"/>
    <w:rsid w:val="0B0F03B9"/>
    <w:rsid w:val="0B0F4EB2"/>
    <w:rsid w:val="0B102933"/>
    <w:rsid w:val="0B1103B5"/>
    <w:rsid w:val="0B1161B7"/>
    <w:rsid w:val="0B120D44"/>
    <w:rsid w:val="0B123C38"/>
    <w:rsid w:val="0B125E37"/>
    <w:rsid w:val="0B1316BA"/>
    <w:rsid w:val="0B1338B8"/>
    <w:rsid w:val="0B143885"/>
    <w:rsid w:val="0B143A4A"/>
    <w:rsid w:val="0B14713B"/>
    <w:rsid w:val="0B156DBB"/>
    <w:rsid w:val="0B16263E"/>
    <w:rsid w:val="0B16483D"/>
    <w:rsid w:val="0B16599D"/>
    <w:rsid w:val="0B177790"/>
    <w:rsid w:val="0B1835C3"/>
    <w:rsid w:val="0B186F16"/>
    <w:rsid w:val="0B187D40"/>
    <w:rsid w:val="0B1A3243"/>
    <w:rsid w:val="0B1B0CC4"/>
    <w:rsid w:val="0B1B4548"/>
    <w:rsid w:val="0B1C1D90"/>
    <w:rsid w:val="0B1C6746"/>
    <w:rsid w:val="0B1D7A4B"/>
    <w:rsid w:val="0B1E2F42"/>
    <w:rsid w:val="0B1E3309"/>
    <w:rsid w:val="0B1E54CC"/>
    <w:rsid w:val="0B1F76CB"/>
    <w:rsid w:val="0B2009CF"/>
    <w:rsid w:val="0B20425A"/>
    <w:rsid w:val="0B20514C"/>
    <w:rsid w:val="0B212BCE"/>
    <w:rsid w:val="0B2360D1"/>
    <w:rsid w:val="0B2367D5"/>
    <w:rsid w:val="0B243B52"/>
    <w:rsid w:val="0B247F12"/>
    <w:rsid w:val="0B2508ED"/>
    <w:rsid w:val="0B2522D8"/>
    <w:rsid w:val="0B254E57"/>
    <w:rsid w:val="0B261376"/>
    <w:rsid w:val="0B261650"/>
    <w:rsid w:val="0B261C02"/>
    <w:rsid w:val="0B2628D9"/>
    <w:rsid w:val="0B267056"/>
    <w:rsid w:val="0B27035A"/>
    <w:rsid w:val="0B270E55"/>
    <w:rsid w:val="0B272559"/>
    <w:rsid w:val="0B295A5C"/>
    <w:rsid w:val="0B2A12DF"/>
    <w:rsid w:val="0B2B0F5F"/>
    <w:rsid w:val="0B2B6D61"/>
    <w:rsid w:val="0B2C56BA"/>
    <w:rsid w:val="0B2D6095"/>
    <w:rsid w:val="0B2E5767"/>
    <w:rsid w:val="0B2F77D2"/>
    <w:rsid w:val="0B2F7965"/>
    <w:rsid w:val="0B300F0F"/>
    <w:rsid w:val="0B310D4B"/>
    <w:rsid w:val="0B3166EB"/>
    <w:rsid w:val="0B32416D"/>
    <w:rsid w:val="0B331BEE"/>
    <w:rsid w:val="0B343A01"/>
    <w:rsid w:val="0B344AB5"/>
    <w:rsid w:val="0B3543DB"/>
    <w:rsid w:val="0B367E19"/>
    <w:rsid w:val="0B3705F5"/>
    <w:rsid w:val="0B386076"/>
    <w:rsid w:val="0B3A1579"/>
    <w:rsid w:val="0B3A7C30"/>
    <w:rsid w:val="0B3B07CF"/>
    <w:rsid w:val="0B3B6FFB"/>
    <w:rsid w:val="0B3C4A7C"/>
    <w:rsid w:val="0B3D1B83"/>
    <w:rsid w:val="0B3D1D48"/>
    <w:rsid w:val="0B3D24FE"/>
    <w:rsid w:val="0B3F5A01"/>
    <w:rsid w:val="0B426986"/>
    <w:rsid w:val="0B434407"/>
    <w:rsid w:val="0B45415B"/>
    <w:rsid w:val="0B45790A"/>
    <w:rsid w:val="0B462E0D"/>
    <w:rsid w:val="0B46538C"/>
    <w:rsid w:val="0B481FE1"/>
    <w:rsid w:val="0B486311"/>
    <w:rsid w:val="0B491B94"/>
    <w:rsid w:val="0B493D92"/>
    <w:rsid w:val="0B4A7615"/>
    <w:rsid w:val="0B4B5097"/>
    <w:rsid w:val="0B4B7295"/>
    <w:rsid w:val="0B4C4D17"/>
    <w:rsid w:val="0B4D059A"/>
    <w:rsid w:val="0B4D2798"/>
    <w:rsid w:val="0B4D37F6"/>
    <w:rsid w:val="0B4E021A"/>
    <w:rsid w:val="0B4E133B"/>
    <w:rsid w:val="0B4E3A9D"/>
    <w:rsid w:val="0B4E601C"/>
    <w:rsid w:val="0B4F5C9B"/>
    <w:rsid w:val="0B4F7789"/>
    <w:rsid w:val="0B50371D"/>
    <w:rsid w:val="0B510EC7"/>
    <w:rsid w:val="0B51119F"/>
    <w:rsid w:val="0B514A22"/>
    <w:rsid w:val="0B5169F5"/>
    <w:rsid w:val="0B5224A3"/>
    <w:rsid w:val="0B526C20"/>
    <w:rsid w:val="0B5346A2"/>
    <w:rsid w:val="0B5379F5"/>
    <w:rsid w:val="0B537BAB"/>
    <w:rsid w:val="0B542E1A"/>
    <w:rsid w:val="0B5459A6"/>
    <w:rsid w:val="0B553428"/>
    <w:rsid w:val="0B560EAA"/>
    <w:rsid w:val="0B57692B"/>
    <w:rsid w:val="0B5843AD"/>
    <w:rsid w:val="0B591E2E"/>
    <w:rsid w:val="0B5964AA"/>
    <w:rsid w:val="0B5965AB"/>
    <w:rsid w:val="0B59720D"/>
    <w:rsid w:val="0B5A402C"/>
    <w:rsid w:val="0B5A78B0"/>
    <w:rsid w:val="0B5C7530"/>
    <w:rsid w:val="0B5D0834"/>
    <w:rsid w:val="0B5E04B4"/>
    <w:rsid w:val="0B5E26D9"/>
    <w:rsid w:val="0B5E2A33"/>
    <w:rsid w:val="0B5E62B6"/>
    <w:rsid w:val="0B5F3278"/>
    <w:rsid w:val="0B5F3D37"/>
    <w:rsid w:val="0B5F5F36"/>
    <w:rsid w:val="0B6017B9"/>
    <w:rsid w:val="0B603655"/>
    <w:rsid w:val="0B6039B7"/>
    <w:rsid w:val="0B603C52"/>
    <w:rsid w:val="0B611439"/>
    <w:rsid w:val="0B6149B5"/>
    <w:rsid w:val="0B61723B"/>
    <w:rsid w:val="0B624CBC"/>
    <w:rsid w:val="0B62538F"/>
    <w:rsid w:val="0B626EBA"/>
    <w:rsid w:val="0B6308AD"/>
    <w:rsid w:val="0B63273E"/>
    <w:rsid w:val="0B646ACD"/>
    <w:rsid w:val="0B655C41"/>
    <w:rsid w:val="0B6574A7"/>
    <w:rsid w:val="0B657E3F"/>
    <w:rsid w:val="0B660046"/>
    <w:rsid w:val="0B661144"/>
    <w:rsid w:val="0B6658C1"/>
    <w:rsid w:val="0B667E81"/>
    <w:rsid w:val="0B670A20"/>
    <w:rsid w:val="0B670BE4"/>
    <w:rsid w:val="0B676BC5"/>
    <w:rsid w:val="0B6813FA"/>
    <w:rsid w:val="0B68215D"/>
    <w:rsid w:val="0B684647"/>
    <w:rsid w:val="0B691F99"/>
    <w:rsid w:val="0B6A7B4A"/>
    <w:rsid w:val="0B6B1D48"/>
    <w:rsid w:val="0B6C77CA"/>
    <w:rsid w:val="0B6D0ACF"/>
    <w:rsid w:val="0B6D524B"/>
    <w:rsid w:val="0B6D5629"/>
    <w:rsid w:val="0B6D57EE"/>
    <w:rsid w:val="0B6E6353"/>
    <w:rsid w:val="0B6F3FD2"/>
    <w:rsid w:val="0B6F4ED0"/>
    <w:rsid w:val="0B701A53"/>
    <w:rsid w:val="0B70448E"/>
    <w:rsid w:val="0B704644"/>
    <w:rsid w:val="0B7061D0"/>
    <w:rsid w:val="0B713C52"/>
    <w:rsid w:val="0B7216D3"/>
    <w:rsid w:val="0B724F56"/>
    <w:rsid w:val="0B7329D8"/>
    <w:rsid w:val="0B737155"/>
    <w:rsid w:val="0B7423F7"/>
    <w:rsid w:val="0B752F96"/>
    <w:rsid w:val="0B755EDB"/>
    <w:rsid w:val="0B7600D9"/>
    <w:rsid w:val="0B76395D"/>
    <w:rsid w:val="0B765B5B"/>
    <w:rsid w:val="0B7713DE"/>
    <w:rsid w:val="0B7735DC"/>
    <w:rsid w:val="0B7750AD"/>
    <w:rsid w:val="0B7948E1"/>
    <w:rsid w:val="0B796626"/>
    <w:rsid w:val="0B796AE0"/>
    <w:rsid w:val="0B7A2363"/>
    <w:rsid w:val="0B7A4561"/>
    <w:rsid w:val="0B7B7DE4"/>
    <w:rsid w:val="0B7C097A"/>
    <w:rsid w:val="0B7C7A64"/>
    <w:rsid w:val="0B7D7F39"/>
    <w:rsid w:val="0B7E0D69"/>
    <w:rsid w:val="0B7E2F67"/>
    <w:rsid w:val="0B7E67EB"/>
    <w:rsid w:val="0B7E74F7"/>
    <w:rsid w:val="0B7F09E9"/>
    <w:rsid w:val="0B7F2855"/>
    <w:rsid w:val="0B7F6074"/>
    <w:rsid w:val="0B801CEE"/>
    <w:rsid w:val="0B813DCE"/>
    <w:rsid w:val="0B813EEC"/>
    <w:rsid w:val="0B82196E"/>
    <w:rsid w:val="0B8251F1"/>
    <w:rsid w:val="0B832C72"/>
    <w:rsid w:val="0B834E1E"/>
    <w:rsid w:val="0B835347"/>
    <w:rsid w:val="0B8373EF"/>
    <w:rsid w:val="0B844E71"/>
    <w:rsid w:val="0B846A84"/>
    <w:rsid w:val="0B8528F2"/>
    <w:rsid w:val="0B860374"/>
    <w:rsid w:val="0B86206A"/>
    <w:rsid w:val="0B863BF7"/>
    <w:rsid w:val="0B875DF5"/>
    <w:rsid w:val="0B883877"/>
    <w:rsid w:val="0B8912F8"/>
    <w:rsid w:val="0B891CA7"/>
    <w:rsid w:val="0B891F50"/>
    <w:rsid w:val="0B8A2AEF"/>
    <w:rsid w:val="0B8A2CB3"/>
    <w:rsid w:val="0B8B007F"/>
    <w:rsid w:val="0B8B23AB"/>
    <w:rsid w:val="0B8C227D"/>
    <w:rsid w:val="0B8C4068"/>
    <w:rsid w:val="0B8D3582"/>
    <w:rsid w:val="0B8D4C06"/>
    <w:rsid w:val="0B8D4DCB"/>
    <w:rsid w:val="0B8E1003"/>
    <w:rsid w:val="0B8F0C83"/>
    <w:rsid w:val="0B8F3202"/>
    <w:rsid w:val="0B8F6344"/>
    <w:rsid w:val="0B8F6A85"/>
    <w:rsid w:val="0B904506"/>
    <w:rsid w:val="0B911F88"/>
    <w:rsid w:val="0B9176F8"/>
    <w:rsid w:val="0B920297"/>
    <w:rsid w:val="0B927A0A"/>
    <w:rsid w:val="0B9319D4"/>
    <w:rsid w:val="0B93548B"/>
    <w:rsid w:val="0B937689"/>
    <w:rsid w:val="0B942F0D"/>
    <w:rsid w:val="0B94510B"/>
    <w:rsid w:val="0B95098E"/>
    <w:rsid w:val="0B966410"/>
    <w:rsid w:val="0B973E91"/>
    <w:rsid w:val="0B9744C6"/>
    <w:rsid w:val="0B984EA0"/>
    <w:rsid w:val="0B985065"/>
    <w:rsid w:val="0B987394"/>
    <w:rsid w:val="0B994E16"/>
    <w:rsid w:val="0B9B0319"/>
    <w:rsid w:val="0B9B6FB8"/>
    <w:rsid w:val="0B9C5D9B"/>
    <w:rsid w:val="0B9C7B56"/>
    <w:rsid w:val="0B9D06F5"/>
    <w:rsid w:val="0B9D381C"/>
    <w:rsid w:val="0B9E10CF"/>
    <w:rsid w:val="0B9E129E"/>
    <w:rsid w:val="0B9F0258"/>
    <w:rsid w:val="0BA352FE"/>
    <w:rsid w:val="0BA431A7"/>
    <w:rsid w:val="0BA550E1"/>
    <w:rsid w:val="0BA7412C"/>
    <w:rsid w:val="0BA81BAD"/>
    <w:rsid w:val="0BA965B8"/>
    <w:rsid w:val="0BA96923"/>
    <w:rsid w:val="0BAA4B3E"/>
    <w:rsid w:val="0BAA50B0"/>
    <w:rsid w:val="0BAC05B3"/>
    <w:rsid w:val="0BAD4BBE"/>
    <w:rsid w:val="0BAD4D82"/>
    <w:rsid w:val="0BAE3AB7"/>
    <w:rsid w:val="0BAF4DBB"/>
    <w:rsid w:val="0BB0283D"/>
    <w:rsid w:val="0BB04A3B"/>
    <w:rsid w:val="0BB06CD5"/>
    <w:rsid w:val="0BB27F3E"/>
    <w:rsid w:val="0BB359C0"/>
    <w:rsid w:val="0BB4198C"/>
    <w:rsid w:val="0BB66944"/>
    <w:rsid w:val="0BB721C8"/>
    <w:rsid w:val="0BB80509"/>
    <w:rsid w:val="0BB81E48"/>
    <w:rsid w:val="0BB87FE9"/>
    <w:rsid w:val="0BB9314C"/>
    <w:rsid w:val="0BBA0BCE"/>
    <w:rsid w:val="0BBA534B"/>
    <w:rsid w:val="0BBB664F"/>
    <w:rsid w:val="0BBC40D1"/>
    <w:rsid w:val="0BBC7CD2"/>
    <w:rsid w:val="0BBD62CF"/>
    <w:rsid w:val="0BBE124B"/>
    <w:rsid w:val="0BBF5056"/>
    <w:rsid w:val="0BC02AD7"/>
    <w:rsid w:val="0BC07254"/>
    <w:rsid w:val="0BC1319E"/>
    <w:rsid w:val="0BC14CD6"/>
    <w:rsid w:val="0BC23F01"/>
    <w:rsid w:val="0BC25FDA"/>
    <w:rsid w:val="0BC414DD"/>
    <w:rsid w:val="0BC536DC"/>
    <w:rsid w:val="0BC56F5F"/>
    <w:rsid w:val="0BC6115D"/>
    <w:rsid w:val="0BC63A93"/>
    <w:rsid w:val="0BC72462"/>
    <w:rsid w:val="0BC74660"/>
    <w:rsid w:val="0BC773CD"/>
    <w:rsid w:val="0BC81A19"/>
    <w:rsid w:val="0BC820E2"/>
    <w:rsid w:val="0BC87EE4"/>
    <w:rsid w:val="0BC916A9"/>
    <w:rsid w:val="0BC95965"/>
    <w:rsid w:val="0BCA33E7"/>
    <w:rsid w:val="0BCA55E5"/>
    <w:rsid w:val="0BCB3067"/>
    <w:rsid w:val="0BCD656A"/>
    <w:rsid w:val="0BCE0B0C"/>
    <w:rsid w:val="0BCE1DED"/>
    <w:rsid w:val="0BCE3FEB"/>
    <w:rsid w:val="0BCE4B75"/>
    <w:rsid w:val="0BCF1A6D"/>
    <w:rsid w:val="0BCF786E"/>
    <w:rsid w:val="0BD02D72"/>
    <w:rsid w:val="0BD107F3"/>
    <w:rsid w:val="0BD14F70"/>
    <w:rsid w:val="0BD229F1"/>
    <w:rsid w:val="0BD27BF6"/>
    <w:rsid w:val="0BD30473"/>
    <w:rsid w:val="0BD40DA4"/>
    <w:rsid w:val="0BD45EF5"/>
    <w:rsid w:val="0BD6231D"/>
    <w:rsid w:val="0BD726FC"/>
    <w:rsid w:val="0BD76E79"/>
    <w:rsid w:val="0BD848FB"/>
    <w:rsid w:val="0BD9237C"/>
    <w:rsid w:val="0BD95C00"/>
    <w:rsid w:val="0BDA3681"/>
    <w:rsid w:val="0BDB587F"/>
    <w:rsid w:val="0BDC6B84"/>
    <w:rsid w:val="0BDC70EB"/>
    <w:rsid w:val="0BDD4606"/>
    <w:rsid w:val="0BDD7AC5"/>
    <w:rsid w:val="0BDE6804"/>
    <w:rsid w:val="0BDF4286"/>
    <w:rsid w:val="0BDF7B09"/>
    <w:rsid w:val="0BE0558A"/>
    <w:rsid w:val="0BE1277B"/>
    <w:rsid w:val="0BE1300C"/>
    <w:rsid w:val="0BE20A8D"/>
    <w:rsid w:val="0BE22C8C"/>
    <w:rsid w:val="0BE3070D"/>
    <w:rsid w:val="0BE34556"/>
    <w:rsid w:val="0BE3650F"/>
    <w:rsid w:val="0BE43F91"/>
    <w:rsid w:val="0BE45432"/>
    <w:rsid w:val="0BE4618F"/>
    <w:rsid w:val="0BE51A12"/>
    <w:rsid w:val="0BE53C10"/>
    <w:rsid w:val="0BE67494"/>
    <w:rsid w:val="0BE74F15"/>
    <w:rsid w:val="0BE77549"/>
    <w:rsid w:val="0BE80418"/>
    <w:rsid w:val="0BE95E9A"/>
    <w:rsid w:val="0BEA0098"/>
    <w:rsid w:val="0BEB5B1A"/>
    <w:rsid w:val="0BEC359B"/>
    <w:rsid w:val="0BEC6E1F"/>
    <w:rsid w:val="0BED3778"/>
    <w:rsid w:val="0BED43B6"/>
    <w:rsid w:val="0BEE2322"/>
    <w:rsid w:val="0BEE4152"/>
    <w:rsid w:val="0BEE6A9E"/>
    <w:rsid w:val="0BEF0644"/>
    <w:rsid w:val="0BEF7DA3"/>
    <w:rsid w:val="0BF00DCF"/>
    <w:rsid w:val="0BF056CB"/>
    <w:rsid w:val="0BF132A6"/>
    <w:rsid w:val="0BF17A23"/>
    <w:rsid w:val="0BF20D28"/>
    <w:rsid w:val="0BF254A5"/>
    <w:rsid w:val="0BF26C44"/>
    <w:rsid w:val="0BF31366"/>
    <w:rsid w:val="0BF32558"/>
    <w:rsid w:val="0BF32F26"/>
    <w:rsid w:val="0BF367A9"/>
    <w:rsid w:val="0BF40F20"/>
    <w:rsid w:val="0BF518FA"/>
    <w:rsid w:val="0BF51CAC"/>
    <w:rsid w:val="0BF56429"/>
    <w:rsid w:val="0BF7192C"/>
    <w:rsid w:val="0BF73038"/>
    <w:rsid w:val="0BF751B0"/>
    <w:rsid w:val="0BF82C31"/>
    <w:rsid w:val="0BF83BD6"/>
    <w:rsid w:val="0BF873AE"/>
    <w:rsid w:val="0BF906B3"/>
    <w:rsid w:val="0BF928B1"/>
    <w:rsid w:val="0BFA0333"/>
    <w:rsid w:val="0BFA514F"/>
    <w:rsid w:val="0BFB5B29"/>
    <w:rsid w:val="0BFB5DB4"/>
    <w:rsid w:val="0BFC6504"/>
    <w:rsid w:val="0BFC66C8"/>
    <w:rsid w:val="0BFE4B3A"/>
    <w:rsid w:val="0BFF25BC"/>
    <w:rsid w:val="0C003508"/>
    <w:rsid w:val="0C005ABF"/>
    <w:rsid w:val="0C020FC2"/>
    <w:rsid w:val="0C022D96"/>
    <w:rsid w:val="0C036A44"/>
    <w:rsid w:val="0C0444C5"/>
    <w:rsid w:val="0C044A0F"/>
    <w:rsid w:val="0C051F47"/>
    <w:rsid w:val="0C0553E9"/>
    <w:rsid w:val="0C0679C8"/>
    <w:rsid w:val="0C076B26"/>
    <w:rsid w:val="0C082ECB"/>
    <w:rsid w:val="0C095AC4"/>
    <w:rsid w:val="0C0A63CF"/>
    <w:rsid w:val="0C0C18D2"/>
    <w:rsid w:val="0C0C21B7"/>
    <w:rsid w:val="0C0D7353"/>
    <w:rsid w:val="0C0E410A"/>
    <w:rsid w:val="0C0E42CE"/>
    <w:rsid w:val="0C105683"/>
    <w:rsid w:val="0C115D59"/>
    <w:rsid w:val="0C1237DB"/>
    <w:rsid w:val="0C126DC0"/>
    <w:rsid w:val="0C1618B2"/>
    <w:rsid w:val="0C165A64"/>
    <w:rsid w:val="0C172450"/>
    <w:rsid w:val="0C172615"/>
    <w:rsid w:val="0C1734E6"/>
    <w:rsid w:val="0C177C63"/>
    <w:rsid w:val="0C180F68"/>
    <w:rsid w:val="0C193B8E"/>
    <w:rsid w:val="0C1A446B"/>
    <w:rsid w:val="0C1B40EA"/>
    <w:rsid w:val="0C1C1A45"/>
    <w:rsid w:val="0C1C1B6C"/>
    <w:rsid w:val="0C1C796E"/>
    <w:rsid w:val="0C1D53EF"/>
    <w:rsid w:val="0C1D75EE"/>
    <w:rsid w:val="0C1E506F"/>
    <w:rsid w:val="0C1E7DBD"/>
    <w:rsid w:val="0C1F767A"/>
    <w:rsid w:val="0C201171"/>
    <w:rsid w:val="0C203DF5"/>
    <w:rsid w:val="0C206374"/>
    <w:rsid w:val="0C215FF4"/>
    <w:rsid w:val="0C2272F9"/>
    <w:rsid w:val="0C234D7A"/>
    <w:rsid w:val="0C2410DF"/>
    <w:rsid w:val="0C2427FC"/>
    <w:rsid w:val="0C243E28"/>
    <w:rsid w:val="0C246F78"/>
    <w:rsid w:val="0C2549C6"/>
    <w:rsid w:val="0C265CFF"/>
    <w:rsid w:val="0C28597F"/>
    <w:rsid w:val="0C286ADE"/>
    <w:rsid w:val="0C296C83"/>
    <w:rsid w:val="0C2974B8"/>
    <w:rsid w:val="0C2A0A31"/>
    <w:rsid w:val="0C2A0E82"/>
    <w:rsid w:val="0C2A4705"/>
    <w:rsid w:val="0C2B2187"/>
    <w:rsid w:val="0C2B6903"/>
    <w:rsid w:val="0C2C1FAA"/>
    <w:rsid w:val="0C2D2B48"/>
    <w:rsid w:val="0C2D2C04"/>
    <w:rsid w:val="0C2E310B"/>
    <w:rsid w:val="0C304E24"/>
    <w:rsid w:val="0C30660E"/>
    <w:rsid w:val="0C3157FF"/>
    <w:rsid w:val="0C31628E"/>
    <w:rsid w:val="0C32639D"/>
    <w:rsid w:val="0C337593"/>
    <w:rsid w:val="0C345014"/>
    <w:rsid w:val="0C360518"/>
    <w:rsid w:val="0C361A2E"/>
    <w:rsid w:val="0C362716"/>
    <w:rsid w:val="0C3725CC"/>
    <w:rsid w:val="0C383A1B"/>
    <w:rsid w:val="0C385C19"/>
    <w:rsid w:val="0C393B45"/>
    <w:rsid w:val="0C396F1E"/>
    <w:rsid w:val="0C3B2421"/>
    <w:rsid w:val="0C3B3C7D"/>
    <w:rsid w:val="0C3B6B9E"/>
    <w:rsid w:val="0C3C7EA2"/>
    <w:rsid w:val="0C3D20A1"/>
    <w:rsid w:val="0C3D32CF"/>
    <w:rsid w:val="0C3E71D6"/>
    <w:rsid w:val="0C3E7B22"/>
    <w:rsid w:val="0C3F0E27"/>
    <w:rsid w:val="0C3F55A4"/>
    <w:rsid w:val="0C3F7BB0"/>
    <w:rsid w:val="0C40074F"/>
    <w:rsid w:val="0C410AA7"/>
    <w:rsid w:val="0C4112ED"/>
    <w:rsid w:val="0C421DAC"/>
    <w:rsid w:val="0C421E8C"/>
    <w:rsid w:val="0C433FAA"/>
    <w:rsid w:val="0C43782D"/>
    <w:rsid w:val="0C441A2C"/>
    <w:rsid w:val="0C443FA3"/>
    <w:rsid w:val="0C4452AF"/>
    <w:rsid w:val="0C452D30"/>
    <w:rsid w:val="0C45497E"/>
    <w:rsid w:val="0C45530D"/>
    <w:rsid w:val="0C4574AD"/>
    <w:rsid w:val="0C461A3B"/>
    <w:rsid w:val="0C464F2F"/>
    <w:rsid w:val="0C465358"/>
    <w:rsid w:val="0C4729B0"/>
    <w:rsid w:val="0C483CB5"/>
    <w:rsid w:val="0C49746F"/>
    <w:rsid w:val="0C497634"/>
    <w:rsid w:val="0C4A13B6"/>
    <w:rsid w:val="0C4A39D3"/>
    <w:rsid w:val="0C4A7332"/>
    <w:rsid w:val="0C4B0BAD"/>
    <w:rsid w:val="0C4C26BB"/>
    <w:rsid w:val="0C4C48B9"/>
    <w:rsid w:val="0C4D013D"/>
    <w:rsid w:val="0C4E2B00"/>
    <w:rsid w:val="0C4E7DBD"/>
    <w:rsid w:val="0C4F583E"/>
    <w:rsid w:val="0C5010C1"/>
    <w:rsid w:val="0C5032C0"/>
    <w:rsid w:val="0C510D41"/>
    <w:rsid w:val="0C522046"/>
    <w:rsid w:val="0C526355"/>
    <w:rsid w:val="0C536D2F"/>
    <w:rsid w:val="0C537AC8"/>
    <w:rsid w:val="0C5502A8"/>
    <w:rsid w:val="0C560A4C"/>
    <w:rsid w:val="0C572C4B"/>
    <w:rsid w:val="0C577EF6"/>
    <w:rsid w:val="0C581E7A"/>
    <w:rsid w:val="0C583F4F"/>
    <w:rsid w:val="0C59614E"/>
    <w:rsid w:val="0C5A3BCF"/>
    <w:rsid w:val="0C5B1651"/>
    <w:rsid w:val="0C5B4ED4"/>
    <w:rsid w:val="0C5C70D2"/>
    <w:rsid w:val="0C5E25D5"/>
    <w:rsid w:val="0C5E5E59"/>
    <w:rsid w:val="0C5F0057"/>
    <w:rsid w:val="0C5F38DA"/>
    <w:rsid w:val="0C600706"/>
    <w:rsid w:val="0C600E4F"/>
    <w:rsid w:val="0C60355A"/>
    <w:rsid w:val="0C610FDC"/>
    <w:rsid w:val="0C616DDD"/>
    <w:rsid w:val="0C62485F"/>
    <w:rsid w:val="0C647D62"/>
    <w:rsid w:val="0C653F5B"/>
    <w:rsid w:val="0C664657"/>
    <w:rsid w:val="0C664AFA"/>
    <w:rsid w:val="0C664D2E"/>
    <w:rsid w:val="0C670CE7"/>
    <w:rsid w:val="0C673A60"/>
    <w:rsid w:val="0C6841EA"/>
    <w:rsid w:val="0C686768"/>
    <w:rsid w:val="0C691C6B"/>
    <w:rsid w:val="0C6A7427"/>
    <w:rsid w:val="0C6A76ED"/>
    <w:rsid w:val="0C6B516E"/>
    <w:rsid w:val="0C6C2BF0"/>
    <w:rsid w:val="0C6D0671"/>
    <w:rsid w:val="0C6D1703"/>
    <w:rsid w:val="0C6E60F3"/>
    <w:rsid w:val="0C6F381A"/>
    <w:rsid w:val="0C717078"/>
    <w:rsid w:val="0C724AF9"/>
    <w:rsid w:val="0C725932"/>
    <w:rsid w:val="0C73257B"/>
    <w:rsid w:val="0C746CE6"/>
    <w:rsid w:val="0C74719F"/>
    <w:rsid w:val="0C7634FF"/>
    <w:rsid w:val="0C770DFE"/>
    <w:rsid w:val="0C770F81"/>
    <w:rsid w:val="0C770FC2"/>
    <w:rsid w:val="0C786A02"/>
    <w:rsid w:val="0C795780"/>
    <w:rsid w:val="0C7A30DA"/>
    <w:rsid w:val="0C7B320A"/>
    <w:rsid w:val="0C7B4653"/>
    <w:rsid w:val="0C7C448E"/>
    <w:rsid w:val="0C7C502D"/>
    <w:rsid w:val="0C7C5409"/>
    <w:rsid w:val="0C7D2E8A"/>
    <w:rsid w:val="0C7D5BCC"/>
    <w:rsid w:val="0C7D670E"/>
    <w:rsid w:val="0C7E090C"/>
    <w:rsid w:val="0C7E418F"/>
    <w:rsid w:val="0C7F2609"/>
    <w:rsid w:val="0C7F638D"/>
    <w:rsid w:val="0C807692"/>
    <w:rsid w:val="0C807CE3"/>
    <w:rsid w:val="0C811890"/>
    <w:rsid w:val="0C815114"/>
    <w:rsid w:val="0C817312"/>
    <w:rsid w:val="0C822B95"/>
    <w:rsid w:val="0C824D94"/>
    <w:rsid w:val="0C830617"/>
    <w:rsid w:val="0C832815"/>
    <w:rsid w:val="0C840297"/>
    <w:rsid w:val="0C846098"/>
    <w:rsid w:val="0C855D18"/>
    <w:rsid w:val="0C857C6D"/>
    <w:rsid w:val="0C87121B"/>
    <w:rsid w:val="0C87701D"/>
    <w:rsid w:val="0C88548B"/>
    <w:rsid w:val="0C88602A"/>
    <w:rsid w:val="0C89471E"/>
    <w:rsid w:val="0C897FA2"/>
    <w:rsid w:val="0C8A21A0"/>
    <w:rsid w:val="0C8A5A23"/>
    <w:rsid w:val="0C8B34A5"/>
    <w:rsid w:val="0C8B7C21"/>
    <w:rsid w:val="0C8C0B1C"/>
    <w:rsid w:val="0C8C0F26"/>
    <w:rsid w:val="0C8D3125"/>
    <w:rsid w:val="0C8D69A8"/>
    <w:rsid w:val="0C8E0BA6"/>
    <w:rsid w:val="0C8E2094"/>
    <w:rsid w:val="0C8F1EAB"/>
    <w:rsid w:val="0C8F2DF7"/>
    <w:rsid w:val="0C9040A9"/>
    <w:rsid w:val="0C913FA4"/>
    <w:rsid w:val="0C9153AE"/>
    <w:rsid w:val="0C922E8C"/>
    <w:rsid w:val="0C923562"/>
    <w:rsid w:val="0C923718"/>
    <w:rsid w:val="0C923A83"/>
    <w:rsid w:val="0C9275AC"/>
    <w:rsid w:val="0C93502E"/>
    <w:rsid w:val="0C9358E9"/>
    <w:rsid w:val="0C942AAF"/>
    <w:rsid w:val="0C946333"/>
    <w:rsid w:val="0C953DB4"/>
    <w:rsid w:val="0C9576C0"/>
    <w:rsid w:val="0C965FB3"/>
    <w:rsid w:val="0C96783C"/>
    <w:rsid w:val="0C967A01"/>
    <w:rsid w:val="0C973A34"/>
    <w:rsid w:val="0C9814B6"/>
    <w:rsid w:val="0C984D39"/>
    <w:rsid w:val="0C9949B9"/>
    <w:rsid w:val="0C9A023C"/>
    <w:rsid w:val="0C9B3A6C"/>
    <w:rsid w:val="0C9B5CBE"/>
    <w:rsid w:val="0C9C373F"/>
    <w:rsid w:val="0C9C460A"/>
    <w:rsid w:val="0C9D11C1"/>
    <w:rsid w:val="0C9D51A9"/>
    <w:rsid w:val="0C9E0E40"/>
    <w:rsid w:val="0C9F6722"/>
    <w:rsid w:val="0C9F68C2"/>
    <w:rsid w:val="0CA02145"/>
    <w:rsid w:val="0CA11DC5"/>
    <w:rsid w:val="0CA15648"/>
    <w:rsid w:val="0CA17BC7"/>
    <w:rsid w:val="0CA267B8"/>
    <w:rsid w:val="0CA27847"/>
    <w:rsid w:val="0CA313D8"/>
    <w:rsid w:val="0CA33BE4"/>
    <w:rsid w:val="0CA352C8"/>
    <w:rsid w:val="0CA42951"/>
    <w:rsid w:val="0CA42D4A"/>
    <w:rsid w:val="0CA465CD"/>
    <w:rsid w:val="0CA507CB"/>
    <w:rsid w:val="0CA5278C"/>
    <w:rsid w:val="0CA63ECA"/>
    <w:rsid w:val="0CA73CCE"/>
    <w:rsid w:val="0CA84B3A"/>
    <w:rsid w:val="0CA85443"/>
    <w:rsid w:val="0CAA04D6"/>
    <w:rsid w:val="0CAA4C53"/>
    <w:rsid w:val="0CAA6B80"/>
    <w:rsid w:val="0CAB26D5"/>
    <w:rsid w:val="0CAB2EAE"/>
    <w:rsid w:val="0CAC0156"/>
    <w:rsid w:val="0CAD0AD3"/>
    <w:rsid w:val="0CAD33B7"/>
    <w:rsid w:val="0CAD5BD8"/>
    <w:rsid w:val="0CAE3659"/>
    <w:rsid w:val="0CAE6EDD"/>
    <w:rsid w:val="0CAF01B1"/>
    <w:rsid w:val="0CAF10DB"/>
    <w:rsid w:val="0CB023E0"/>
    <w:rsid w:val="0CB02BEB"/>
    <w:rsid w:val="0CB06B5C"/>
    <w:rsid w:val="0CB07099"/>
    <w:rsid w:val="0CB07770"/>
    <w:rsid w:val="0CB1205F"/>
    <w:rsid w:val="0CB145DE"/>
    <w:rsid w:val="0CB258E3"/>
    <w:rsid w:val="0CB358A1"/>
    <w:rsid w:val="0CB40DE6"/>
    <w:rsid w:val="0CB42FE4"/>
    <w:rsid w:val="0CB4627B"/>
    <w:rsid w:val="0CB50A66"/>
    <w:rsid w:val="0CB642E9"/>
    <w:rsid w:val="0CB664E7"/>
    <w:rsid w:val="0CB73F69"/>
    <w:rsid w:val="0CB9190B"/>
    <w:rsid w:val="0CB92CEF"/>
    <w:rsid w:val="0CB9526E"/>
    <w:rsid w:val="0CBA0771"/>
    <w:rsid w:val="0CBA266F"/>
    <w:rsid w:val="0CBB296F"/>
    <w:rsid w:val="0CBB61F2"/>
    <w:rsid w:val="0CBC03F1"/>
    <w:rsid w:val="0CBD0903"/>
    <w:rsid w:val="0CBD27D9"/>
    <w:rsid w:val="0CBD4786"/>
    <w:rsid w:val="0CBD5E72"/>
    <w:rsid w:val="0CBE22B8"/>
    <w:rsid w:val="0CBE38F4"/>
    <w:rsid w:val="0CBF1356"/>
    <w:rsid w:val="0CBF4BF8"/>
    <w:rsid w:val="0CC0267A"/>
    <w:rsid w:val="0CC06DF7"/>
    <w:rsid w:val="0CC100FC"/>
    <w:rsid w:val="0CC14878"/>
    <w:rsid w:val="0CC222FA"/>
    <w:rsid w:val="0CC25B7D"/>
    <w:rsid w:val="0CC335FF"/>
    <w:rsid w:val="0CC41080"/>
    <w:rsid w:val="0CC457FD"/>
    <w:rsid w:val="0CC5327E"/>
    <w:rsid w:val="0CC60D00"/>
    <w:rsid w:val="0CC72005"/>
    <w:rsid w:val="0CC73E81"/>
    <w:rsid w:val="0CC74046"/>
    <w:rsid w:val="0CC84203"/>
    <w:rsid w:val="0CCA2F89"/>
    <w:rsid w:val="0CCB5BAD"/>
    <w:rsid w:val="0CCB6973"/>
    <w:rsid w:val="0CCB6B37"/>
    <w:rsid w:val="0CCD3F0E"/>
    <w:rsid w:val="0CCE1990"/>
    <w:rsid w:val="0CCF7411"/>
    <w:rsid w:val="0CD04E93"/>
    <w:rsid w:val="0CD242DF"/>
    <w:rsid w:val="0CD25E17"/>
    <w:rsid w:val="0CD33899"/>
    <w:rsid w:val="0CD4131B"/>
    <w:rsid w:val="0CD6481E"/>
    <w:rsid w:val="0CD66DD1"/>
    <w:rsid w:val="0CD7229F"/>
    <w:rsid w:val="0CD87D21"/>
    <w:rsid w:val="0CD90EE9"/>
    <w:rsid w:val="0CD957A2"/>
    <w:rsid w:val="0CDB2461"/>
    <w:rsid w:val="0CDB2626"/>
    <w:rsid w:val="0CDC6727"/>
    <w:rsid w:val="0CDE1C2A"/>
    <w:rsid w:val="0CDE52DC"/>
    <w:rsid w:val="0CDF5CB6"/>
    <w:rsid w:val="0CDF76AC"/>
    <w:rsid w:val="0CE12BAF"/>
    <w:rsid w:val="0CE20630"/>
    <w:rsid w:val="0CE23EB3"/>
    <w:rsid w:val="0CE27C09"/>
    <w:rsid w:val="0CE307A8"/>
    <w:rsid w:val="0CE43B33"/>
    <w:rsid w:val="0CE515B5"/>
    <w:rsid w:val="0CE628BA"/>
    <w:rsid w:val="0CE67036"/>
    <w:rsid w:val="0CE7033B"/>
    <w:rsid w:val="0CE74123"/>
    <w:rsid w:val="0CE74AB8"/>
    <w:rsid w:val="0CE8253A"/>
    <w:rsid w:val="0CE829B2"/>
    <w:rsid w:val="0CE91A4F"/>
    <w:rsid w:val="0CE95A3D"/>
    <w:rsid w:val="0CE97FBB"/>
    <w:rsid w:val="0CEA0261"/>
    <w:rsid w:val="0CEA0782"/>
    <w:rsid w:val="0CEA34BE"/>
    <w:rsid w:val="0CEC47C3"/>
    <w:rsid w:val="0CEC69C1"/>
    <w:rsid w:val="0CED2245"/>
    <w:rsid w:val="0CED4443"/>
    <w:rsid w:val="0CEE19B3"/>
    <w:rsid w:val="0CEE1EC4"/>
    <w:rsid w:val="0CF053C7"/>
    <w:rsid w:val="0CF10C4B"/>
    <w:rsid w:val="0CF12E49"/>
    <w:rsid w:val="0CF166CC"/>
    <w:rsid w:val="0CF22138"/>
    <w:rsid w:val="0CF31BCF"/>
    <w:rsid w:val="0CF3634C"/>
    <w:rsid w:val="0CF43DCE"/>
    <w:rsid w:val="0CF55810"/>
    <w:rsid w:val="0CF559D4"/>
    <w:rsid w:val="0CF62B54"/>
    <w:rsid w:val="0CF66F4D"/>
    <w:rsid w:val="0CF672D1"/>
    <w:rsid w:val="0CF705D6"/>
    <w:rsid w:val="0CF73EC1"/>
    <w:rsid w:val="0CF827D4"/>
    <w:rsid w:val="0CF91064"/>
    <w:rsid w:val="0CF9251D"/>
    <w:rsid w:val="0CF92889"/>
    <w:rsid w:val="0CF92DA9"/>
    <w:rsid w:val="0CFA1C03"/>
    <w:rsid w:val="0CFB25DD"/>
    <w:rsid w:val="0CFC4A5D"/>
    <w:rsid w:val="0CFE7F60"/>
    <w:rsid w:val="0CFF215F"/>
    <w:rsid w:val="0CFF59E2"/>
    <w:rsid w:val="0D003464"/>
    <w:rsid w:val="0D005C6E"/>
    <w:rsid w:val="0D007BE0"/>
    <w:rsid w:val="0D010EE5"/>
    <w:rsid w:val="0D015662"/>
    <w:rsid w:val="0D0343E8"/>
    <w:rsid w:val="0D044068"/>
    <w:rsid w:val="0D0512FE"/>
    <w:rsid w:val="0D051AEA"/>
    <w:rsid w:val="0D0578EB"/>
    <w:rsid w:val="0D06536D"/>
    <w:rsid w:val="0D06756B"/>
    <w:rsid w:val="0D074FED"/>
    <w:rsid w:val="0D07573C"/>
    <w:rsid w:val="0D0904F0"/>
    <w:rsid w:val="0D0962F1"/>
    <w:rsid w:val="0D0A17F5"/>
    <w:rsid w:val="0D0A3D73"/>
    <w:rsid w:val="0D0A5F71"/>
    <w:rsid w:val="0D0B39F3"/>
    <w:rsid w:val="0D0C4CF8"/>
    <w:rsid w:val="0D0C6AA6"/>
    <w:rsid w:val="0D0D6EF6"/>
    <w:rsid w:val="0D1036FE"/>
    <w:rsid w:val="0D11117F"/>
    <w:rsid w:val="0D1336AF"/>
    <w:rsid w:val="0D134413"/>
    <w:rsid w:val="0D134683"/>
    <w:rsid w:val="0D140E7B"/>
    <w:rsid w:val="0D142104"/>
    <w:rsid w:val="0D144DED"/>
    <w:rsid w:val="0D146881"/>
    <w:rsid w:val="0D160909"/>
    <w:rsid w:val="0D165607"/>
    <w:rsid w:val="0D166366"/>
    <w:rsid w:val="0D16652A"/>
    <w:rsid w:val="0D166E01"/>
    <w:rsid w:val="0D166FB7"/>
    <w:rsid w:val="0D180B0A"/>
    <w:rsid w:val="0D185287"/>
    <w:rsid w:val="0D192D09"/>
    <w:rsid w:val="0D19658C"/>
    <w:rsid w:val="0D1A078A"/>
    <w:rsid w:val="0D1A101C"/>
    <w:rsid w:val="0D1A400D"/>
    <w:rsid w:val="0D1A620C"/>
    <w:rsid w:val="0D1C170F"/>
    <w:rsid w:val="0D1C7510"/>
    <w:rsid w:val="0D1F0495"/>
    <w:rsid w:val="0D1F46AC"/>
    <w:rsid w:val="0D205F17"/>
    <w:rsid w:val="0D215B97"/>
    <w:rsid w:val="0D22141A"/>
    <w:rsid w:val="0D223618"/>
    <w:rsid w:val="0D223EE4"/>
    <w:rsid w:val="0D226E9B"/>
    <w:rsid w:val="0D23109A"/>
    <w:rsid w:val="0D237A01"/>
    <w:rsid w:val="0D241949"/>
    <w:rsid w:val="0D24239E"/>
    <w:rsid w:val="0D2515DE"/>
    <w:rsid w:val="0D251794"/>
    <w:rsid w:val="0D257E20"/>
    <w:rsid w:val="0D26201E"/>
    <w:rsid w:val="0D273323"/>
    <w:rsid w:val="0D285521"/>
    <w:rsid w:val="0D292FA3"/>
    <w:rsid w:val="0D293F6C"/>
    <w:rsid w:val="0D296826"/>
    <w:rsid w:val="0D2A0A24"/>
    <w:rsid w:val="0D2A42A8"/>
    <w:rsid w:val="0D2A4946"/>
    <w:rsid w:val="0D2B1D29"/>
    <w:rsid w:val="0D2B64A6"/>
    <w:rsid w:val="0D2C3F28"/>
    <w:rsid w:val="0D2C77AB"/>
    <w:rsid w:val="0D2D03B4"/>
    <w:rsid w:val="0D2D19A9"/>
    <w:rsid w:val="0D2D522C"/>
    <w:rsid w:val="0D2D6C22"/>
    <w:rsid w:val="0D2F072F"/>
    <w:rsid w:val="0D30650C"/>
    <w:rsid w:val="0D3120EE"/>
    <w:rsid w:val="0D313C33"/>
    <w:rsid w:val="0D3216B4"/>
    <w:rsid w:val="0D322C8D"/>
    <w:rsid w:val="0D324647"/>
    <w:rsid w:val="0D32523E"/>
    <w:rsid w:val="0D344206"/>
    <w:rsid w:val="0D344BB7"/>
    <w:rsid w:val="0D352639"/>
    <w:rsid w:val="0D354F69"/>
    <w:rsid w:val="0D3600BA"/>
    <w:rsid w:val="0D375B3C"/>
    <w:rsid w:val="0D3835BD"/>
    <w:rsid w:val="0D39103F"/>
    <w:rsid w:val="0D3A05F9"/>
    <w:rsid w:val="0D3A4542"/>
    <w:rsid w:val="0D3B1FC4"/>
    <w:rsid w:val="0D3B6C32"/>
    <w:rsid w:val="0D3C7A45"/>
    <w:rsid w:val="0D3D54C7"/>
    <w:rsid w:val="0D3E2F48"/>
    <w:rsid w:val="0D407A1C"/>
    <w:rsid w:val="0D415DA1"/>
    <w:rsid w:val="0D42194E"/>
    <w:rsid w:val="0D450893"/>
    <w:rsid w:val="0D4528D3"/>
    <w:rsid w:val="0D471FD0"/>
    <w:rsid w:val="0D475DD6"/>
    <w:rsid w:val="0D4870DB"/>
    <w:rsid w:val="0D4940E8"/>
    <w:rsid w:val="0D494B5D"/>
    <w:rsid w:val="0D4A25DE"/>
    <w:rsid w:val="0D4B0060"/>
    <w:rsid w:val="0D4C219F"/>
    <w:rsid w:val="0D4D3563"/>
    <w:rsid w:val="0D4D7CE0"/>
    <w:rsid w:val="0D4E0FE4"/>
    <w:rsid w:val="0D4F144C"/>
    <w:rsid w:val="0D4F196D"/>
    <w:rsid w:val="0D4F31E3"/>
    <w:rsid w:val="0D4F6A66"/>
    <w:rsid w:val="0D500C64"/>
    <w:rsid w:val="0D500CF1"/>
    <w:rsid w:val="0D5044E7"/>
    <w:rsid w:val="0D5116CB"/>
    <w:rsid w:val="0D5166E6"/>
    <w:rsid w:val="0D521BE9"/>
    <w:rsid w:val="0D52226A"/>
    <w:rsid w:val="0D53546C"/>
    <w:rsid w:val="0D53766A"/>
    <w:rsid w:val="0D5437E3"/>
    <w:rsid w:val="0D5439A7"/>
    <w:rsid w:val="0D552B6D"/>
    <w:rsid w:val="0D564D5C"/>
    <w:rsid w:val="0D5663F1"/>
    <w:rsid w:val="0D573E72"/>
    <w:rsid w:val="0D576071"/>
    <w:rsid w:val="0D5818F4"/>
    <w:rsid w:val="0D583AF2"/>
    <w:rsid w:val="0D591574"/>
    <w:rsid w:val="0D597375"/>
    <w:rsid w:val="0D5A2878"/>
    <w:rsid w:val="0D5A6FF5"/>
    <w:rsid w:val="0D5B02FA"/>
    <w:rsid w:val="0D5B4A77"/>
    <w:rsid w:val="0D5C4EF6"/>
    <w:rsid w:val="0D5D2504"/>
    <w:rsid w:val="0D5D26C8"/>
    <w:rsid w:val="0D5D37FD"/>
    <w:rsid w:val="0D5D7F7A"/>
    <w:rsid w:val="0D5E339D"/>
    <w:rsid w:val="0D5E3553"/>
    <w:rsid w:val="0D5E38BE"/>
    <w:rsid w:val="0D5E59FB"/>
    <w:rsid w:val="0D5F347D"/>
    <w:rsid w:val="0D604782"/>
    <w:rsid w:val="0D612203"/>
    <w:rsid w:val="0D621C7D"/>
    <w:rsid w:val="0D635706"/>
    <w:rsid w:val="0D636733"/>
    <w:rsid w:val="0D643188"/>
    <w:rsid w:val="0D647E70"/>
    <w:rsid w:val="0D650A0F"/>
    <w:rsid w:val="0D650C0A"/>
    <w:rsid w:val="0D656C27"/>
    <w:rsid w:val="0D662E08"/>
    <w:rsid w:val="0D66668B"/>
    <w:rsid w:val="0D671DC3"/>
    <w:rsid w:val="0D68630B"/>
    <w:rsid w:val="0D69333C"/>
    <w:rsid w:val="0D693500"/>
    <w:rsid w:val="0D6A180E"/>
    <w:rsid w:val="0D6A5091"/>
    <w:rsid w:val="0D6B4D11"/>
    <w:rsid w:val="0D6C0594"/>
    <w:rsid w:val="0D6C2793"/>
    <w:rsid w:val="0D6D0214"/>
    <w:rsid w:val="0D6D5138"/>
    <w:rsid w:val="0D6D61B7"/>
    <w:rsid w:val="0D6E5C96"/>
    <w:rsid w:val="0D6E6B91"/>
    <w:rsid w:val="0D710CA8"/>
    <w:rsid w:val="0D7359A1"/>
    <w:rsid w:val="0D743422"/>
    <w:rsid w:val="0D750EA4"/>
    <w:rsid w:val="0D755621"/>
    <w:rsid w:val="0D764D13"/>
    <w:rsid w:val="0D770B24"/>
    <w:rsid w:val="0D781E29"/>
    <w:rsid w:val="0D7865A5"/>
    <w:rsid w:val="0D796FEF"/>
    <w:rsid w:val="0D7978AA"/>
    <w:rsid w:val="0D7A1AA8"/>
    <w:rsid w:val="0D7B0568"/>
    <w:rsid w:val="0D7B2DAD"/>
    <w:rsid w:val="0D7B752A"/>
    <w:rsid w:val="0D7C082F"/>
    <w:rsid w:val="0D7C4FAB"/>
    <w:rsid w:val="0D7C7760"/>
    <w:rsid w:val="0D7D2605"/>
    <w:rsid w:val="0D7D2A2D"/>
    <w:rsid w:val="0D7D62B0"/>
    <w:rsid w:val="0D7E3D32"/>
    <w:rsid w:val="0D7F17B3"/>
    <w:rsid w:val="0D7F5F30"/>
    <w:rsid w:val="0D8039B2"/>
    <w:rsid w:val="0D807235"/>
    <w:rsid w:val="0D811A27"/>
    <w:rsid w:val="0D814CB6"/>
    <w:rsid w:val="0D826EB5"/>
    <w:rsid w:val="0D8301BA"/>
    <w:rsid w:val="0D834936"/>
    <w:rsid w:val="0D845C3B"/>
    <w:rsid w:val="0D847E39"/>
    <w:rsid w:val="0D8558BB"/>
    <w:rsid w:val="0D8609C6"/>
    <w:rsid w:val="0D86333C"/>
    <w:rsid w:val="0D870DBE"/>
    <w:rsid w:val="0D884641"/>
    <w:rsid w:val="0D886840"/>
    <w:rsid w:val="0D8942C1"/>
    <w:rsid w:val="0D896A37"/>
    <w:rsid w:val="0D8A1F3D"/>
    <w:rsid w:val="0D8A34B8"/>
    <w:rsid w:val="0D8B0022"/>
    <w:rsid w:val="0D8B55C6"/>
    <w:rsid w:val="0D8C0AC9"/>
    <w:rsid w:val="0D8C4A31"/>
    <w:rsid w:val="0D8E0749"/>
    <w:rsid w:val="0D8E3FCC"/>
    <w:rsid w:val="0D8E5FAA"/>
    <w:rsid w:val="0D8E6B48"/>
    <w:rsid w:val="0D900286"/>
    <w:rsid w:val="0D9074CF"/>
    <w:rsid w:val="0D9116CE"/>
    <w:rsid w:val="0D9217FF"/>
    <w:rsid w:val="0D9229D2"/>
    <w:rsid w:val="0D9261C3"/>
    <w:rsid w:val="0D92714F"/>
    <w:rsid w:val="0D934BD1"/>
    <w:rsid w:val="0D945ED5"/>
    <w:rsid w:val="0D953957"/>
    <w:rsid w:val="0D9848DC"/>
    <w:rsid w:val="0D98567C"/>
    <w:rsid w:val="0D985A2E"/>
    <w:rsid w:val="0D99235D"/>
    <w:rsid w:val="0D996408"/>
    <w:rsid w:val="0D9A585D"/>
    <w:rsid w:val="0D9C10BE"/>
    <w:rsid w:val="0D9C1ACC"/>
    <w:rsid w:val="0D9C32E2"/>
    <w:rsid w:val="0D9D0D63"/>
    <w:rsid w:val="0D9E2637"/>
    <w:rsid w:val="0D9E67E5"/>
    <w:rsid w:val="0D9F4266"/>
    <w:rsid w:val="0DA01CE8"/>
    <w:rsid w:val="0DA1776A"/>
    <w:rsid w:val="0DA25129"/>
    <w:rsid w:val="0DA306EE"/>
    <w:rsid w:val="0DA466A2"/>
    <w:rsid w:val="0DA5089B"/>
    <w:rsid w:val="0DA50C06"/>
    <w:rsid w:val="0DA57405"/>
    <w:rsid w:val="0DA61673"/>
    <w:rsid w:val="0DA76D42"/>
    <w:rsid w:val="0DA770F4"/>
    <w:rsid w:val="0DA8151C"/>
    <w:rsid w:val="0DA84B76"/>
    <w:rsid w:val="0DA925F8"/>
    <w:rsid w:val="0DAA28D1"/>
    <w:rsid w:val="0DAC357C"/>
    <w:rsid w:val="0DAC6DFF"/>
    <w:rsid w:val="0DAD0FFE"/>
    <w:rsid w:val="0DAD574B"/>
    <w:rsid w:val="0DAE2303"/>
    <w:rsid w:val="0DB01F82"/>
    <w:rsid w:val="0DB05806"/>
    <w:rsid w:val="0DB13287"/>
    <w:rsid w:val="0DB20D09"/>
    <w:rsid w:val="0DB20DDC"/>
    <w:rsid w:val="0DB317B6"/>
    <w:rsid w:val="0DB3678A"/>
    <w:rsid w:val="0DB4420C"/>
    <w:rsid w:val="0DB60FFE"/>
    <w:rsid w:val="0DB638CD"/>
    <w:rsid w:val="0DB63E8C"/>
    <w:rsid w:val="0DB7190D"/>
    <w:rsid w:val="0DB75190"/>
    <w:rsid w:val="0DB80BB5"/>
    <w:rsid w:val="0DB8738F"/>
    <w:rsid w:val="0DBA2892"/>
    <w:rsid w:val="0DBB3B97"/>
    <w:rsid w:val="0DBC069B"/>
    <w:rsid w:val="0DBC1618"/>
    <w:rsid w:val="0DBC3817"/>
    <w:rsid w:val="0DBD1075"/>
    <w:rsid w:val="0DBD701A"/>
    <w:rsid w:val="0DBD709A"/>
    <w:rsid w:val="0DBE0332"/>
    <w:rsid w:val="0DBE1C14"/>
    <w:rsid w:val="0DBE6D1A"/>
    <w:rsid w:val="0DBF259D"/>
    <w:rsid w:val="0DBF27B3"/>
    <w:rsid w:val="0DBF479B"/>
    <w:rsid w:val="0DC15AA0"/>
    <w:rsid w:val="0DC17C9E"/>
    <w:rsid w:val="0DC23522"/>
    <w:rsid w:val="0DC331A1"/>
    <w:rsid w:val="0DC350E0"/>
    <w:rsid w:val="0DC36A25"/>
    <w:rsid w:val="0DC40C23"/>
    <w:rsid w:val="0DC444A6"/>
    <w:rsid w:val="0DC51F28"/>
    <w:rsid w:val="0DC52DE4"/>
    <w:rsid w:val="0DC566A4"/>
    <w:rsid w:val="0DC573BC"/>
    <w:rsid w:val="0DC64126"/>
    <w:rsid w:val="0DC679A9"/>
    <w:rsid w:val="0DC70935"/>
    <w:rsid w:val="0DC82EAC"/>
    <w:rsid w:val="0DC87629"/>
    <w:rsid w:val="0DC9092E"/>
    <w:rsid w:val="0DC950AB"/>
    <w:rsid w:val="0DCA63AF"/>
    <w:rsid w:val="0DCB05AE"/>
    <w:rsid w:val="0DCB11DF"/>
    <w:rsid w:val="0DCB3427"/>
    <w:rsid w:val="0DCB3E31"/>
    <w:rsid w:val="0DCD49A0"/>
    <w:rsid w:val="0DCD7334"/>
    <w:rsid w:val="0DCE1532"/>
    <w:rsid w:val="0DCE4DB6"/>
    <w:rsid w:val="0DCF2837"/>
    <w:rsid w:val="0DD04A36"/>
    <w:rsid w:val="0DD06AB7"/>
    <w:rsid w:val="0DD124B7"/>
    <w:rsid w:val="0DD237BC"/>
    <w:rsid w:val="0DD30BCF"/>
    <w:rsid w:val="0DD3123D"/>
    <w:rsid w:val="0DD3343C"/>
    <w:rsid w:val="0DD353C1"/>
    <w:rsid w:val="0DD359BA"/>
    <w:rsid w:val="0DD46CBF"/>
    <w:rsid w:val="0DD5693F"/>
    <w:rsid w:val="0DD63885"/>
    <w:rsid w:val="0DD71E42"/>
    <w:rsid w:val="0DD77C44"/>
    <w:rsid w:val="0DD856C5"/>
    <w:rsid w:val="0DD878C3"/>
    <w:rsid w:val="0DD93147"/>
    <w:rsid w:val="0DDA0BC8"/>
    <w:rsid w:val="0DDA2DC7"/>
    <w:rsid w:val="0DDB40CB"/>
    <w:rsid w:val="0DDB664A"/>
    <w:rsid w:val="0DDC1B4D"/>
    <w:rsid w:val="0DDC62CA"/>
    <w:rsid w:val="0DDD048E"/>
    <w:rsid w:val="0DDD3D4B"/>
    <w:rsid w:val="0DDD75CE"/>
    <w:rsid w:val="0DDE102D"/>
    <w:rsid w:val="0DDE17CD"/>
    <w:rsid w:val="0DDE5050"/>
    <w:rsid w:val="0DDF1BCC"/>
    <w:rsid w:val="0DDF724E"/>
    <w:rsid w:val="0DE00553"/>
    <w:rsid w:val="0DE025A6"/>
    <w:rsid w:val="0DE04CD0"/>
    <w:rsid w:val="0DE12751"/>
    <w:rsid w:val="0DE15FD5"/>
    <w:rsid w:val="0DE2190D"/>
    <w:rsid w:val="0DE23A56"/>
    <w:rsid w:val="0DE279E8"/>
    <w:rsid w:val="0DE27B9E"/>
    <w:rsid w:val="0DE314D8"/>
    <w:rsid w:val="0DE35C55"/>
    <w:rsid w:val="0DE40111"/>
    <w:rsid w:val="0DE436D6"/>
    <w:rsid w:val="0DE46F59"/>
    <w:rsid w:val="0DE549DB"/>
    <w:rsid w:val="0DE567D5"/>
    <w:rsid w:val="0DE6245C"/>
    <w:rsid w:val="0DE67374"/>
    <w:rsid w:val="0DE7465B"/>
    <w:rsid w:val="0DE77F12"/>
    <w:rsid w:val="0DE820DC"/>
    <w:rsid w:val="0DE85960"/>
    <w:rsid w:val="0DE97B5E"/>
    <w:rsid w:val="0DEA1E65"/>
    <w:rsid w:val="0DEA55DF"/>
    <w:rsid w:val="0DEB68E4"/>
    <w:rsid w:val="0DEC0AE2"/>
    <w:rsid w:val="0DEC4366"/>
    <w:rsid w:val="0DEC6564"/>
    <w:rsid w:val="0DED1DE7"/>
    <w:rsid w:val="0DEE45AB"/>
    <w:rsid w:val="0DEE4B1B"/>
    <w:rsid w:val="0DF02010"/>
    <w:rsid w:val="0DF02D6C"/>
    <w:rsid w:val="0DF107ED"/>
    <w:rsid w:val="0DF129EC"/>
    <w:rsid w:val="0DF2046D"/>
    <w:rsid w:val="0DF2626F"/>
    <w:rsid w:val="0DF33CF1"/>
    <w:rsid w:val="0DF41772"/>
    <w:rsid w:val="0DF43970"/>
    <w:rsid w:val="0DF513F2"/>
    <w:rsid w:val="0DF54C75"/>
    <w:rsid w:val="0DF626F7"/>
    <w:rsid w:val="0DF66E74"/>
    <w:rsid w:val="0DF70178"/>
    <w:rsid w:val="0DF748F5"/>
    <w:rsid w:val="0DF82377"/>
    <w:rsid w:val="0DF85BFA"/>
    <w:rsid w:val="0DF9367B"/>
    <w:rsid w:val="0DFA10FD"/>
    <w:rsid w:val="0DFC7A6B"/>
    <w:rsid w:val="0DFD0446"/>
    <w:rsid w:val="0DFE559A"/>
    <w:rsid w:val="0DFE7B03"/>
    <w:rsid w:val="0DFF5585"/>
    <w:rsid w:val="0E003006"/>
    <w:rsid w:val="0E01348B"/>
    <w:rsid w:val="0E023C9B"/>
    <w:rsid w:val="0E026509"/>
    <w:rsid w:val="0E033F8B"/>
    <w:rsid w:val="0E0453D8"/>
    <w:rsid w:val="0E055DB2"/>
    <w:rsid w:val="0E066951"/>
    <w:rsid w:val="0E087ECA"/>
    <w:rsid w:val="0E090A68"/>
    <w:rsid w:val="0E0A1FE1"/>
    <w:rsid w:val="0E0A3916"/>
    <w:rsid w:val="0E0B1397"/>
    <w:rsid w:val="0E0D231C"/>
    <w:rsid w:val="0E0D40F9"/>
    <w:rsid w:val="0E0F54AD"/>
    <w:rsid w:val="0E0F5672"/>
    <w:rsid w:val="0E1032A1"/>
    <w:rsid w:val="0E10604C"/>
    <w:rsid w:val="0E106210"/>
    <w:rsid w:val="0E110D22"/>
    <w:rsid w:val="0E130328"/>
    <w:rsid w:val="0E132027"/>
    <w:rsid w:val="0E134225"/>
    <w:rsid w:val="0E140D02"/>
    <w:rsid w:val="0E141CA7"/>
    <w:rsid w:val="0E152FAC"/>
    <w:rsid w:val="0E160A2D"/>
    <w:rsid w:val="0E1651AA"/>
    <w:rsid w:val="0E172C2B"/>
    <w:rsid w:val="0E1764AF"/>
    <w:rsid w:val="0E183F30"/>
    <w:rsid w:val="0E1919B2"/>
    <w:rsid w:val="0E19612F"/>
    <w:rsid w:val="0E1A2554"/>
    <w:rsid w:val="0E1B1632"/>
    <w:rsid w:val="0E1B17A7"/>
    <w:rsid w:val="0E1B64AA"/>
    <w:rsid w:val="0E1C1286"/>
    <w:rsid w:val="0E1C2936"/>
    <w:rsid w:val="0E1D4B35"/>
    <w:rsid w:val="0E1E25B6"/>
    <w:rsid w:val="0E1F38BB"/>
    <w:rsid w:val="0E20133D"/>
    <w:rsid w:val="0E201B3A"/>
    <w:rsid w:val="0E201CFF"/>
    <w:rsid w:val="0E216DBE"/>
    <w:rsid w:val="0E220FBD"/>
    <w:rsid w:val="0E2230B3"/>
    <w:rsid w:val="0E224840"/>
    <w:rsid w:val="0E233E16"/>
    <w:rsid w:val="0E236A3E"/>
    <w:rsid w:val="0E241F41"/>
    <w:rsid w:val="0E2557C4"/>
    <w:rsid w:val="0E255D69"/>
    <w:rsid w:val="0E270CC8"/>
    <w:rsid w:val="0E2774A7"/>
    <w:rsid w:val="0E280947"/>
    <w:rsid w:val="0E286749"/>
    <w:rsid w:val="0E287E81"/>
    <w:rsid w:val="0E29465B"/>
    <w:rsid w:val="0E294B12"/>
    <w:rsid w:val="0E29509C"/>
    <w:rsid w:val="0E2B18CC"/>
    <w:rsid w:val="0E2B76CE"/>
    <w:rsid w:val="0E2C2BD1"/>
    <w:rsid w:val="0E2C734E"/>
    <w:rsid w:val="0E2E60D4"/>
    <w:rsid w:val="0E2F02D2"/>
    <w:rsid w:val="0E2F4C4F"/>
    <w:rsid w:val="0E305629"/>
    <w:rsid w:val="0E321257"/>
    <w:rsid w:val="0E33255C"/>
    <w:rsid w:val="0E337741"/>
    <w:rsid w:val="0E34475A"/>
    <w:rsid w:val="0E355A5F"/>
    <w:rsid w:val="0E3620C1"/>
    <w:rsid w:val="0E362232"/>
    <w:rsid w:val="0E3623F7"/>
    <w:rsid w:val="0E370F62"/>
    <w:rsid w:val="0E3869E3"/>
    <w:rsid w:val="0E386E38"/>
    <w:rsid w:val="0E394465"/>
    <w:rsid w:val="0E3B40E5"/>
    <w:rsid w:val="0E3C6626"/>
    <w:rsid w:val="0E3C75E8"/>
    <w:rsid w:val="0E3D2E6B"/>
    <w:rsid w:val="0E3E2AEB"/>
    <w:rsid w:val="0E3F056D"/>
    <w:rsid w:val="0E3F636E"/>
    <w:rsid w:val="0E401CB6"/>
    <w:rsid w:val="0E403DF0"/>
    <w:rsid w:val="0E411871"/>
    <w:rsid w:val="0E412690"/>
    <w:rsid w:val="0E413A70"/>
    <w:rsid w:val="0E4214F1"/>
    <w:rsid w:val="0E4272F3"/>
    <w:rsid w:val="0E4449F4"/>
    <w:rsid w:val="0E452476"/>
    <w:rsid w:val="0E455CF9"/>
    <w:rsid w:val="0E461615"/>
    <w:rsid w:val="0E46377B"/>
    <w:rsid w:val="0E4711FC"/>
    <w:rsid w:val="0E4768C0"/>
    <w:rsid w:val="0E477E26"/>
    <w:rsid w:val="0E480C16"/>
    <w:rsid w:val="0E4833FA"/>
    <w:rsid w:val="0E487ABB"/>
    <w:rsid w:val="0E4946FF"/>
    <w:rsid w:val="0E4A2181"/>
    <w:rsid w:val="0E4B13B1"/>
    <w:rsid w:val="0E4B1576"/>
    <w:rsid w:val="0E4B437F"/>
    <w:rsid w:val="0E4B7C02"/>
    <w:rsid w:val="0E4C5684"/>
    <w:rsid w:val="0E4D368D"/>
    <w:rsid w:val="0E4F2D85"/>
    <w:rsid w:val="0E500807"/>
    <w:rsid w:val="0E511B0C"/>
    <w:rsid w:val="0E523D0A"/>
    <w:rsid w:val="0E52758D"/>
    <w:rsid w:val="0E53500F"/>
    <w:rsid w:val="0E5378BC"/>
    <w:rsid w:val="0E5400D2"/>
    <w:rsid w:val="0E54531A"/>
    <w:rsid w:val="0E552710"/>
    <w:rsid w:val="0E554C8F"/>
    <w:rsid w:val="0E562298"/>
    <w:rsid w:val="0E5721EA"/>
    <w:rsid w:val="0E575C13"/>
    <w:rsid w:val="0E581497"/>
    <w:rsid w:val="0E582F4D"/>
    <w:rsid w:val="0E591116"/>
    <w:rsid w:val="0E596F18"/>
    <w:rsid w:val="0E5A6B98"/>
    <w:rsid w:val="0E5B4619"/>
    <w:rsid w:val="0E5B4EA0"/>
    <w:rsid w:val="0E5B5064"/>
    <w:rsid w:val="0E5C209B"/>
    <w:rsid w:val="0E5C7E9D"/>
    <w:rsid w:val="0E5D33A0"/>
    <w:rsid w:val="0E5D717C"/>
    <w:rsid w:val="0E5E559E"/>
    <w:rsid w:val="0E5E7992"/>
    <w:rsid w:val="0E5F68A3"/>
    <w:rsid w:val="0E604325"/>
    <w:rsid w:val="0E627828"/>
    <w:rsid w:val="0E6331E7"/>
    <w:rsid w:val="0E642D2B"/>
    <w:rsid w:val="0E6454B7"/>
    <w:rsid w:val="0E651252"/>
    <w:rsid w:val="0E654555"/>
    <w:rsid w:val="0E65475F"/>
    <w:rsid w:val="0E663E6E"/>
    <w:rsid w:val="0E66622E"/>
    <w:rsid w:val="0E681731"/>
    <w:rsid w:val="0E697416"/>
    <w:rsid w:val="0E6A4ABA"/>
    <w:rsid w:val="0E6A4C34"/>
    <w:rsid w:val="0E6B1369"/>
    <w:rsid w:val="0E6B26B6"/>
    <w:rsid w:val="0E6C0137"/>
    <w:rsid w:val="0E6D2AA6"/>
    <w:rsid w:val="0E6F10BC"/>
    <w:rsid w:val="0E706B3D"/>
    <w:rsid w:val="0E7143C9"/>
    <w:rsid w:val="0E726137"/>
    <w:rsid w:val="0E73034D"/>
    <w:rsid w:val="0E736B7C"/>
    <w:rsid w:val="0E750A47"/>
    <w:rsid w:val="0E752FC5"/>
    <w:rsid w:val="0E760C28"/>
    <w:rsid w:val="0E7664C8"/>
    <w:rsid w:val="0E7717C7"/>
    <w:rsid w:val="0E772366"/>
    <w:rsid w:val="0E773F4A"/>
    <w:rsid w:val="0E7819CB"/>
    <w:rsid w:val="0E782F04"/>
    <w:rsid w:val="0E7938DE"/>
    <w:rsid w:val="0E79524F"/>
    <w:rsid w:val="0E7A4ECE"/>
    <w:rsid w:val="0E7B0752"/>
    <w:rsid w:val="0E7D16D6"/>
    <w:rsid w:val="0E7D3C55"/>
    <w:rsid w:val="0E7D63D0"/>
    <w:rsid w:val="0E7E6171"/>
    <w:rsid w:val="0E7E7133"/>
    <w:rsid w:val="0E7F4BD9"/>
    <w:rsid w:val="0E802627"/>
    <w:rsid w:val="0E80265B"/>
    <w:rsid w:val="0E802CFD"/>
    <w:rsid w:val="0E803068"/>
    <w:rsid w:val="0E811086"/>
    <w:rsid w:val="0E811F50"/>
    <w:rsid w:val="0E812106"/>
    <w:rsid w:val="0E821C25"/>
    <w:rsid w:val="0E8222DB"/>
    <w:rsid w:val="0E825B5E"/>
    <w:rsid w:val="0E8335E0"/>
    <w:rsid w:val="0E837D5C"/>
    <w:rsid w:val="0E84319E"/>
    <w:rsid w:val="0E843362"/>
    <w:rsid w:val="0E856AE3"/>
    <w:rsid w:val="0E860CE1"/>
    <w:rsid w:val="0E864564"/>
    <w:rsid w:val="0E864717"/>
    <w:rsid w:val="0E871FE6"/>
    <w:rsid w:val="0E876762"/>
    <w:rsid w:val="0E8841E4"/>
    <w:rsid w:val="0E8869F3"/>
    <w:rsid w:val="0E887A67"/>
    <w:rsid w:val="0E8954E9"/>
    <w:rsid w:val="0E896D1D"/>
    <w:rsid w:val="0E8A2F6A"/>
    <w:rsid w:val="0E8A76E7"/>
    <w:rsid w:val="0E8B09EC"/>
    <w:rsid w:val="0E8C2BEA"/>
    <w:rsid w:val="0E8C646E"/>
    <w:rsid w:val="0E8D1EBF"/>
    <w:rsid w:val="0E8E1971"/>
    <w:rsid w:val="0E8E3B6F"/>
    <w:rsid w:val="0E8F43C2"/>
    <w:rsid w:val="0E8F4C4E"/>
    <w:rsid w:val="0E8F73F2"/>
    <w:rsid w:val="0E903460"/>
    <w:rsid w:val="0E90419B"/>
    <w:rsid w:val="0E914EA6"/>
    <w:rsid w:val="0E920377"/>
    <w:rsid w:val="0E92554F"/>
    <w:rsid w:val="0E9346B0"/>
    <w:rsid w:val="0E9360EE"/>
    <w:rsid w:val="0E937FF7"/>
    <w:rsid w:val="0E94387A"/>
    <w:rsid w:val="0E945A78"/>
    <w:rsid w:val="0E9512FB"/>
    <w:rsid w:val="0E960F7B"/>
    <w:rsid w:val="0E9824E1"/>
    <w:rsid w:val="0E98447E"/>
    <w:rsid w:val="0E987D02"/>
    <w:rsid w:val="0E991F00"/>
    <w:rsid w:val="0E9B0C86"/>
    <w:rsid w:val="0E9C4E0F"/>
    <w:rsid w:val="0E9D5B72"/>
    <w:rsid w:val="0E9D7276"/>
    <w:rsid w:val="0E9E1C0B"/>
    <w:rsid w:val="0E9E6388"/>
    <w:rsid w:val="0E9E654C"/>
    <w:rsid w:val="0E9F3E09"/>
    <w:rsid w:val="0EA10664"/>
    <w:rsid w:val="0EA11202"/>
    <w:rsid w:val="0EA12B90"/>
    <w:rsid w:val="0EA20611"/>
    <w:rsid w:val="0EA21BDD"/>
    <w:rsid w:val="0EA24D8E"/>
    <w:rsid w:val="0EA3280F"/>
    <w:rsid w:val="0EA53794"/>
    <w:rsid w:val="0EA67017"/>
    <w:rsid w:val="0EA74A99"/>
    <w:rsid w:val="0EA7526D"/>
    <w:rsid w:val="0EA8251A"/>
    <w:rsid w:val="0EA84719"/>
    <w:rsid w:val="0EA92EB4"/>
    <w:rsid w:val="0EA967E6"/>
    <w:rsid w:val="0EA969AA"/>
    <w:rsid w:val="0EAA5A1E"/>
    <w:rsid w:val="0EAB2494"/>
    <w:rsid w:val="0EAB2B6B"/>
    <w:rsid w:val="0EAB569D"/>
    <w:rsid w:val="0EAC0F21"/>
    <w:rsid w:val="0EAC137C"/>
    <w:rsid w:val="0EAC189D"/>
    <w:rsid w:val="0EAC311F"/>
    <w:rsid w:val="0EAD0BA0"/>
    <w:rsid w:val="0EAD4424"/>
    <w:rsid w:val="0EAE1EA5"/>
    <w:rsid w:val="0EAF40A4"/>
    <w:rsid w:val="0EB01B25"/>
    <w:rsid w:val="0EB12E2A"/>
    <w:rsid w:val="0EB175A7"/>
    <w:rsid w:val="0EB208AB"/>
    <w:rsid w:val="0EB2797B"/>
    <w:rsid w:val="0EB32AAA"/>
    <w:rsid w:val="0EB3632D"/>
    <w:rsid w:val="0EB46C44"/>
    <w:rsid w:val="0EB51830"/>
    <w:rsid w:val="0EB55FAD"/>
    <w:rsid w:val="0EB601BD"/>
    <w:rsid w:val="0EB60381"/>
    <w:rsid w:val="0EB672B2"/>
    <w:rsid w:val="0EB81736"/>
    <w:rsid w:val="0EB90236"/>
    <w:rsid w:val="0EBA2435"/>
    <w:rsid w:val="0EBA5CB8"/>
    <w:rsid w:val="0EBB2DAD"/>
    <w:rsid w:val="0EBB3739"/>
    <w:rsid w:val="0EBB7EB6"/>
    <w:rsid w:val="0EBC0C50"/>
    <w:rsid w:val="0EBD33B9"/>
    <w:rsid w:val="0EBE46BE"/>
    <w:rsid w:val="0EBE68BC"/>
    <w:rsid w:val="0EBF2140"/>
    <w:rsid w:val="0EBF433E"/>
    <w:rsid w:val="0EC07BC1"/>
    <w:rsid w:val="0EC107E0"/>
    <w:rsid w:val="0EC252C3"/>
    <w:rsid w:val="0EC30B46"/>
    <w:rsid w:val="0EC32D44"/>
    <w:rsid w:val="0EC407C6"/>
    <w:rsid w:val="0EC465C7"/>
    <w:rsid w:val="0EC51ACA"/>
    <w:rsid w:val="0EC54049"/>
    <w:rsid w:val="0EC63CAC"/>
    <w:rsid w:val="0EC6754C"/>
    <w:rsid w:val="0EC74FCE"/>
    <w:rsid w:val="0EC853E9"/>
    <w:rsid w:val="0EC870E3"/>
    <w:rsid w:val="0EC95C60"/>
    <w:rsid w:val="0EC95DC3"/>
    <w:rsid w:val="0ECA5069"/>
    <w:rsid w:val="0ECB3177"/>
    <w:rsid w:val="0ECC1455"/>
    <w:rsid w:val="0ECD6ED7"/>
    <w:rsid w:val="0ECE4958"/>
    <w:rsid w:val="0ECF23DA"/>
    <w:rsid w:val="0ECF2B91"/>
    <w:rsid w:val="0ED0356B"/>
    <w:rsid w:val="0ED1410A"/>
    <w:rsid w:val="0ED30DE0"/>
    <w:rsid w:val="0ED46862"/>
    <w:rsid w:val="0ED61D65"/>
    <w:rsid w:val="0ED73949"/>
    <w:rsid w:val="0ED777E6"/>
    <w:rsid w:val="0ED818B2"/>
    <w:rsid w:val="0ED92450"/>
    <w:rsid w:val="0EDA076B"/>
    <w:rsid w:val="0EDA2E2B"/>
    <w:rsid w:val="0EDC3C6E"/>
    <w:rsid w:val="0EDD16F0"/>
    <w:rsid w:val="0EDE5AE1"/>
    <w:rsid w:val="0EDF0476"/>
    <w:rsid w:val="0EE05EF8"/>
    <w:rsid w:val="0EE205D3"/>
    <w:rsid w:val="0EE235F9"/>
    <w:rsid w:val="0EE3107B"/>
    <w:rsid w:val="0EE31171"/>
    <w:rsid w:val="0EE36E7C"/>
    <w:rsid w:val="0EE41B4B"/>
    <w:rsid w:val="0EE46AFC"/>
    <w:rsid w:val="0EE53EE8"/>
    <w:rsid w:val="0EE5457E"/>
    <w:rsid w:val="0EE61FFF"/>
    <w:rsid w:val="0EE66792"/>
    <w:rsid w:val="0EE67E01"/>
    <w:rsid w:val="0EE73304"/>
    <w:rsid w:val="0EE74802"/>
    <w:rsid w:val="0EE851DC"/>
    <w:rsid w:val="0EE853A0"/>
    <w:rsid w:val="0EE96807"/>
    <w:rsid w:val="0EEA4289"/>
    <w:rsid w:val="0EEB1D0A"/>
    <w:rsid w:val="0EEB72F3"/>
    <w:rsid w:val="0EEC3F08"/>
    <w:rsid w:val="0EEC778C"/>
    <w:rsid w:val="0EEC7E92"/>
    <w:rsid w:val="0EED198A"/>
    <w:rsid w:val="0EEE740C"/>
    <w:rsid w:val="0EEF0710"/>
    <w:rsid w:val="0EEF4E8D"/>
    <w:rsid w:val="0EF0290F"/>
    <w:rsid w:val="0EF02B48"/>
    <w:rsid w:val="0EF25E12"/>
    <w:rsid w:val="0EF34A9B"/>
    <w:rsid w:val="0EF3635A"/>
    <w:rsid w:val="0EF37117"/>
    <w:rsid w:val="0EF45C83"/>
    <w:rsid w:val="0EF56D77"/>
    <w:rsid w:val="0EF56D96"/>
    <w:rsid w:val="0EF6009B"/>
    <w:rsid w:val="0EF6229A"/>
    <w:rsid w:val="0EF64818"/>
    <w:rsid w:val="0EF67916"/>
    <w:rsid w:val="0EF702F0"/>
    <w:rsid w:val="0EF77D1B"/>
    <w:rsid w:val="0EF8359E"/>
    <w:rsid w:val="0EF8579D"/>
    <w:rsid w:val="0EF91020"/>
    <w:rsid w:val="0EF91A2E"/>
    <w:rsid w:val="0EF9321E"/>
    <w:rsid w:val="0EFA0CA0"/>
    <w:rsid w:val="0EFB2FA6"/>
    <w:rsid w:val="0EFB6721"/>
    <w:rsid w:val="0EFC1FA5"/>
    <w:rsid w:val="0EFC3981"/>
    <w:rsid w:val="0EFD1C24"/>
    <w:rsid w:val="0EFD7A26"/>
    <w:rsid w:val="0EFE2F29"/>
    <w:rsid w:val="0EFF09AB"/>
    <w:rsid w:val="0EFF5127"/>
    <w:rsid w:val="0F00642C"/>
    <w:rsid w:val="0F01062B"/>
    <w:rsid w:val="0F013EAE"/>
    <w:rsid w:val="0F017011"/>
    <w:rsid w:val="0F02058A"/>
    <w:rsid w:val="0F020616"/>
    <w:rsid w:val="0F02192F"/>
    <w:rsid w:val="0F0312ED"/>
    <w:rsid w:val="0F0373B1"/>
    <w:rsid w:val="0F037BD4"/>
    <w:rsid w:val="0F0415AF"/>
    <w:rsid w:val="0F046C72"/>
    <w:rsid w:val="0F052866"/>
    <w:rsid w:val="0F0528B4"/>
    <w:rsid w:val="0F057031"/>
    <w:rsid w:val="0F063240"/>
    <w:rsid w:val="0F064AB2"/>
    <w:rsid w:val="0F072534"/>
    <w:rsid w:val="0F073DDF"/>
    <w:rsid w:val="0F075DB7"/>
    <w:rsid w:val="0F08497D"/>
    <w:rsid w:val="0F095A37"/>
    <w:rsid w:val="0F0B0F3A"/>
    <w:rsid w:val="0F0C3455"/>
    <w:rsid w:val="0F0D000E"/>
    <w:rsid w:val="0F0D6145"/>
    <w:rsid w:val="0F0E1EBF"/>
    <w:rsid w:val="0F0E5742"/>
    <w:rsid w:val="0F0E7940"/>
    <w:rsid w:val="0F0F31C4"/>
    <w:rsid w:val="0F102FA9"/>
    <w:rsid w:val="0F1108C5"/>
    <w:rsid w:val="0F1166C7"/>
    <w:rsid w:val="0F1217BA"/>
    <w:rsid w:val="0F124148"/>
    <w:rsid w:val="0F12423D"/>
    <w:rsid w:val="0F126346"/>
    <w:rsid w:val="0F131BCA"/>
    <w:rsid w:val="0F133DC8"/>
    <w:rsid w:val="0F13775A"/>
    <w:rsid w:val="0F14184A"/>
    <w:rsid w:val="0F1550CD"/>
    <w:rsid w:val="0F1572CB"/>
    <w:rsid w:val="0F1605D0"/>
    <w:rsid w:val="0F162B4E"/>
    <w:rsid w:val="0F164D4D"/>
    <w:rsid w:val="0F176051"/>
    <w:rsid w:val="0F183AD3"/>
    <w:rsid w:val="0F191555"/>
    <w:rsid w:val="0F195CD1"/>
    <w:rsid w:val="0F1A3753"/>
    <w:rsid w:val="0F1B23BF"/>
    <w:rsid w:val="0F1C24D9"/>
    <w:rsid w:val="0F1C6C56"/>
    <w:rsid w:val="0F1D44D7"/>
    <w:rsid w:val="0F1D46D8"/>
    <w:rsid w:val="0F1E2159"/>
    <w:rsid w:val="0F1E4EB1"/>
    <w:rsid w:val="0F1E59DC"/>
    <w:rsid w:val="0F2024D3"/>
    <w:rsid w:val="0F203F97"/>
    <w:rsid w:val="0F20565C"/>
    <w:rsid w:val="0F216961"/>
    <w:rsid w:val="0F2227A9"/>
    <w:rsid w:val="0F2243E3"/>
    <w:rsid w:val="0F231E64"/>
    <w:rsid w:val="0F2412A4"/>
    <w:rsid w:val="0F2478E6"/>
    <w:rsid w:val="0F251C7F"/>
    <w:rsid w:val="0F26281D"/>
    <w:rsid w:val="0F262DE9"/>
    <w:rsid w:val="0F267565"/>
    <w:rsid w:val="0F283D96"/>
    <w:rsid w:val="0F293D6D"/>
    <w:rsid w:val="0F295F6C"/>
    <w:rsid w:val="0F2A17EF"/>
    <w:rsid w:val="0F2A530F"/>
    <w:rsid w:val="0F2B146F"/>
    <w:rsid w:val="0F2B7270"/>
    <w:rsid w:val="0F2C4CF2"/>
    <w:rsid w:val="0F2C7427"/>
    <w:rsid w:val="0F2D7E01"/>
    <w:rsid w:val="0F2E5C77"/>
    <w:rsid w:val="0F2E6C95"/>
    <w:rsid w:val="0F2F36F8"/>
    <w:rsid w:val="0F30117A"/>
    <w:rsid w:val="0F301F18"/>
    <w:rsid w:val="0F316BFB"/>
    <w:rsid w:val="0F3320FE"/>
    <w:rsid w:val="0F3341F4"/>
    <w:rsid w:val="0F355602"/>
    <w:rsid w:val="0F370B05"/>
    <w:rsid w:val="0F376EAB"/>
    <w:rsid w:val="0F387885"/>
    <w:rsid w:val="0F394008"/>
    <w:rsid w:val="0F3A199C"/>
    <w:rsid w:val="0F3A1A89"/>
    <w:rsid w:val="0F3B2377"/>
    <w:rsid w:val="0F3B750B"/>
    <w:rsid w:val="0F3C4F8C"/>
    <w:rsid w:val="0F3D2A0E"/>
    <w:rsid w:val="0F3E4653"/>
    <w:rsid w:val="0F3F7763"/>
    <w:rsid w:val="0F403993"/>
    <w:rsid w:val="0F405BCB"/>
    <w:rsid w:val="0F426E96"/>
    <w:rsid w:val="0F434917"/>
    <w:rsid w:val="0F442399"/>
    <w:rsid w:val="0F45369E"/>
    <w:rsid w:val="0F457E1A"/>
    <w:rsid w:val="0F46111F"/>
    <w:rsid w:val="0F46331D"/>
    <w:rsid w:val="0F470D9F"/>
    <w:rsid w:val="0F4731AF"/>
    <w:rsid w:val="0F483D4E"/>
    <w:rsid w:val="0F486821"/>
    <w:rsid w:val="0F4920A4"/>
    <w:rsid w:val="0F497356"/>
    <w:rsid w:val="0F4A5C7C"/>
    <w:rsid w:val="0F4A7B25"/>
    <w:rsid w:val="0F4B55A7"/>
    <w:rsid w:val="0F4B77A5"/>
    <w:rsid w:val="0F4C3028"/>
    <w:rsid w:val="0F4C5227"/>
    <w:rsid w:val="0F4D22AC"/>
    <w:rsid w:val="0F4D75A3"/>
    <w:rsid w:val="0F4E072A"/>
    <w:rsid w:val="0F4E3FAD"/>
    <w:rsid w:val="0F4E652C"/>
    <w:rsid w:val="0F4F0B1B"/>
    <w:rsid w:val="0F4F1A2F"/>
    <w:rsid w:val="0F4F61AB"/>
    <w:rsid w:val="0F503C2D"/>
    <w:rsid w:val="0F5074B0"/>
    <w:rsid w:val="0F5116AE"/>
    <w:rsid w:val="0F522A6F"/>
    <w:rsid w:val="0F522C33"/>
    <w:rsid w:val="0F525316"/>
    <w:rsid w:val="0F530435"/>
    <w:rsid w:val="0F53360D"/>
    <w:rsid w:val="0F534BB2"/>
    <w:rsid w:val="0F542633"/>
    <w:rsid w:val="0F544B86"/>
    <w:rsid w:val="0F545EB6"/>
    <w:rsid w:val="0F565B36"/>
    <w:rsid w:val="0F581039"/>
    <w:rsid w:val="0F5848BD"/>
    <w:rsid w:val="0F587009"/>
    <w:rsid w:val="0F58783C"/>
    <w:rsid w:val="0F59233E"/>
    <w:rsid w:val="0F596ABB"/>
    <w:rsid w:val="0F5A5BA1"/>
    <w:rsid w:val="0F5A7DC0"/>
    <w:rsid w:val="0F5B1FBE"/>
    <w:rsid w:val="0F5B4A89"/>
    <w:rsid w:val="0F5B5841"/>
    <w:rsid w:val="0F5C24F2"/>
    <w:rsid w:val="0F5C4047"/>
    <w:rsid w:val="0F5D2ECD"/>
    <w:rsid w:val="0F5D3091"/>
    <w:rsid w:val="0F5E2F43"/>
    <w:rsid w:val="0F5E3A6B"/>
    <w:rsid w:val="0F5E67C6"/>
    <w:rsid w:val="0F5F09C4"/>
    <w:rsid w:val="0F5F45FE"/>
    <w:rsid w:val="0F5F6446"/>
    <w:rsid w:val="0F601CC9"/>
    <w:rsid w:val="0F603EC7"/>
    <w:rsid w:val="0F611659"/>
    <w:rsid w:val="0F6159BE"/>
    <w:rsid w:val="0F61774B"/>
    <w:rsid w:val="0F6251CC"/>
    <w:rsid w:val="0F6270FC"/>
    <w:rsid w:val="0F6273CA"/>
    <w:rsid w:val="0F6406CF"/>
    <w:rsid w:val="0F6428CD"/>
    <w:rsid w:val="0F65034F"/>
    <w:rsid w:val="0F663BD2"/>
    <w:rsid w:val="0F67278C"/>
    <w:rsid w:val="0F673852"/>
    <w:rsid w:val="0F6770D5"/>
    <w:rsid w:val="0F6806E9"/>
    <w:rsid w:val="0F6812D4"/>
    <w:rsid w:val="0F68332B"/>
    <w:rsid w:val="0F6925D8"/>
    <w:rsid w:val="0F697CA7"/>
    <w:rsid w:val="0F6B2258"/>
    <w:rsid w:val="0F6C4AA9"/>
    <w:rsid w:val="0F6D0FDF"/>
    <w:rsid w:val="0F6E7396"/>
    <w:rsid w:val="0F6F0AD3"/>
    <w:rsid w:val="0F6F0C5E"/>
    <w:rsid w:val="0F6F44E2"/>
    <w:rsid w:val="0F7066E0"/>
    <w:rsid w:val="0F7179E5"/>
    <w:rsid w:val="0F721BE3"/>
    <w:rsid w:val="0F722BEA"/>
    <w:rsid w:val="0F725466"/>
    <w:rsid w:val="0F732EE8"/>
    <w:rsid w:val="0F7335C5"/>
    <w:rsid w:val="0F733789"/>
    <w:rsid w:val="0F752B68"/>
    <w:rsid w:val="0F7563EB"/>
    <w:rsid w:val="0F7605E9"/>
    <w:rsid w:val="0F76123D"/>
    <w:rsid w:val="0F763E6D"/>
    <w:rsid w:val="0F773AEC"/>
    <w:rsid w:val="0F77627B"/>
    <w:rsid w:val="0F78156E"/>
    <w:rsid w:val="0F786C55"/>
    <w:rsid w:val="0F7977F4"/>
    <w:rsid w:val="0F7A0392"/>
    <w:rsid w:val="0F7A2873"/>
    <w:rsid w:val="0F7A4A71"/>
    <w:rsid w:val="0F7D3049"/>
    <w:rsid w:val="0F7D37F7"/>
    <w:rsid w:val="0F7E1279"/>
    <w:rsid w:val="0F8021FE"/>
    <w:rsid w:val="0F80697A"/>
    <w:rsid w:val="0F815B3A"/>
    <w:rsid w:val="0F817C7F"/>
    <w:rsid w:val="0F821E7D"/>
    <w:rsid w:val="0F825701"/>
    <w:rsid w:val="0F826515"/>
    <w:rsid w:val="0F833182"/>
    <w:rsid w:val="0F8378FF"/>
    <w:rsid w:val="0F840C04"/>
    <w:rsid w:val="0F845381"/>
    <w:rsid w:val="0F85062C"/>
    <w:rsid w:val="0F8507F1"/>
    <w:rsid w:val="0F852E02"/>
    <w:rsid w:val="0F860884"/>
    <w:rsid w:val="0F864107"/>
    <w:rsid w:val="0F873CFF"/>
    <w:rsid w:val="0F882D9D"/>
    <w:rsid w:val="0F883D87"/>
    <w:rsid w:val="0F891808"/>
    <w:rsid w:val="0F8A4A20"/>
    <w:rsid w:val="0F8A728A"/>
    <w:rsid w:val="0F8B058F"/>
    <w:rsid w:val="0F8C278D"/>
    <w:rsid w:val="0F8C5F99"/>
    <w:rsid w:val="0F8C6010"/>
    <w:rsid w:val="0F8D22CE"/>
    <w:rsid w:val="0F8D6973"/>
    <w:rsid w:val="0F8D6B37"/>
    <w:rsid w:val="0F8E5C90"/>
    <w:rsid w:val="0F8F1193"/>
    <w:rsid w:val="0F8F6F95"/>
    <w:rsid w:val="0F900C4F"/>
    <w:rsid w:val="0F902CCD"/>
    <w:rsid w:val="0F906C15"/>
    <w:rsid w:val="0F912498"/>
    <w:rsid w:val="0F927F1A"/>
    <w:rsid w:val="0F950E9E"/>
    <w:rsid w:val="0F95411B"/>
    <w:rsid w:val="0F9542DF"/>
    <w:rsid w:val="0F955E06"/>
    <w:rsid w:val="0F966920"/>
    <w:rsid w:val="0F971E23"/>
    <w:rsid w:val="0F9743A1"/>
    <w:rsid w:val="0F9763F7"/>
    <w:rsid w:val="0F9A112B"/>
    <w:rsid w:val="0F9A2DA7"/>
    <w:rsid w:val="0F9B0829"/>
    <w:rsid w:val="0F9B0EE8"/>
    <w:rsid w:val="0F9C1A87"/>
    <w:rsid w:val="0F9C62AB"/>
    <w:rsid w:val="0F9D3D2C"/>
    <w:rsid w:val="0F9E24FD"/>
    <w:rsid w:val="0F9E3000"/>
    <w:rsid w:val="0F9F722F"/>
    <w:rsid w:val="0FA04CB1"/>
    <w:rsid w:val="0FA12732"/>
    <w:rsid w:val="0FA31024"/>
    <w:rsid w:val="0FA316FB"/>
    <w:rsid w:val="0FA318B0"/>
    <w:rsid w:val="0FA35C35"/>
    <w:rsid w:val="0FA4042D"/>
    <w:rsid w:val="0FA405E3"/>
    <w:rsid w:val="0FA61347"/>
    <w:rsid w:val="0FA7463C"/>
    <w:rsid w:val="0FA826FB"/>
    <w:rsid w:val="0FAA55C0"/>
    <w:rsid w:val="0FAB3042"/>
    <w:rsid w:val="0FAB49D7"/>
    <w:rsid w:val="0FAB68C5"/>
    <w:rsid w:val="0FAC5576"/>
    <w:rsid w:val="0FAD2AD0"/>
    <w:rsid w:val="0FAD6545"/>
    <w:rsid w:val="0FAE3FC6"/>
    <w:rsid w:val="0FAF1A48"/>
    <w:rsid w:val="0FAF52CB"/>
    <w:rsid w:val="0FB00067"/>
    <w:rsid w:val="0FB02D4D"/>
    <w:rsid w:val="0FB129CD"/>
    <w:rsid w:val="0FB14DA3"/>
    <w:rsid w:val="0FB215E0"/>
    <w:rsid w:val="0FB2312B"/>
    <w:rsid w:val="0FB26250"/>
    <w:rsid w:val="0FB31FBB"/>
    <w:rsid w:val="0FB35ED0"/>
    <w:rsid w:val="0FB436F8"/>
    <w:rsid w:val="0FB571D5"/>
    <w:rsid w:val="0FB64E35"/>
    <w:rsid w:val="0FB70159"/>
    <w:rsid w:val="0FB82358"/>
    <w:rsid w:val="0FB85BDB"/>
    <w:rsid w:val="0FB97DD9"/>
    <w:rsid w:val="0FBB32DC"/>
    <w:rsid w:val="0FBB6B5F"/>
    <w:rsid w:val="0FBC0D5E"/>
    <w:rsid w:val="0FBD67DF"/>
    <w:rsid w:val="0FBE7AE4"/>
    <w:rsid w:val="0FBF1CE2"/>
    <w:rsid w:val="0FBF5566"/>
    <w:rsid w:val="0FC02FE7"/>
    <w:rsid w:val="0FC05908"/>
    <w:rsid w:val="0FC05ABE"/>
    <w:rsid w:val="0FC07764"/>
    <w:rsid w:val="0FC10A69"/>
    <w:rsid w:val="0FC147F0"/>
    <w:rsid w:val="0FC150CF"/>
    <w:rsid w:val="0FC151E5"/>
    <w:rsid w:val="0FC24485"/>
    <w:rsid w:val="0FC25C6E"/>
    <w:rsid w:val="0FC264EA"/>
    <w:rsid w:val="0FC306E9"/>
    <w:rsid w:val="0FC33F6C"/>
    <w:rsid w:val="0FC344B6"/>
    <w:rsid w:val="0FC36648"/>
    <w:rsid w:val="0FC4616A"/>
    <w:rsid w:val="0FC53BEC"/>
    <w:rsid w:val="0FC5746F"/>
    <w:rsid w:val="0FC6075F"/>
    <w:rsid w:val="0FC64A2E"/>
    <w:rsid w:val="0FC64EF0"/>
    <w:rsid w:val="0FC712FE"/>
    <w:rsid w:val="0FC81CD8"/>
    <w:rsid w:val="0FC825F2"/>
    <w:rsid w:val="0FC83354"/>
    <w:rsid w:val="0FC84B70"/>
    <w:rsid w:val="0FC95E75"/>
    <w:rsid w:val="0FCB3577"/>
    <w:rsid w:val="0FCC0FF8"/>
    <w:rsid w:val="0FCC47CA"/>
    <w:rsid w:val="0FCD6A7A"/>
    <w:rsid w:val="0FCE0CDD"/>
    <w:rsid w:val="0FCF68E2"/>
    <w:rsid w:val="0FCF6AA6"/>
    <w:rsid w:val="0FCF7D7E"/>
    <w:rsid w:val="0FD05800"/>
    <w:rsid w:val="0FD109F9"/>
    <w:rsid w:val="0FD10D03"/>
    <w:rsid w:val="0FD15480"/>
    <w:rsid w:val="0FD2175C"/>
    <w:rsid w:val="0FD22F01"/>
    <w:rsid w:val="0FD26785"/>
    <w:rsid w:val="0FD3043D"/>
    <w:rsid w:val="0FD30983"/>
    <w:rsid w:val="0FD32136"/>
    <w:rsid w:val="0FD46404"/>
    <w:rsid w:val="0FD53874"/>
    <w:rsid w:val="0FD53E86"/>
    <w:rsid w:val="0FD57709"/>
    <w:rsid w:val="0FD6518B"/>
    <w:rsid w:val="0FD72C0C"/>
    <w:rsid w:val="0FD74DED"/>
    <w:rsid w:val="0FD77389"/>
    <w:rsid w:val="0FD8068E"/>
    <w:rsid w:val="0FD83AFF"/>
    <w:rsid w:val="0FD84E0B"/>
    <w:rsid w:val="0FD9610F"/>
    <w:rsid w:val="0FDA030E"/>
    <w:rsid w:val="0FDC02B9"/>
    <w:rsid w:val="0FDD1292"/>
    <w:rsid w:val="0FDD4B16"/>
    <w:rsid w:val="0FDE15F5"/>
    <w:rsid w:val="0FDE23D0"/>
    <w:rsid w:val="0FDE2595"/>
    <w:rsid w:val="0FDE6D14"/>
    <w:rsid w:val="0FDF0019"/>
    <w:rsid w:val="0FDF2F6F"/>
    <w:rsid w:val="0FE02217"/>
    <w:rsid w:val="0FE05A9A"/>
    <w:rsid w:val="0FE07C99"/>
    <w:rsid w:val="0FE144E8"/>
    <w:rsid w:val="0FE1571A"/>
    <w:rsid w:val="0FE20F9D"/>
    <w:rsid w:val="0FE30C1D"/>
    <w:rsid w:val="0FE36A1F"/>
    <w:rsid w:val="0FE51F22"/>
    <w:rsid w:val="0FE5719E"/>
    <w:rsid w:val="0FE61BA2"/>
    <w:rsid w:val="0FE67B78"/>
    <w:rsid w:val="0FE70717"/>
    <w:rsid w:val="0FE75425"/>
    <w:rsid w:val="0FE80928"/>
    <w:rsid w:val="0FE82EA7"/>
    <w:rsid w:val="0FE850A5"/>
    <w:rsid w:val="0FE963AA"/>
    <w:rsid w:val="0FEA05A8"/>
    <w:rsid w:val="0FEB18AD"/>
    <w:rsid w:val="0FEC732E"/>
    <w:rsid w:val="0FED152D"/>
    <w:rsid w:val="0FED3546"/>
    <w:rsid w:val="0FED54E5"/>
    <w:rsid w:val="0FEE2832"/>
    <w:rsid w:val="0FEE6083"/>
    <w:rsid w:val="0FEE6FAE"/>
    <w:rsid w:val="0FEF02B3"/>
    <w:rsid w:val="0FEF4A30"/>
    <w:rsid w:val="0FF05D35"/>
    <w:rsid w:val="0FF07438"/>
    <w:rsid w:val="0FF1019B"/>
    <w:rsid w:val="0FF137B6"/>
    <w:rsid w:val="0FF20B75"/>
    <w:rsid w:val="0FF21238"/>
    <w:rsid w:val="0FF259B5"/>
    <w:rsid w:val="0FF36CB9"/>
    <w:rsid w:val="0FF40EB8"/>
    <w:rsid w:val="0FF4473B"/>
    <w:rsid w:val="0FF71E3C"/>
    <w:rsid w:val="0FF74205"/>
    <w:rsid w:val="0FF756C0"/>
    <w:rsid w:val="0FF83141"/>
    <w:rsid w:val="0FF84BE0"/>
    <w:rsid w:val="0FF84DA4"/>
    <w:rsid w:val="0FF878BE"/>
    <w:rsid w:val="0FF97D9D"/>
    <w:rsid w:val="0FFA6CF7"/>
    <w:rsid w:val="0FFB65AF"/>
    <w:rsid w:val="0FFB7896"/>
    <w:rsid w:val="0FFC1B47"/>
    <w:rsid w:val="0FFE19AD"/>
    <w:rsid w:val="0FFE504A"/>
    <w:rsid w:val="0FFF254C"/>
    <w:rsid w:val="0FFF2ACC"/>
    <w:rsid w:val="10013A51"/>
    <w:rsid w:val="10013AC5"/>
    <w:rsid w:val="10036F54"/>
    <w:rsid w:val="10045BDC"/>
    <w:rsid w:val="1005677B"/>
    <w:rsid w:val="10063231"/>
    <w:rsid w:val="10070893"/>
    <w:rsid w:val="1008126D"/>
    <w:rsid w:val="1008257A"/>
    <w:rsid w:val="10091C47"/>
    <w:rsid w:val="100A06B6"/>
    <w:rsid w:val="100A0A21"/>
    <w:rsid w:val="100A68DF"/>
    <w:rsid w:val="100B4360"/>
    <w:rsid w:val="100C1DE2"/>
    <w:rsid w:val="100C3F23"/>
    <w:rsid w:val="100C7BBE"/>
    <w:rsid w:val="100D7863"/>
    <w:rsid w:val="100E52E5"/>
    <w:rsid w:val="100E549C"/>
    <w:rsid w:val="10106A15"/>
    <w:rsid w:val="10111AED"/>
    <w:rsid w:val="1012756E"/>
    <w:rsid w:val="101420A5"/>
    <w:rsid w:val="1014226A"/>
    <w:rsid w:val="101471EE"/>
    <w:rsid w:val="101504F3"/>
    <w:rsid w:val="10154C70"/>
    <w:rsid w:val="101626F1"/>
    <w:rsid w:val="101637E3"/>
    <w:rsid w:val="10165F74"/>
    <w:rsid w:val="101739F6"/>
    <w:rsid w:val="10174381"/>
    <w:rsid w:val="10196EF9"/>
    <w:rsid w:val="101A497B"/>
    <w:rsid w:val="101A62D4"/>
    <w:rsid w:val="101A6B79"/>
    <w:rsid w:val="101C207C"/>
    <w:rsid w:val="101C7A12"/>
    <w:rsid w:val="101C7E7E"/>
    <w:rsid w:val="101D7AFE"/>
    <w:rsid w:val="101E0F8B"/>
    <w:rsid w:val="101E3381"/>
    <w:rsid w:val="101E557F"/>
    <w:rsid w:val="101F3001"/>
    <w:rsid w:val="10200A82"/>
    <w:rsid w:val="10204305"/>
    <w:rsid w:val="10206884"/>
    <w:rsid w:val="10211D87"/>
    <w:rsid w:val="10213C41"/>
    <w:rsid w:val="10216504"/>
    <w:rsid w:val="10223A7C"/>
    <w:rsid w:val="10223F85"/>
    <w:rsid w:val="10231A07"/>
    <w:rsid w:val="10242D0C"/>
    <w:rsid w:val="10247488"/>
    <w:rsid w:val="10251AC8"/>
    <w:rsid w:val="1025656E"/>
    <w:rsid w:val="1026298B"/>
    <w:rsid w:val="1026641D"/>
    <w:rsid w:val="10273C90"/>
    <w:rsid w:val="10281712"/>
    <w:rsid w:val="10285E8F"/>
    <w:rsid w:val="102A4C15"/>
    <w:rsid w:val="102B2962"/>
    <w:rsid w:val="102B6E13"/>
    <w:rsid w:val="102C0118"/>
    <w:rsid w:val="102C3500"/>
    <w:rsid w:val="102C4895"/>
    <w:rsid w:val="102D2316"/>
    <w:rsid w:val="102D5B9A"/>
    <w:rsid w:val="102E4A79"/>
    <w:rsid w:val="102F109D"/>
    <w:rsid w:val="102F5819"/>
    <w:rsid w:val="1030329B"/>
    <w:rsid w:val="103145A0"/>
    <w:rsid w:val="1031679E"/>
    <w:rsid w:val="10322021"/>
    <w:rsid w:val="10337AA3"/>
    <w:rsid w:val="10340DAF"/>
    <w:rsid w:val="10345524"/>
    <w:rsid w:val="10347723"/>
    <w:rsid w:val="1035036E"/>
    <w:rsid w:val="10351CF7"/>
    <w:rsid w:val="10352FA6"/>
    <w:rsid w:val="10360A28"/>
    <w:rsid w:val="10362C26"/>
    <w:rsid w:val="10362DC0"/>
    <w:rsid w:val="1036740B"/>
    <w:rsid w:val="103764A9"/>
    <w:rsid w:val="10383F2B"/>
    <w:rsid w:val="10386129"/>
    <w:rsid w:val="1039742E"/>
    <w:rsid w:val="103A1120"/>
    <w:rsid w:val="103A4EAF"/>
    <w:rsid w:val="103A670E"/>
    <w:rsid w:val="103B2931"/>
    <w:rsid w:val="103C03B2"/>
    <w:rsid w:val="103C4B2F"/>
    <w:rsid w:val="103C6E2A"/>
    <w:rsid w:val="103D03A3"/>
    <w:rsid w:val="103D5E34"/>
    <w:rsid w:val="103D79C9"/>
    <w:rsid w:val="103E0032"/>
    <w:rsid w:val="103E0F42"/>
    <w:rsid w:val="103E38B5"/>
    <w:rsid w:val="103F1337"/>
    <w:rsid w:val="103F1AE1"/>
    <w:rsid w:val="1040684A"/>
    <w:rsid w:val="10412E95"/>
    <w:rsid w:val="104238F8"/>
    <w:rsid w:val="10423BF8"/>
    <w:rsid w:val="1043262A"/>
    <w:rsid w:val="104344BA"/>
    <w:rsid w:val="104345D2"/>
    <w:rsid w:val="1043621B"/>
    <w:rsid w:val="10437D3D"/>
    <w:rsid w:val="10453240"/>
    <w:rsid w:val="104579BD"/>
    <w:rsid w:val="10476743"/>
    <w:rsid w:val="10477289"/>
    <w:rsid w:val="10480942"/>
    <w:rsid w:val="104841C5"/>
    <w:rsid w:val="10491C47"/>
    <w:rsid w:val="104A11DC"/>
    <w:rsid w:val="104A13A0"/>
    <w:rsid w:val="104A1F3F"/>
    <w:rsid w:val="104B2919"/>
    <w:rsid w:val="104B514A"/>
    <w:rsid w:val="104B7348"/>
    <w:rsid w:val="104C2BCB"/>
    <w:rsid w:val="104C4DC9"/>
    <w:rsid w:val="104D284B"/>
    <w:rsid w:val="104D3E92"/>
    <w:rsid w:val="104E4A31"/>
    <w:rsid w:val="104E60CE"/>
    <w:rsid w:val="104F5D4E"/>
    <w:rsid w:val="105015D1"/>
    <w:rsid w:val="10515D6A"/>
    <w:rsid w:val="10517053"/>
    <w:rsid w:val="10522556"/>
    <w:rsid w:val="10533619"/>
    <w:rsid w:val="10540A9B"/>
    <w:rsid w:val="10540C60"/>
    <w:rsid w:val="105421D6"/>
    <w:rsid w:val="105517FE"/>
    <w:rsid w:val="10557C57"/>
    <w:rsid w:val="10560F5C"/>
    <w:rsid w:val="105656D9"/>
    <w:rsid w:val="10572BB3"/>
    <w:rsid w:val="1057315A"/>
    <w:rsid w:val="10580BDC"/>
    <w:rsid w:val="1058445F"/>
    <w:rsid w:val="1059665E"/>
    <w:rsid w:val="105A40DF"/>
    <w:rsid w:val="105A5869"/>
    <w:rsid w:val="105D02E8"/>
    <w:rsid w:val="105D08E7"/>
    <w:rsid w:val="105D4AEB"/>
    <w:rsid w:val="105D5064"/>
    <w:rsid w:val="1060186C"/>
    <w:rsid w:val="1060794F"/>
    <w:rsid w:val="10616682"/>
    <w:rsid w:val="10624D6F"/>
    <w:rsid w:val="10625A8B"/>
    <w:rsid w:val="106327F0"/>
    <w:rsid w:val="10640272"/>
    <w:rsid w:val="1064458A"/>
    <w:rsid w:val="1064474E"/>
    <w:rsid w:val="10655129"/>
    <w:rsid w:val="10655CF3"/>
    <w:rsid w:val="10663775"/>
    <w:rsid w:val="106711F7"/>
    <w:rsid w:val="10677240"/>
    <w:rsid w:val="10686C78"/>
    <w:rsid w:val="1069217B"/>
    <w:rsid w:val="106946FA"/>
    <w:rsid w:val="10697615"/>
    <w:rsid w:val="106A7BFD"/>
    <w:rsid w:val="106B567E"/>
    <w:rsid w:val="106C28D1"/>
    <w:rsid w:val="106C3100"/>
    <w:rsid w:val="106D2F64"/>
    <w:rsid w:val="106D346F"/>
    <w:rsid w:val="106E6603"/>
    <w:rsid w:val="106F4084"/>
    <w:rsid w:val="10705587"/>
    <w:rsid w:val="10717588"/>
    <w:rsid w:val="10732A8B"/>
    <w:rsid w:val="10750A53"/>
    <w:rsid w:val="107517B6"/>
    <w:rsid w:val="10772D2F"/>
    <w:rsid w:val="10782796"/>
    <w:rsid w:val="107838CD"/>
    <w:rsid w:val="107A4E46"/>
    <w:rsid w:val="107A5C99"/>
    <w:rsid w:val="107B371A"/>
    <w:rsid w:val="107C119C"/>
    <w:rsid w:val="107C4FE0"/>
    <w:rsid w:val="107C63BF"/>
    <w:rsid w:val="107D339A"/>
    <w:rsid w:val="107E37F2"/>
    <w:rsid w:val="107F0312"/>
    <w:rsid w:val="107F2121"/>
    <w:rsid w:val="107F689D"/>
    <w:rsid w:val="10800EB1"/>
    <w:rsid w:val="10807BA2"/>
    <w:rsid w:val="10811DA0"/>
    <w:rsid w:val="10815624"/>
    <w:rsid w:val="108230A5"/>
    <w:rsid w:val="10830B27"/>
    <w:rsid w:val="10832D25"/>
    <w:rsid w:val="108465A8"/>
    <w:rsid w:val="1085402A"/>
    <w:rsid w:val="10856228"/>
    <w:rsid w:val="1087172B"/>
    <w:rsid w:val="1087606F"/>
    <w:rsid w:val="10876659"/>
    <w:rsid w:val="10881228"/>
    <w:rsid w:val="10884FAF"/>
    <w:rsid w:val="108904B2"/>
    <w:rsid w:val="10894C2E"/>
    <w:rsid w:val="108B130F"/>
    <w:rsid w:val="108B6F31"/>
    <w:rsid w:val="108C1436"/>
    <w:rsid w:val="108C5BB3"/>
    <w:rsid w:val="108D3635"/>
    <w:rsid w:val="108E10B6"/>
    <w:rsid w:val="108F3E01"/>
    <w:rsid w:val="108F4B64"/>
    <w:rsid w:val="1090224E"/>
    <w:rsid w:val="109045B9"/>
    <w:rsid w:val="10910576"/>
    <w:rsid w:val="10926AB7"/>
    <w:rsid w:val="10927ABC"/>
    <w:rsid w:val="109346C0"/>
    <w:rsid w:val="1093553E"/>
    <w:rsid w:val="109401F4"/>
    <w:rsid w:val="10942FBF"/>
    <w:rsid w:val="10950A41"/>
    <w:rsid w:val="109542C4"/>
    <w:rsid w:val="109615A9"/>
    <w:rsid w:val="109664C2"/>
    <w:rsid w:val="10972147"/>
    <w:rsid w:val="109777C7"/>
    <w:rsid w:val="109819C6"/>
    <w:rsid w:val="10985249"/>
    <w:rsid w:val="109A074C"/>
    <w:rsid w:val="109B03CC"/>
    <w:rsid w:val="109B61CD"/>
    <w:rsid w:val="109C3C4F"/>
    <w:rsid w:val="109C5E4D"/>
    <w:rsid w:val="109E1350"/>
    <w:rsid w:val="109E6D51"/>
    <w:rsid w:val="109E7152"/>
    <w:rsid w:val="109E7AB4"/>
    <w:rsid w:val="109F6DD2"/>
    <w:rsid w:val="10A0102D"/>
    <w:rsid w:val="10A02655"/>
    <w:rsid w:val="10A04854"/>
    <w:rsid w:val="10A100D7"/>
    <w:rsid w:val="10A11BCB"/>
    <w:rsid w:val="10A122D5"/>
    <w:rsid w:val="10A1358B"/>
    <w:rsid w:val="10A15B58"/>
    <w:rsid w:val="10A235DA"/>
    <w:rsid w:val="10A27D57"/>
    <w:rsid w:val="10A32505"/>
    <w:rsid w:val="10A357D8"/>
    <w:rsid w:val="10A45AC6"/>
    <w:rsid w:val="10A4638E"/>
    <w:rsid w:val="10A50CDB"/>
    <w:rsid w:val="10A5455F"/>
    <w:rsid w:val="10A61FE0"/>
    <w:rsid w:val="10A6525C"/>
    <w:rsid w:val="10A77A62"/>
    <w:rsid w:val="10A81C60"/>
    <w:rsid w:val="10A86610"/>
    <w:rsid w:val="10A867D5"/>
    <w:rsid w:val="10A92F65"/>
    <w:rsid w:val="10A97373"/>
    <w:rsid w:val="10A976E1"/>
    <w:rsid w:val="10AA08EC"/>
    <w:rsid w:val="10AA09E6"/>
    <w:rsid w:val="10AA2392"/>
    <w:rsid w:val="10AB12C6"/>
    <w:rsid w:val="10AB142F"/>
    <w:rsid w:val="10AB6468"/>
    <w:rsid w:val="10AC0666"/>
    <w:rsid w:val="10AC1E65"/>
    <w:rsid w:val="10AC3EE9"/>
    <w:rsid w:val="10AF15EB"/>
    <w:rsid w:val="10AF4E6E"/>
    <w:rsid w:val="10B028F0"/>
    <w:rsid w:val="10B14AEE"/>
    <w:rsid w:val="10B2256F"/>
    <w:rsid w:val="10B25DF3"/>
    <w:rsid w:val="10B33874"/>
    <w:rsid w:val="10B412F6"/>
    <w:rsid w:val="10B501AC"/>
    <w:rsid w:val="10B50F76"/>
    <w:rsid w:val="10B56D77"/>
    <w:rsid w:val="10B63710"/>
    <w:rsid w:val="10B7227A"/>
    <w:rsid w:val="10B75766"/>
    <w:rsid w:val="10B81EFA"/>
    <w:rsid w:val="10B87CFC"/>
    <w:rsid w:val="10BA31FF"/>
    <w:rsid w:val="10BA53FD"/>
    <w:rsid w:val="10BB2E7F"/>
    <w:rsid w:val="10BB6702"/>
    <w:rsid w:val="10BC0900"/>
    <w:rsid w:val="10BC4184"/>
    <w:rsid w:val="10BC578F"/>
    <w:rsid w:val="10BD6382"/>
    <w:rsid w:val="10BE3E04"/>
    <w:rsid w:val="10BE7687"/>
    <w:rsid w:val="10BF1885"/>
    <w:rsid w:val="10BF5108"/>
    <w:rsid w:val="10BF78A7"/>
    <w:rsid w:val="10C00446"/>
    <w:rsid w:val="10C07307"/>
    <w:rsid w:val="10C1060B"/>
    <w:rsid w:val="10C14D88"/>
    <w:rsid w:val="10C21B83"/>
    <w:rsid w:val="10C3028B"/>
    <w:rsid w:val="10C33B0F"/>
    <w:rsid w:val="10C42038"/>
    <w:rsid w:val="10C500F9"/>
    <w:rsid w:val="10C507CF"/>
    <w:rsid w:val="10C53C9A"/>
    <w:rsid w:val="10C64A93"/>
    <w:rsid w:val="10C66FE1"/>
    <w:rsid w:val="10C72515"/>
    <w:rsid w:val="10C7607E"/>
    <w:rsid w:val="10C9732B"/>
    <w:rsid w:val="10CA3499"/>
    <w:rsid w:val="10CC16D2"/>
    <w:rsid w:val="10CC380A"/>
    <w:rsid w:val="10CC699D"/>
    <w:rsid w:val="10CD441E"/>
    <w:rsid w:val="10CE1EA0"/>
    <w:rsid w:val="10CE29BB"/>
    <w:rsid w:val="10D053A3"/>
    <w:rsid w:val="10D12E24"/>
    <w:rsid w:val="10D14AD3"/>
    <w:rsid w:val="10D208A6"/>
    <w:rsid w:val="10D26327"/>
    <w:rsid w:val="10D33DA9"/>
    <w:rsid w:val="10D4182A"/>
    <w:rsid w:val="10D4204A"/>
    <w:rsid w:val="10D46A26"/>
    <w:rsid w:val="10D46BEA"/>
    <w:rsid w:val="10D572AC"/>
    <w:rsid w:val="10D57F9F"/>
    <w:rsid w:val="10D95CB2"/>
    <w:rsid w:val="10DA3734"/>
    <w:rsid w:val="10DB11B5"/>
    <w:rsid w:val="10DB41CE"/>
    <w:rsid w:val="10DC4F31"/>
    <w:rsid w:val="10DD46B8"/>
    <w:rsid w:val="10DD7F3C"/>
    <w:rsid w:val="10DE213A"/>
    <w:rsid w:val="10DF7048"/>
    <w:rsid w:val="10DF7BBC"/>
    <w:rsid w:val="10E07A23"/>
    <w:rsid w:val="10E103FD"/>
    <w:rsid w:val="10E20B40"/>
    <w:rsid w:val="10E21B3A"/>
    <w:rsid w:val="10E243C3"/>
    <w:rsid w:val="10E31E45"/>
    <w:rsid w:val="10E44043"/>
    <w:rsid w:val="10E51AC5"/>
    <w:rsid w:val="10E55348"/>
    <w:rsid w:val="10E62DCA"/>
    <w:rsid w:val="10E7084B"/>
    <w:rsid w:val="10E74FC8"/>
    <w:rsid w:val="10E82A49"/>
    <w:rsid w:val="10E904CB"/>
    <w:rsid w:val="10E93D4E"/>
    <w:rsid w:val="10EA17D0"/>
    <w:rsid w:val="10EB1450"/>
    <w:rsid w:val="10EB7251"/>
    <w:rsid w:val="10EC4CD3"/>
    <w:rsid w:val="10EC6ED1"/>
    <w:rsid w:val="10ED2754"/>
    <w:rsid w:val="10EE1995"/>
    <w:rsid w:val="10EE1F98"/>
    <w:rsid w:val="10EF7E56"/>
    <w:rsid w:val="10F03EEC"/>
    <w:rsid w:val="10F10820"/>
    <w:rsid w:val="10F13359"/>
    <w:rsid w:val="10F2465E"/>
    <w:rsid w:val="10F320DF"/>
    <w:rsid w:val="10F442DE"/>
    <w:rsid w:val="10F469DD"/>
    <w:rsid w:val="10F543DD"/>
    <w:rsid w:val="10F555E2"/>
    <w:rsid w:val="10F63064"/>
    <w:rsid w:val="10F677E1"/>
    <w:rsid w:val="10F70AE6"/>
    <w:rsid w:val="10F82CE4"/>
    <w:rsid w:val="10F90765"/>
    <w:rsid w:val="10F90C6D"/>
    <w:rsid w:val="10F93FE9"/>
    <w:rsid w:val="10FA61E7"/>
    <w:rsid w:val="10FB3C68"/>
    <w:rsid w:val="10FB74EC"/>
    <w:rsid w:val="10FC4F6D"/>
    <w:rsid w:val="10FD716C"/>
    <w:rsid w:val="10FE0470"/>
    <w:rsid w:val="10FE4BED"/>
    <w:rsid w:val="10FE58C3"/>
    <w:rsid w:val="10FF5EF2"/>
    <w:rsid w:val="10FF7000"/>
    <w:rsid w:val="110000F0"/>
    <w:rsid w:val="11003973"/>
    <w:rsid w:val="110079DA"/>
    <w:rsid w:val="1101035E"/>
    <w:rsid w:val="110113F5"/>
    <w:rsid w:val="110235F3"/>
    <w:rsid w:val="11026E77"/>
    <w:rsid w:val="11031AF2"/>
    <w:rsid w:val="110348F8"/>
    <w:rsid w:val="1104237A"/>
    <w:rsid w:val="11051FFA"/>
    <w:rsid w:val="1105306B"/>
    <w:rsid w:val="11056D1C"/>
    <w:rsid w:val="11057DFB"/>
    <w:rsid w:val="11063C09"/>
    <w:rsid w:val="1106587D"/>
    <w:rsid w:val="11095D21"/>
    <w:rsid w:val="110A1D05"/>
    <w:rsid w:val="110A6481"/>
    <w:rsid w:val="110A66FB"/>
    <w:rsid w:val="110B3F03"/>
    <w:rsid w:val="110B729A"/>
    <w:rsid w:val="110B7786"/>
    <w:rsid w:val="110C09D7"/>
    <w:rsid w:val="110C5208"/>
    <w:rsid w:val="110E4E87"/>
    <w:rsid w:val="110E7C6F"/>
    <w:rsid w:val="110F2909"/>
    <w:rsid w:val="110F618C"/>
    <w:rsid w:val="11103304"/>
    <w:rsid w:val="11103C0E"/>
    <w:rsid w:val="11114067"/>
    <w:rsid w:val="11115E0C"/>
    <w:rsid w:val="1112388E"/>
    <w:rsid w:val="11127111"/>
    <w:rsid w:val="11145FBB"/>
    <w:rsid w:val="11146D91"/>
    <w:rsid w:val="11150096"/>
    <w:rsid w:val="11154812"/>
    <w:rsid w:val="11161147"/>
    <w:rsid w:val="11173599"/>
    <w:rsid w:val="11177D15"/>
    <w:rsid w:val="11193219"/>
    <w:rsid w:val="111A451D"/>
    <w:rsid w:val="111B3927"/>
    <w:rsid w:val="111C2F7A"/>
    <w:rsid w:val="111C7A20"/>
    <w:rsid w:val="111D76A0"/>
    <w:rsid w:val="111E2F24"/>
    <w:rsid w:val="111E5122"/>
    <w:rsid w:val="111F09A5"/>
    <w:rsid w:val="111F2BA3"/>
    <w:rsid w:val="111F6419"/>
    <w:rsid w:val="11206427"/>
    <w:rsid w:val="11213EA8"/>
    <w:rsid w:val="1122192A"/>
    <w:rsid w:val="112315AA"/>
    <w:rsid w:val="11234E2D"/>
    <w:rsid w:val="112428AE"/>
    <w:rsid w:val="1124702B"/>
    <w:rsid w:val="11254AAD"/>
    <w:rsid w:val="11265DB1"/>
    <w:rsid w:val="11273833"/>
    <w:rsid w:val="11285A31"/>
    <w:rsid w:val="11296D36"/>
    <w:rsid w:val="112A0F34"/>
    <w:rsid w:val="112D573C"/>
    <w:rsid w:val="112D6EFE"/>
    <w:rsid w:val="112E1369"/>
    <w:rsid w:val="112E152D"/>
    <w:rsid w:val="11314143"/>
    <w:rsid w:val="11321BC4"/>
    <w:rsid w:val="11355F72"/>
    <w:rsid w:val="11356CD5"/>
    <w:rsid w:val="1137604C"/>
    <w:rsid w:val="11383ACD"/>
    <w:rsid w:val="11390075"/>
    <w:rsid w:val="11391602"/>
    <w:rsid w:val="113917C7"/>
    <w:rsid w:val="113B11BA"/>
    <w:rsid w:val="113B24D4"/>
    <w:rsid w:val="113B4A52"/>
    <w:rsid w:val="113C38DE"/>
    <w:rsid w:val="113D42B9"/>
    <w:rsid w:val="113D447D"/>
    <w:rsid w:val="113D59D7"/>
    <w:rsid w:val="113E3458"/>
    <w:rsid w:val="113E4E57"/>
    <w:rsid w:val="113F0EDA"/>
    <w:rsid w:val="113F5831"/>
    <w:rsid w:val="113F59F6"/>
    <w:rsid w:val="1140695B"/>
    <w:rsid w:val="114143DD"/>
    <w:rsid w:val="11427B0D"/>
    <w:rsid w:val="114378E0"/>
    <w:rsid w:val="11445362"/>
    <w:rsid w:val="11452DE3"/>
    <w:rsid w:val="11456666"/>
    <w:rsid w:val="114640E8"/>
    <w:rsid w:val="11484717"/>
    <w:rsid w:val="114875EB"/>
    <w:rsid w:val="114917E9"/>
    <w:rsid w:val="114948FA"/>
    <w:rsid w:val="1149506D"/>
    <w:rsid w:val="114A2AEE"/>
    <w:rsid w:val="114A2F56"/>
    <w:rsid w:val="114A5C90"/>
    <w:rsid w:val="114A726B"/>
    <w:rsid w:val="114B0570"/>
    <w:rsid w:val="114B4CEC"/>
    <w:rsid w:val="114B682E"/>
    <w:rsid w:val="114B69A6"/>
    <w:rsid w:val="114C276E"/>
    <w:rsid w:val="114C5FF1"/>
    <w:rsid w:val="114D01EF"/>
    <w:rsid w:val="114D3A73"/>
    <w:rsid w:val="114E0DD1"/>
    <w:rsid w:val="114E14F4"/>
    <w:rsid w:val="114F36F3"/>
    <w:rsid w:val="11501174"/>
    <w:rsid w:val="115049F7"/>
    <w:rsid w:val="11512479"/>
    <w:rsid w:val="11513438"/>
    <w:rsid w:val="11516BF6"/>
    <w:rsid w:val="11517434"/>
    <w:rsid w:val="11524677"/>
    <w:rsid w:val="11527EFA"/>
    <w:rsid w:val="115349B0"/>
    <w:rsid w:val="115433FE"/>
    <w:rsid w:val="1154554F"/>
    <w:rsid w:val="115455FC"/>
    <w:rsid w:val="11545714"/>
    <w:rsid w:val="1155307D"/>
    <w:rsid w:val="11566901"/>
    <w:rsid w:val="11576580"/>
    <w:rsid w:val="11584002"/>
    <w:rsid w:val="11585C54"/>
    <w:rsid w:val="115864E0"/>
    <w:rsid w:val="11591A84"/>
    <w:rsid w:val="11597885"/>
    <w:rsid w:val="115B0338"/>
    <w:rsid w:val="115B080A"/>
    <w:rsid w:val="115B4F87"/>
    <w:rsid w:val="115C2CF7"/>
    <w:rsid w:val="115D0157"/>
    <w:rsid w:val="115D048A"/>
    <w:rsid w:val="115D1650"/>
    <w:rsid w:val="115D3D0D"/>
    <w:rsid w:val="115E178F"/>
    <w:rsid w:val="115E4FD3"/>
    <w:rsid w:val="11606388"/>
    <w:rsid w:val="11612713"/>
    <w:rsid w:val="11616F26"/>
    <w:rsid w:val="11624912"/>
    <w:rsid w:val="11627AC5"/>
    <w:rsid w:val="11632393"/>
    <w:rsid w:val="11643698"/>
    <w:rsid w:val="11647E15"/>
    <w:rsid w:val="11651BDC"/>
    <w:rsid w:val="11651DD5"/>
    <w:rsid w:val="11661336"/>
    <w:rsid w:val="11665CA1"/>
    <w:rsid w:val="11666B9B"/>
    <w:rsid w:val="116700C5"/>
    <w:rsid w:val="11670D99"/>
    <w:rsid w:val="1168209E"/>
    <w:rsid w:val="1168681B"/>
    <w:rsid w:val="116946CE"/>
    <w:rsid w:val="11694893"/>
    <w:rsid w:val="116B5221"/>
    <w:rsid w:val="116D0724"/>
    <w:rsid w:val="116D6526"/>
    <w:rsid w:val="116D7D5F"/>
    <w:rsid w:val="116E3FA7"/>
    <w:rsid w:val="116E61A6"/>
    <w:rsid w:val="116E6CAB"/>
    <w:rsid w:val="116F1A29"/>
    <w:rsid w:val="116F3C27"/>
    <w:rsid w:val="117074AB"/>
    <w:rsid w:val="11712A15"/>
    <w:rsid w:val="117229AE"/>
    <w:rsid w:val="1173042F"/>
    <w:rsid w:val="1173262D"/>
    <w:rsid w:val="11733F8E"/>
    <w:rsid w:val="11735EB1"/>
    <w:rsid w:val="117400AF"/>
    <w:rsid w:val="117513B4"/>
    <w:rsid w:val="11755B31"/>
    <w:rsid w:val="11761AF6"/>
    <w:rsid w:val="11761CAB"/>
    <w:rsid w:val="11762382"/>
    <w:rsid w:val="117635B2"/>
    <w:rsid w:val="11771034"/>
    <w:rsid w:val="11776A7F"/>
    <w:rsid w:val="11782338"/>
    <w:rsid w:val="11797DBA"/>
    <w:rsid w:val="117A1736"/>
    <w:rsid w:val="117A583C"/>
    <w:rsid w:val="117B32BD"/>
    <w:rsid w:val="117C0D3F"/>
    <w:rsid w:val="117C54BB"/>
    <w:rsid w:val="117D2F3D"/>
    <w:rsid w:val="117D384D"/>
    <w:rsid w:val="117D67C0"/>
    <w:rsid w:val="117E09BE"/>
    <w:rsid w:val="117E4227"/>
    <w:rsid w:val="117E4242"/>
    <w:rsid w:val="117F6440"/>
    <w:rsid w:val="11803EC2"/>
    <w:rsid w:val="11805965"/>
    <w:rsid w:val="11811943"/>
    <w:rsid w:val="118151C6"/>
    <w:rsid w:val="1181633F"/>
    <w:rsid w:val="11822C48"/>
    <w:rsid w:val="11826A24"/>
    <w:rsid w:val="118306C9"/>
    <w:rsid w:val="118328C8"/>
    <w:rsid w:val="11834E46"/>
    <w:rsid w:val="11835E2C"/>
    <w:rsid w:val="11836198"/>
    <w:rsid w:val="118378BD"/>
    <w:rsid w:val="11840349"/>
    <w:rsid w:val="11855DCB"/>
    <w:rsid w:val="1186384C"/>
    <w:rsid w:val="118770D0"/>
    <w:rsid w:val="11883AE7"/>
    <w:rsid w:val="11884B51"/>
    <w:rsid w:val="11886D50"/>
    <w:rsid w:val="11890DCD"/>
    <w:rsid w:val="118925D3"/>
    <w:rsid w:val="118947D1"/>
    <w:rsid w:val="118A0054"/>
    <w:rsid w:val="118A2253"/>
    <w:rsid w:val="118A5224"/>
    <w:rsid w:val="118B3557"/>
    <w:rsid w:val="118B5AD6"/>
    <w:rsid w:val="118B7CD4"/>
    <w:rsid w:val="118E0C59"/>
    <w:rsid w:val="118E44DC"/>
    <w:rsid w:val="1190104B"/>
    <w:rsid w:val="11901201"/>
    <w:rsid w:val="1190415C"/>
    <w:rsid w:val="119079DF"/>
    <w:rsid w:val="11910467"/>
    <w:rsid w:val="11922EE2"/>
    <w:rsid w:val="11936E1B"/>
    <w:rsid w:val="119463E5"/>
    <w:rsid w:val="11953E67"/>
    <w:rsid w:val="119618E8"/>
    <w:rsid w:val="1196605D"/>
    <w:rsid w:val="11984DEC"/>
    <w:rsid w:val="11985038"/>
    <w:rsid w:val="1198779A"/>
    <w:rsid w:val="1199286D"/>
    <w:rsid w:val="119A02EF"/>
    <w:rsid w:val="119B18B2"/>
    <w:rsid w:val="119B5D70"/>
    <w:rsid w:val="119C141C"/>
    <w:rsid w:val="119E3805"/>
    <w:rsid w:val="119E6CF5"/>
    <w:rsid w:val="119F4776"/>
    <w:rsid w:val="11A021EF"/>
    <w:rsid w:val="11A021F8"/>
    <w:rsid w:val="11A115F8"/>
    <w:rsid w:val="11A11B19"/>
    <w:rsid w:val="11A256FB"/>
    <w:rsid w:val="11A3317D"/>
    <w:rsid w:val="11A51171"/>
    <w:rsid w:val="11A72525"/>
    <w:rsid w:val="11A77604"/>
    <w:rsid w:val="11A85086"/>
    <w:rsid w:val="11AA638B"/>
    <w:rsid w:val="11AB188E"/>
    <w:rsid w:val="11AB51DC"/>
    <w:rsid w:val="11AC3A8C"/>
    <w:rsid w:val="11AD6919"/>
    <w:rsid w:val="11AE2812"/>
    <w:rsid w:val="11AE540E"/>
    <w:rsid w:val="11AE5779"/>
    <w:rsid w:val="11AE6F8F"/>
    <w:rsid w:val="11AF0294"/>
    <w:rsid w:val="11AF0A31"/>
    <w:rsid w:val="11AF3DD5"/>
    <w:rsid w:val="11AF4A11"/>
    <w:rsid w:val="11AF7CCD"/>
    <w:rsid w:val="11B13797"/>
    <w:rsid w:val="11B17F14"/>
    <w:rsid w:val="11B25995"/>
    <w:rsid w:val="11B33417"/>
    <w:rsid w:val="11B4471C"/>
    <w:rsid w:val="11B5219D"/>
    <w:rsid w:val="11B6439C"/>
    <w:rsid w:val="11B71E1D"/>
    <w:rsid w:val="11B7310E"/>
    <w:rsid w:val="11B90BA4"/>
    <w:rsid w:val="11B95320"/>
    <w:rsid w:val="11BA02F0"/>
    <w:rsid w:val="11BA2DA2"/>
    <w:rsid w:val="11BA6625"/>
    <w:rsid w:val="11BB40A7"/>
    <w:rsid w:val="11BB7DC5"/>
    <w:rsid w:val="11BC16A5"/>
    <w:rsid w:val="11BC1B28"/>
    <w:rsid w:val="11BC62A5"/>
    <w:rsid w:val="11BC7A36"/>
    <w:rsid w:val="11BC7BEB"/>
    <w:rsid w:val="11BD75AA"/>
    <w:rsid w:val="11BE502B"/>
    <w:rsid w:val="11BF2AAD"/>
    <w:rsid w:val="11BF37BC"/>
    <w:rsid w:val="11C101AE"/>
    <w:rsid w:val="11C15FB0"/>
    <w:rsid w:val="11C23A31"/>
    <w:rsid w:val="11C25C30"/>
    <w:rsid w:val="11C41133"/>
    <w:rsid w:val="11C449B6"/>
    <w:rsid w:val="11C5058A"/>
    <w:rsid w:val="11C52438"/>
    <w:rsid w:val="11C56BB4"/>
    <w:rsid w:val="11C61128"/>
    <w:rsid w:val="11C64636"/>
    <w:rsid w:val="11C67EB9"/>
    <w:rsid w:val="11C7593B"/>
    <w:rsid w:val="11C93240"/>
    <w:rsid w:val="11CA303C"/>
    <w:rsid w:val="11CA3DDF"/>
    <w:rsid w:val="11CB0ABE"/>
    <w:rsid w:val="11CB1987"/>
    <w:rsid w:val="11CB1CF2"/>
    <w:rsid w:val="11CB4341"/>
    <w:rsid w:val="11CC1DC3"/>
    <w:rsid w:val="11CC5EF6"/>
    <w:rsid w:val="11CD3FC1"/>
    <w:rsid w:val="11CD7844"/>
    <w:rsid w:val="11CE1A42"/>
    <w:rsid w:val="11CE52C6"/>
    <w:rsid w:val="11CF2D47"/>
    <w:rsid w:val="11CF74C4"/>
    <w:rsid w:val="11D007C9"/>
    <w:rsid w:val="11D113C2"/>
    <w:rsid w:val="11D11587"/>
    <w:rsid w:val="11D129C7"/>
    <w:rsid w:val="11D1624A"/>
    <w:rsid w:val="11D21F61"/>
    <w:rsid w:val="11D23CCC"/>
    <w:rsid w:val="11D3174D"/>
    <w:rsid w:val="11D3293B"/>
    <w:rsid w:val="11D32B00"/>
    <w:rsid w:val="11D35ECA"/>
    <w:rsid w:val="11D434DA"/>
    <w:rsid w:val="11D471CF"/>
    <w:rsid w:val="11D56E4F"/>
    <w:rsid w:val="11D626D2"/>
    <w:rsid w:val="11D648D0"/>
    <w:rsid w:val="11D64C17"/>
    <w:rsid w:val="11D70154"/>
    <w:rsid w:val="11D85BD5"/>
    <w:rsid w:val="11D87DD3"/>
    <w:rsid w:val="11D94517"/>
    <w:rsid w:val="11D96B6A"/>
    <w:rsid w:val="11DA02A7"/>
    <w:rsid w:val="11DA3C43"/>
    <w:rsid w:val="11DB0E46"/>
    <w:rsid w:val="11DB2B2B"/>
    <w:rsid w:val="11DB6B5A"/>
    <w:rsid w:val="11DC45DB"/>
    <w:rsid w:val="11DC67DA"/>
    <w:rsid w:val="11DD2A7B"/>
    <w:rsid w:val="11DD7ADE"/>
    <w:rsid w:val="11DE1CDD"/>
    <w:rsid w:val="11DE5560"/>
    <w:rsid w:val="11DF2FE2"/>
    <w:rsid w:val="11DF775E"/>
    <w:rsid w:val="11E04312"/>
    <w:rsid w:val="11E051E0"/>
    <w:rsid w:val="11E12C61"/>
    <w:rsid w:val="11E164E5"/>
    <w:rsid w:val="11E206E3"/>
    <w:rsid w:val="11E23F66"/>
    <w:rsid w:val="11E319E8"/>
    <w:rsid w:val="11E3642A"/>
    <w:rsid w:val="11E365EE"/>
    <w:rsid w:val="11E43BE6"/>
    <w:rsid w:val="11E47469"/>
    <w:rsid w:val="11E51668"/>
    <w:rsid w:val="11E54EEB"/>
    <w:rsid w:val="11E60541"/>
    <w:rsid w:val="11E6296C"/>
    <w:rsid w:val="11E670E9"/>
    <w:rsid w:val="11E701D0"/>
    <w:rsid w:val="11E703EE"/>
    <w:rsid w:val="11E74B6B"/>
    <w:rsid w:val="11E825EC"/>
    <w:rsid w:val="11E82659"/>
    <w:rsid w:val="11E9006E"/>
    <w:rsid w:val="11E936F9"/>
    <w:rsid w:val="11EA5308"/>
    <w:rsid w:val="11EA5AEF"/>
    <w:rsid w:val="11EB3571"/>
    <w:rsid w:val="11EB6DF4"/>
    <w:rsid w:val="11EC0FF2"/>
    <w:rsid w:val="11EC4876"/>
    <w:rsid w:val="11EC6A74"/>
    <w:rsid w:val="11ED1B8B"/>
    <w:rsid w:val="11ED22F7"/>
    <w:rsid w:val="11ED44F6"/>
    <w:rsid w:val="11EE1F77"/>
    <w:rsid w:val="11EE6888"/>
    <w:rsid w:val="11EF57FA"/>
    <w:rsid w:val="11EF79F9"/>
    <w:rsid w:val="11F12EFC"/>
    <w:rsid w:val="11F2097D"/>
    <w:rsid w:val="11F41C82"/>
    <w:rsid w:val="11F51902"/>
    <w:rsid w:val="11F55185"/>
    <w:rsid w:val="11F62C07"/>
    <w:rsid w:val="11F70688"/>
    <w:rsid w:val="11F755A9"/>
    <w:rsid w:val="11F96B22"/>
    <w:rsid w:val="11FA7885"/>
    <w:rsid w:val="11FB708E"/>
    <w:rsid w:val="11FC0DFE"/>
    <w:rsid w:val="11FC4B10"/>
    <w:rsid w:val="11FE0013"/>
    <w:rsid w:val="12010F98"/>
    <w:rsid w:val="12024E68"/>
    <w:rsid w:val="1202502D"/>
    <w:rsid w:val="120365A6"/>
    <w:rsid w:val="12041F1C"/>
    <w:rsid w:val="1205785B"/>
    <w:rsid w:val="1205799E"/>
    <w:rsid w:val="12057B1E"/>
    <w:rsid w:val="120711AA"/>
    <w:rsid w:val="120716CB"/>
    <w:rsid w:val="12071DA1"/>
    <w:rsid w:val="12072EA1"/>
    <w:rsid w:val="120927D5"/>
    <w:rsid w:val="120B18A7"/>
    <w:rsid w:val="120B3B89"/>
    <w:rsid w:val="120C4DAA"/>
    <w:rsid w:val="120E5CA1"/>
    <w:rsid w:val="120E5E65"/>
    <w:rsid w:val="12126CB4"/>
    <w:rsid w:val="12132094"/>
    <w:rsid w:val="12132537"/>
    <w:rsid w:val="12134735"/>
    <w:rsid w:val="121421B7"/>
    <w:rsid w:val="12145A3A"/>
    <w:rsid w:val="12147FB8"/>
    <w:rsid w:val="121534BC"/>
    <w:rsid w:val="12153EA8"/>
    <w:rsid w:val="12157C38"/>
    <w:rsid w:val="121656BA"/>
    <w:rsid w:val="121769BF"/>
    <w:rsid w:val="12180BBD"/>
    <w:rsid w:val="12185560"/>
    <w:rsid w:val="1219663F"/>
    <w:rsid w:val="121A7943"/>
    <w:rsid w:val="121B1B42"/>
    <w:rsid w:val="121B53C5"/>
    <w:rsid w:val="121B783C"/>
    <w:rsid w:val="121C75C3"/>
    <w:rsid w:val="121D5045"/>
    <w:rsid w:val="121E634A"/>
    <w:rsid w:val="121F3DCB"/>
    <w:rsid w:val="1220184D"/>
    <w:rsid w:val="122038A7"/>
    <w:rsid w:val="12205FC9"/>
    <w:rsid w:val="12213A4B"/>
    <w:rsid w:val="122172CE"/>
    <w:rsid w:val="122214CC"/>
    <w:rsid w:val="12235B83"/>
    <w:rsid w:val="12236F4E"/>
    <w:rsid w:val="12240253"/>
    <w:rsid w:val="12252451"/>
    <w:rsid w:val="12255CD4"/>
    <w:rsid w:val="12256F37"/>
    <w:rsid w:val="122570FC"/>
    <w:rsid w:val="12267AD6"/>
    <w:rsid w:val="12270675"/>
    <w:rsid w:val="1228104F"/>
    <w:rsid w:val="12281213"/>
    <w:rsid w:val="122946DB"/>
    <w:rsid w:val="122968D9"/>
    <w:rsid w:val="122A435A"/>
    <w:rsid w:val="122B1DDC"/>
    <w:rsid w:val="122B3166"/>
    <w:rsid w:val="122B630F"/>
    <w:rsid w:val="122B7BDE"/>
    <w:rsid w:val="122C785E"/>
    <w:rsid w:val="122D0B62"/>
    <w:rsid w:val="122D52DF"/>
    <w:rsid w:val="122D5442"/>
    <w:rsid w:val="122E65E4"/>
    <w:rsid w:val="122F07E2"/>
    <w:rsid w:val="122F4065"/>
    <w:rsid w:val="122F69BB"/>
    <w:rsid w:val="12301AE7"/>
    <w:rsid w:val="12306264"/>
    <w:rsid w:val="12313CE5"/>
    <w:rsid w:val="12320AF7"/>
    <w:rsid w:val="12321767"/>
    <w:rsid w:val="123371E8"/>
    <w:rsid w:val="12344C6A"/>
    <w:rsid w:val="123526EB"/>
    <w:rsid w:val="12355F6F"/>
    <w:rsid w:val="123639F0"/>
    <w:rsid w:val="12371472"/>
    <w:rsid w:val="12384D02"/>
    <w:rsid w:val="12386EF3"/>
    <w:rsid w:val="123910F2"/>
    <w:rsid w:val="123A23F6"/>
    <w:rsid w:val="123A6B73"/>
    <w:rsid w:val="123B45F5"/>
    <w:rsid w:val="123D0D6C"/>
    <w:rsid w:val="123E190B"/>
    <w:rsid w:val="123E2FFB"/>
    <w:rsid w:val="123F0A7C"/>
    <w:rsid w:val="123F22E5"/>
    <w:rsid w:val="12402E84"/>
    <w:rsid w:val="12405B48"/>
    <w:rsid w:val="124064FE"/>
    <w:rsid w:val="12411D81"/>
    <w:rsid w:val="12412F69"/>
    <w:rsid w:val="12413F80"/>
    <w:rsid w:val="12427803"/>
    <w:rsid w:val="12435284"/>
    <w:rsid w:val="12437483"/>
    <w:rsid w:val="12442D06"/>
    <w:rsid w:val="12445976"/>
    <w:rsid w:val="12450788"/>
    <w:rsid w:val="12460407"/>
    <w:rsid w:val="12463C8B"/>
    <w:rsid w:val="1247170C"/>
    <w:rsid w:val="1248718E"/>
    <w:rsid w:val="12491D69"/>
    <w:rsid w:val="124B0112"/>
    <w:rsid w:val="124B311E"/>
    <w:rsid w:val="124B32E2"/>
    <w:rsid w:val="124C2311"/>
    <w:rsid w:val="124C5B94"/>
    <w:rsid w:val="124D7D92"/>
    <w:rsid w:val="124E70EA"/>
    <w:rsid w:val="124F3295"/>
    <w:rsid w:val="12500D17"/>
    <w:rsid w:val="1250459A"/>
    <w:rsid w:val="125067AE"/>
    <w:rsid w:val="1251201C"/>
    <w:rsid w:val="12516798"/>
    <w:rsid w:val="1252421A"/>
    <w:rsid w:val="1254771D"/>
    <w:rsid w:val="125538B6"/>
    <w:rsid w:val="12563740"/>
    <w:rsid w:val="125664A3"/>
    <w:rsid w:val="12573F25"/>
    <w:rsid w:val="1257411B"/>
    <w:rsid w:val="12577104"/>
    <w:rsid w:val="125819A7"/>
    <w:rsid w:val="12583BA5"/>
    <w:rsid w:val="12584CB9"/>
    <w:rsid w:val="12591626"/>
    <w:rsid w:val="125A4EAA"/>
    <w:rsid w:val="125A6232"/>
    <w:rsid w:val="125A70A8"/>
    <w:rsid w:val="125B292B"/>
    <w:rsid w:val="125B4B29"/>
    <w:rsid w:val="125B6C0C"/>
    <w:rsid w:val="125C03AD"/>
    <w:rsid w:val="125C25AB"/>
    <w:rsid w:val="125D38B0"/>
    <w:rsid w:val="125E055F"/>
    <w:rsid w:val="125E0EE8"/>
    <w:rsid w:val="125E7697"/>
    <w:rsid w:val="125F6DB3"/>
    <w:rsid w:val="125F6E0B"/>
    <w:rsid w:val="12604834"/>
    <w:rsid w:val="12627D38"/>
    <w:rsid w:val="1264323B"/>
    <w:rsid w:val="12645AF2"/>
    <w:rsid w:val="12650CBC"/>
    <w:rsid w:val="12656BC5"/>
    <w:rsid w:val="12677578"/>
    <w:rsid w:val="126976C2"/>
    <w:rsid w:val="126A5144"/>
    <w:rsid w:val="126B32F7"/>
    <w:rsid w:val="126C0647"/>
    <w:rsid w:val="126C21DF"/>
    <w:rsid w:val="126D4B79"/>
    <w:rsid w:val="126E3862"/>
    <w:rsid w:val="126E3B4A"/>
    <w:rsid w:val="126F15CC"/>
    <w:rsid w:val="12705D8B"/>
    <w:rsid w:val="1270704D"/>
    <w:rsid w:val="12714ACF"/>
    <w:rsid w:val="12737FD2"/>
    <w:rsid w:val="12750F57"/>
    <w:rsid w:val="127669D8"/>
    <w:rsid w:val="127736F8"/>
    <w:rsid w:val="1277445A"/>
    <w:rsid w:val="12781EDB"/>
    <w:rsid w:val="1279795D"/>
    <w:rsid w:val="127A31E0"/>
    <w:rsid w:val="127B0C62"/>
    <w:rsid w:val="127B2E60"/>
    <w:rsid w:val="127B4651"/>
    <w:rsid w:val="127B4EDD"/>
    <w:rsid w:val="127C08E1"/>
    <w:rsid w:val="127D1BE6"/>
    <w:rsid w:val="127D6363"/>
    <w:rsid w:val="127E013D"/>
    <w:rsid w:val="127E2E73"/>
    <w:rsid w:val="127E3DE4"/>
    <w:rsid w:val="127E7668"/>
    <w:rsid w:val="127F1866"/>
    <w:rsid w:val="12802254"/>
    <w:rsid w:val="12802B6B"/>
    <w:rsid w:val="128072E8"/>
    <w:rsid w:val="12814D69"/>
    <w:rsid w:val="128227EB"/>
    <w:rsid w:val="12823991"/>
    <w:rsid w:val="1283026C"/>
    <w:rsid w:val="12841571"/>
    <w:rsid w:val="12844F0A"/>
    <w:rsid w:val="12845CEE"/>
    <w:rsid w:val="12856FF3"/>
    <w:rsid w:val="12864A74"/>
    <w:rsid w:val="12866648"/>
    <w:rsid w:val="12876C72"/>
    <w:rsid w:val="128771E6"/>
    <w:rsid w:val="1289059B"/>
    <w:rsid w:val="128959F9"/>
    <w:rsid w:val="1289734F"/>
    <w:rsid w:val="12897A26"/>
    <w:rsid w:val="128A347A"/>
    <w:rsid w:val="128C30FA"/>
    <w:rsid w:val="128C697D"/>
    <w:rsid w:val="128D0B7C"/>
    <w:rsid w:val="128D43FF"/>
    <w:rsid w:val="128E407F"/>
    <w:rsid w:val="128E5A71"/>
    <w:rsid w:val="128F1B00"/>
    <w:rsid w:val="128F7BF1"/>
    <w:rsid w:val="12905384"/>
    <w:rsid w:val="12905F07"/>
    <w:rsid w:val="12907582"/>
    <w:rsid w:val="12912E05"/>
    <w:rsid w:val="1292638E"/>
    <w:rsid w:val="12930507"/>
    <w:rsid w:val="12937E5A"/>
    <w:rsid w:val="12943D8A"/>
    <w:rsid w:val="12953A0A"/>
    <w:rsid w:val="12962A8F"/>
    <w:rsid w:val="12962DFA"/>
    <w:rsid w:val="12964D0E"/>
    <w:rsid w:val="12972790"/>
    <w:rsid w:val="12976F0D"/>
    <w:rsid w:val="129817C1"/>
    <w:rsid w:val="1298498E"/>
    <w:rsid w:val="129A3715"/>
    <w:rsid w:val="129A7E91"/>
    <w:rsid w:val="129B4B68"/>
    <w:rsid w:val="129B5913"/>
    <w:rsid w:val="129C6C18"/>
    <w:rsid w:val="129D4699"/>
    <w:rsid w:val="129D771A"/>
    <w:rsid w:val="129E02B8"/>
    <w:rsid w:val="129E211B"/>
    <w:rsid w:val="129E2F84"/>
    <w:rsid w:val="129F4319"/>
    <w:rsid w:val="129F7B9C"/>
    <w:rsid w:val="12A019F6"/>
    <w:rsid w:val="12A0561E"/>
    <w:rsid w:val="12A123D0"/>
    <w:rsid w:val="12A130A0"/>
    <w:rsid w:val="12A1781C"/>
    <w:rsid w:val="12A20B21"/>
    <w:rsid w:val="12A32D1F"/>
    <w:rsid w:val="12A33949"/>
    <w:rsid w:val="12A407A1"/>
    <w:rsid w:val="12A44024"/>
    <w:rsid w:val="12A549E0"/>
    <w:rsid w:val="12A61726"/>
    <w:rsid w:val="12A63A7D"/>
    <w:rsid w:val="12A63CA4"/>
    <w:rsid w:val="12A67527"/>
    <w:rsid w:val="12A72E86"/>
    <w:rsid w:val="12A74FA9"/>
    <w:rsid w:val="12A765FF"/>
    <w:rsid w:val="12A7719E"/>
    <w:rsid w:val="12A771A7"/>
    <w:rsid w:val="12A82A2A"/>
    <w:rsid w:val="12A84C29"/>
    <w:rsid w:val="12A90717"/>
    <w:rsid w:val="12A926AA"/>
    <w:rsid w:val="12AA012C"/>
    <w:rsid w:val="12AA5F2D"/>
    <w:rsid w:val="12AB1C90"/>
    <w:rsid w:val="12AB5BAD"/>
    <w:rsid w:val="12AD10B0"/>
    <w:rsid w:val="12AD33CD"/>
    <w:rsid w:val="12AD6EB2"/>
    <w:rsid w:val="12AE4934"/>
    <w:rsid w:val="12AE6B32"/>
    <w:rsid w:val="12AF7E37"/>
    <w:rsid w:val="12B02035"/>
    <w:rsid w:val="12B1333A"/>
    <w:rsid w:val="12B15EBF"/>
    <w:rsid w:val="12B17AB7"/>
    <w:rsid w:val="12B25538"/>
    <w:rsid w:val="12B3683D"/>
    <w:rsid w:val="12B40A3B"/>
    <w:rsid w:val="12B47FD6"/>
    <w:rsid w:val="12B719C0"/>
    <w:rsid w:val="12B90746"/>
    <w:rsid w:val="12B91160"/>
    <w:rsid w:val="12B94EC3"/>
    <w:rsid w:val="12BA12DA"/>
    <w:rsid w:val="12BA2945"/>
    <w:rsid w:val="12BA61C8"/>
    <w:rsid w:val="12BB3C49"/>
    <w:rsid w:val="12BB6505"/>
    <w:rsid w:val="12BC16CB"/>
    <w:rsid w:val="12BD38C9"/>
    <w:rsid w:val="12BD714C"/>
    <w:rsid w:val="12BE134B"/>
    <w:rsid w:val="12BE4BCE"/>
    <w:rsid w:val="12BE6DCC"/>
    <w:rsid w:val="12BF0270"/>
    <w:rsid w:val="12BF0434"/>
    <w:rsid w:val="12BF2650"/>
    <w:rsid w:val="12BF484E"/>
    <w:rsid w:val="12C022CF"/>
    <w:rsid w:val="12C119AD"/>
    <w:rsid w:val="12C15B53"/>
    <w:rsid w:val="12C22387"/>
    <w:rsid w:val="12C25D81"/>
    <w:rsid w:val="12C30882"/>
    <w:rsid w:val="12C31056"/>
    <w:rsid w:val="12C33AC5"/>
    <w:rsid w:val="12C4449F"/>
    <w:rsid w:val="12C54559"/>
    <w:rsid w:val="12C65A18"/>
    <w:rsid w:val="12C65BDC"/>
    <w:rsid w:val="12C67A5C"/>
    <w:rsid w:val="12C754DE"/>
    <w:rsid w:val="12C87155"/>
    <w:rsid w:val="12C909E1"/>
    <w:rsid w:val="12CA6462"/>
    <w:rsid w:val="12CB3EE4"/>
    <w:rsid w:val="12CC1965"/>
    <w:rsid w:val="12CD73E7"/>
    <w:rsid w:val="12CE4E68"/>
    <w:rsid w:val="12D133CA"/>
    <w:rsid w:val="12D13FC1"/>
    <w:rsid w:val="12D15DED"/>
    <w:rsid w:val="12D2386F"/>
    <w:rsid w:val="12D312F0"/>
    <w:rsid w:val="12D31D92"/>
    <w:rsid w:val="12D43D6B"/>
    <w:rsid w:val="12D46D72"/>
    <w:rsid w:val="12D547F3"/>
    <w:rsid w:val="12D616CB"/>
    <w:rsid w:val="12D82A7F"/>
    <w:rsid w:val="12D82C44"/>
    <w:rsid w:val="12D931F9"/>
    <w:rsid w:val="12DA3FF8"/>
    <w:rsid w:val="12DB66FD"/>
    <w:rsid w:val="12DC417E"/>
    <w:rsid w:val="12DC7A01"/>
    <w:rsid w:val="12DD1C00"/>
    <w:rsid w:val="12DD62D4"/>
    <w:rsid w:val="12DE2F04"/>
    <w:rsid w:val="12DE6E73"/>
    <w:rsid w:val="12DE7681"/>
    <w:rsid w:val="12DF0986"/>
    <w:rsid w:val="12DF2B84"/>
    <w:rsid w:val="12E00606"/>
    <w:rsid w:val="12E00F8A"/>
    <w:rsid w:val="12E059F2"/>
    <w:rsid w:val="12E117A0"/>
    <w:rsid w:val="12E13E89"/>
    <w:rsid w:val="12E2190B"/>
    <w:rsid w:val="12E23B09"/>
    <w:rsid w:val="12E3158A"/>
    <w:rsid w:val="12E326D0"/>
    <w:rsid w:val="12E44E0E"/>
    <w:rsid w:val="12E4700C"/>
    <w:rsid w:val="12E5288F"/>
    <w:rsid w:val="12E54A8E"/>
    <w:rsid w:val="12E60311"/>
    <w:rsid w:val="12E65D92"/>
    <w:rsid w:val="12E73814"/>
    <w:rsid w:val="12E81295"/>
    <w:rsid w:val="12E85A12"/>
    <w:rsid w:val="12E8656E"/>
    <w:rsid w:val="12E93494"/>
    <w:rsid w:val="12E96D17"/>
    <w:rsid w:val="12EA0F15"/>
    <w:rsid w:val="12EA4799"/>
    <w:rsid w:val="12EA7CAB"/>
    <w:rsid w:val="12EB6997"/>
    <w:rsid w:val="12EC1224"/>
    <w:rsid w:val="12EC1DC3"/>
    <w:rsid w:val="12ED1E9A"/>
    <w:rsid w:val="12ED279D"/>
    <w:rsid w:val="12ED3332"/>
    <w:rsid w:val="12EE319F"/>
    <w:rsid w:val="12EE333C"/>
    <w:rsid w:val="12EF0C20"/>
    <w:rsid w:val="12EF539D"/>
    <w:rsid w:val="12EF5F14"/>
    <w:rsid w:val="12F02E1F"/>
    <w:rsid w:val="12F108A0"/>
    <w:rsid w:val="12F14123"/>
    <w:rsid w:val="12F21BA5"/>
    <w:rsid w:val="12F25FF2"/>
    <w:rsid w:val="12F26322"/>
    <w:rsid w:val="12F369CC"/>
    <w:rsid w:val="12F41825"/>
    <w:rsid w:val="12F450A8"/>
    <w:rsid w:val="12F473A6"/>
    <w:rsid w:val="12F572A6"/>
    <w:rsid w:val="12F6091F"/>
    <w:rsid w:val="12F627A9"/>
    <w:rsid w:val="12F8205D"/>
    <w:rsid w:val="12F83AAE"/>
    <w:rsid w:val="12F92A37"/>
    <w:rsid w:val="12FA11B0"/>
    <w:rsid w:val="12FB4A33"/>
    <w:rsid w:val="12FB4B4E"/>
    <w:rsid w:val="12FB6C31"/>
    <w:rsid w:val="12FC46B3"/>
    <w:rsid w:val="12FD7F36"/>
    <w:rsid w:val="12FE16DE"/>
    <w:rsid w:val="12FE3439"/>
    <w:rsid w:val="12FE59B8"/>
    <w:rsid w:val="12FE7BB6"/>
    <w:rsid w:val="12FF0EBB"/>
    <w:rsid w:val="12FF5637"/>
    <w:rsid w:val="12FF7805"/>
    <w:rsid w:val="130030B9"/>
    <w:rsid w:val="13010F42"/>
    <w:rsid w:val="130143BE"/>
    <w:rsid w:val="130265BC"/>
    <w:rsid w:val="130322F6"/>
    <w:rsid w:val="1303403E"/>
    <w:rsid w:val="13041ABF"/>
    <w:rsid w:val="13045342"/>
    <w:rsid w:val="13052DC4"/>
    <w:rsid w:val="13060846"/>
    <w:rsid w:val="13064FC2"/>
    <w:rsid w:val="130725DA"/>
    <w:rsid w:val="13072A44"/>
    <w:rsid w:val="13083D49"/>
    <w:rsid w:val="13086525"/>
    <w:rsid w:val="130A39C8"/>
    <w:rsid w:val="130B144A"/>
    <w:rsid w:val="130B4C68"/>
    <w:rsid w:val="130B4FD3"/>
    <w:rsid w:val="130C11DC"/>
    <w:rsid w:val="130C274F"/>
    <w:rsid w:val="130C6ECC"/>
    <w:rsid w:val="130D494D"/>
    <w:rsid w:val="130E23CF"/>
    <w:rsid w:val="130E2754"/>
    <w:rsid w:val="130E5C52"/>
    <w:rsid w:val="130F58D2"/>
    <w:rsid w:val="13101155"/>
    <w:rsid w:val="13110DD5"/>
    <w:rsid w:val="1311486C"/>
    <w:rsid w:val="13114A30"/>
    <w:rsid w:val="1312540B"/>
    <w:rsid w:val="13126856"/>
    <w:rsid w:val="13141D5A"/>
    <w:rsid w:val="13146984"/>
    <w:rsid w:val="13147B5B"/>
    <w:rsid w:val="131555DD"/>
    <w:rsid w:val="1316305E"/>
    <w:rsid w:val="13170AE0"/>
    <w:rsid w:val="13171988"/>
    <w:rsid w:val="13172CDE"/>
    <w:rsid w:val="13180D47"/>
    <w:rsid w:val="13183FE3"/>
    <w:rsid w:val="131961E1"/>
    <w:rsid w:val="131A358D"/>
    <w:rsid w:val="131A74E6"/>
    <w:rsid w:val="131C29E9"/>
    <w:rsid w:val="131D046B"/>
    <w:rsid w:val="131D4BE7"/>
    <w:rsid w:val="131D56A4"/>
    <w:rsid w:val="131D5869"/>
    <w:rsid w:val="131E2669"/>
    <w:rsid w:val="131F00EB"/>
    <w:rsid w:val="131F396E"/>
    <w:rsid w:val="13205B6C"/>
    <w:rsid w:val="132072B9"/>
    <w:rsid w:val="13216E71"/>
    <w:rsid w:val="13220D35"/>
    <w:rsid w:val="13220EF9"/>
    <w:rsid w:val="13236AF1"/>
    <w:rsid w:val="13243011"/>
    <w:rsid w:val="13247DF6"/>
    <w:rsid w:val="13251FF4"/>
    <w:rsid w:val="13253BB0"/>
    <w:rsid w:val="13255877"/>
    <w:rsid w:val="13270D7A"/>
    <w:rsid w:val="132754F7"/>
    <w:rsid w:val="1328154C"/>
    <w:rsid w:val="13281DD8"/>
    <w:rsid w:val="132867FC"/>
    <w:rsid w:val="13291396"/>
    <w:rsid w:val="1329427D"/>
    <w:rsid w:val="132B7780"/>
    <w:rsid w:val="132C5202"/>
    <w:rsid w:val="132D1357"/>
    <w:rsid w:val="132D2C84"/>
    <w:rsid w:val="132F3C08"/>
    <w:rsid w:val="132F6187"/>
    <w:rsid w:val="1330168A"/>
    <w:rsid w:val="1331304A"/>
    <w:rsid w:val="13313E49"/>
    <w:rsid w:val="1331710B"/>
    <w:rsid w:val="13324B8D"/>
    <w:rsid w:val="1333260E"/>
    <w:rsid w:val="13340090"/>
    <w:rsid w:val="1334693B"/>
    <w:rsid w:val="13367EB4"/>
    <w:rsid w:val="13370A53"/>
    <w:rsid w:val="13371015"/>
    <w:rsid w:val="13373808"/>
    <w:rsid w:val="13373B73"/>
    <w:rsid w:val="1338007B"/>
    <w:rsid w:val="13386A96"/>
    <w:rsid w:val="13391FCB"/>
    <w:rsid w:val="13392190"/>
    <w:rsid w:val="13392385"/>
    <w:rsid w:val="133B7A1B"/>
    <w:rsid w:val="133D2F1E"/>
    <w:rsid w:val="133E099F"/>
    <w:rsid w:val="133E63BF"/>
    <w:rsid w:val="133F6421"/>
    <w:rsid w:val="13403EA3"/>
    <w:rsid w:val="13410312"/>
    <w:rsid w:val="134104D7"/>
    <w:rsid w:val="13411924"/>
    <w:rsid w:val="134273A6"/>
    <w:rsid w:val="1344242A"/>
    <w:rsid w:val="13442EB6"/>
    <w:rsid w:val="1344612C"/>
    <w:rsid w:val="13453BAE"/>
    <w:rsid w:val="134566BC"/>
    <w:rsid w:val="1346162F"/>
    <w:rsid w:val="1346590F"/>
    <w:rsid w:val="13465FE5"/>
    <w:rsid w:val="134712AF"/>
    <w:rsid w:val="134770B1"/>
    <w:rsid w:val="134850E0"/>
    <w:rsid w:val="134925B4"/>
    <w:rsid w:val="134947B2"/>
    <w:rsid w:val="134A2234"/>
    <w:rsid w:val="134B5AB7"/>
    <w:rsid w:val="134B71F7"/>
    <w:rsid w:val="134C0770"/>
    <w:rsid w:val="134C3538"/>
    <w:rsid w:val="134C5737"/>
    <w:rsid w:val="134D0FBA"/>
    <w:rsid w:val="134D114A"/>
    <w:rsid w:val="134E0C3A"/>
    <w:rsid w:val="134F1F3F"/>
    <w:rsid w:val="134F2888"/>
    <w:rsid w:val="134F44BD"/>
    <w:rsid w:val="13503262"/>
    <w:rsid w:val="13515442"/>
    <w:rsid w:val="13522EC3"/>
    <w:rsid w:val="1352499F"/>
    <w:rsid w:val="13530945"/>
    <w:rsid w:val="1353537A"/>
    <w:rsid w:val="13540457"/>
    <w:rsid w:val="13542B43"/>
    <w:rsid w:val="13550511"/>
    <w:rsid w:val="135505C5"/>
    <w:rsid w:val="13557BCB"/>
    <w:rsid w:val="13566046"/>
    <w:rsid w:val="13566748"/>
    <w:rsid w:val="1357734B"/>
    <w:rsid w:val="13584DCD"/>
    <w:rsid w:val="13590BEF"/>
    <w:rsid w:val="1359284E"/>
    <w:rsid w:val="135A02D0"/>
    <w:rsid w:val="135A4A4C"/>
    <w:rsid w:val="135B2B22"/>
    <w:rsid w:val="135B5D51"/>
    <w:rsid w:val="135C425F"/>
    <w:rsid w:val="135D4C39"/>
    <w:rsid w:val="135D59D1"/>
    <w:rsid w:val="135E3453"/>
    <w:rsid w:val="135E6CD6"/>
    <w:rsid w:val="135F0ED4"/>
    <w:rsid w:val="135F4757"/>
    <w:rsid w:val="136043D7"/>
    <w:rsid w:val="13606F15"/>
    <w:rsid w:val="1362048E"/>
    <w:rsid w:val="136256DC"/>
    <w:rsid w:val="13630E68"/>
    <w:rsid w:val="1363535C"/>
    <w:rsid w:val="13640BDF"/>
    <w:rsid w:val="13640F25"/>
    <w:rsid w:val="13641446"/>
    <w:rsid w:val="13642DDD"/>
    <w:rsid w:val="13662F80"/>
    <w:rsid w:val="136640E2"/>
    <w:rsid w:val="136662E0"/>
    <w:rsid w:val="13671B64"/>
    <w:rsid w:val="136746BD"/>
    <w:rsid w:val="13692DB7"/>
    <w:rsid w:val="13697265"/>
    <w:rsid w:val="136A056A"/>
    <w:rsid w:val="136A67D5"/>
    <w:rsid w:val="136B5FEC"/>
    <w:rsid w:val="136C01EA"/>
    <w:rsid w:val="136C3A6D"/>
    <w:rsid w:val="136C7B89"/>
    <w:rsid w:val="136C7D4D"/>
    <w:rsid w:val="136D0728"/>
    <w:rsid w:val="136D1391"/>
    <w:rsid w:val="136D14EF"/>
    <w:rsid w:val="136D5C6B"/>
    <w:rsid w:val="136E1102"/>
    <w:rsid w:val="136E6F70"/>
    <w:rsid w:val="136F116E"/>
    <w:rsid w:val="13702473"/>
    <w:rsid w:val="1370283F"/>
    <w:rsid w:val="13706BF0"/>
    <w:rsid w:val="13713219"/>
    <w:rsid w:val="13714672"/>
    <w:rsid w:val="13714B85"/>
    <w:rsid w:val="13714EF1"/>
    <w:rsid w:val="13717EF5"/>
    <w:rsid w:val="137220F3"/>
    <w:rsid w:val="13723C23"/>
    <w:rsid w:val="13723DB8"/>
    <w:rsid w:val="13725976"/>
    <w:rsid w:val="13737B75"/>
    <w:rsid w:val="13740E79"/>
    <w:rsid w:val="13745331"/>
    <w:rsid w:val="137454F5"/>
    <w:rsid w:val="137455F6"/>
    <w:rsid w:val="13753078"/>
    <w:rsid w:val="137568FB"/>
    <w:rsid w:val="13760AF9"/>
    <w:rsid w:val="137668AA"/>
    <w:rsid w:val="13771DFE"/>
    <w:rsid w:val="13773FFC"/>
    <w:rsid w:val="1377657B"/>
    <w:rsid w:val="137A20FF"/>
    <w:rsid w:val="137A2D83"/>
    <w:rsid w:val="137A4F81"/>
    <w:rsid w:val="137B0804"/>
    <w:rsid w:val="137C0484"/>
    <w:rsid w:val="137C6286"/>
    <w:rsid w:val="137D3D07"/>
    <w:rsid w:val="13806E8A"/>
    <w:rsid w:val="1381018F"/>
    <w:rsid w:val="1381490C"/>
    <w:rsid w:val="13815EDF"/>
    <w:rsid w:val="13816ECC"/>
    <w:rsid w:val="1382238D"/>
    <w:rsid w:val="13825C11"/>
    <w:rsid w:val="13830FE4"/>
    <w:rsid w:val="13841114"/>
    <w:rsid w:val="1385255D"/>
    <w:rsid w:val="13862F37"/>
    <w:rsid w:val="138630FC"/>
    <w:rsid w:val="13872098"/>
    <w:rsid w:val="13873911"/>
    <w:rsid w:val="13876815"/>
    <w:rsid w:val="13877509"/>
    <w:rsid w:val="13887B1A"/>
    <w:rsid w:val="1389559C"/>
    <w:rsid w:val="138A301D"/>
    <w:rsid w:val="138A779A"/>
    <w:rsid w:val="138B0A9F"/>
    <w:rsid w:val="138C2C9D"/>
    <w:rsid w:val="138C6520"/>
    <w:rsid w:val="138D071E"/>
    <w:rsid w:val="138D2581"/>
    <w:rsid w:val="138D3FA2"/>
    <w:rsid w:val="138E06DF"/>
    <w:rsid w:val="138E08A4"/>
    <w:rsid w:val="138E61A0"/>
    <w:rsid w:val="138F3C22"/>
    <w:rsid w:val="138F74A5"/>
    <w:rsid w:val="139029BB"/>
    <w:rsid w:val="139129A8"/>
    <w:rsid w:val="13920429"/>
    <w:rsid w:val="139231D1"/>
    <w:rsid w:val="13935EAB"/>
    <w:rsid w:val="139452E8"/>
    <w:rsid w:val="139454AD"/>
    <w:rsid w:val="13951726"/>
    <w:rsid w:val="13966E30"/>
    <w:rsid w:val="139748B1"/>
    <w:rsid w:val="13977400"/>
    <w:rsid w:val="139775C4"/>
    <w:rsid w:val="13987DB4"/>
    <w:rsid w:val="13987F9F"/>
    <w:rsid w:val="13990B3D"/>
    <w:rsid w:val="13995836"/>
    <w:rsid w:val="139A32B7"/>
    <w:rsid w:val="139B0D39"/>
    <w:rsid w:val="139C67BB"/>
    <w:rsid w:val="139D3570"/>
    <w:rsid w:val="139D362F"/>
    <w:rsid w:val="139E304F"/>
    <w:rsid w:val="139F5747"/>
    <w:rsid w:val="13A062E5"/>
    <w:rsid w:val="13A12C42"/>
    <w:rsid w:val="13A13C78"/>
    <w:rsid w:val="13A206C4"/>
    <w:rsid w:val="13A36145"/>
    <w:rsid w:val="13A40DD7"/>
    <w:rsid w:val="13A62350"/>
    <w:rsid w:val="13A74B4C"/>
    <w:rsid w:val="13A9004F"/>
    <w:rsid w:val="13A938D2"/>
    <w:rsid w:val="13AA1353"/>
    <w:rsid w:val="13AA5AD0"/>
    <w:rsid w:val="13AB5BA5"/>
    <w:rsid w:val="13AB6DD5"/>
    <w:rsid w:val="13AC0FD3"/>
    <w:rsid w:val="13AC657F"/>
    <w:rsid w:val="13AC7696"/>
    <w:rsid w:val="13AD455F"/>
    <w:rsid w:val="13AE7D5A"/>
    <w:rsid w:val="13AF13FA"/>
    <w:rsid w:val="13AF1F58"/>
    <w:rsid w:val="13AF57DB"/>
    <w:rsid w:val="13B07048"/>
    <w:rsid w:val="13B2189A"/>
    <w:rsid w:val="13B26760"/>
    <w:rsid w:val="13B33D27"/>
    <w:rsid w:val="13B33EEB"/>
    <w:rsid w:val="13B341E1"/>
    <w:rsid w:val="13B363E0"/>
    <w:rsid w:val="13B41C63"/>
    <w:rsid w:val="13B43E61"/>
    <w:rsid w:val="13B448C6"/>
    <w:rsid w:val="13B44A8A"/>
    <w:rsid w:val="13B518E3"/>
    <w:rsid w:val="13B576E5"/>
    <w:rsid w:val="13B65166"/>
    <w:rsid w:val="13B67364"/>
    <w:rsid w:val="13B718D3"/>
    <w:rsid w:val="13B72BE8"/>
    <w:rsid w:val="13B82867"/>
    <w:rsid w:val="13B860EB"/>
    <w:rsid w:val="13B8757C"/>
    <w:rsid w:val="13B902E9"/>
    <w:rsid w:val="13BA5D6B"/>
    <w:rsid w:val="13BB37EC"/>
    <w:rsid w:val="13BC126E"/>
    <w:rsid w:val="13BC4AF1"/>
    <w:rsid w:val="13BD6CEF"/>
    <w:rsid w:val="13BE4771"/>
    <w:rsid w:val="13BF21F2"/>
    <w:rsid w:val="13BF5A76"/>
    <w:rsid w:val="13C034F7"/>
    <w:rsid w:val="13C07C74"/>
    <w:rsid w:val="13C10F79"/>
    <w:rsid w:val="13C156F5"/>
    <w:rsid w:val="13C23177"/>
    <w:rsid w:val="13C269FA"/>
    <w:rsid w:val="13C26E3B"/>
    <w:rsid w:val="13C3447C"/>
    <w:rsid w:val="13C379DA"/>
    <w:rsid w:val="13C41EFD"/>
    <w:rsid w:val="13C4667A"/>
    <w:rsid w:val="13C50F53"/>
    <w:rsid w:val="13C540FC"/>
    <w:rsid w:val="13C5797F"/>
    <w:rsid w:val="13C61B7D"/>
    <w:rsid w:val="13C72E82"/>
    <w:rsid w:val="13C82B02"/>
    <w:rsid w:val="13C82EBD"/>
    <w:rsid w:val="13C83C09"/>
    <w:rsid w:val="13C90583"/>
    <w:rsid w:val="13C96385"/>
    <w:rsid w:val="13CA1BEF"/>
    <w:rsid w:val="13CA3E07"/>
    <w:rsid w:val="13CA5182"/>
    <w:rsid w:val="13CB1888"/>
    <w:rsid w:val="13CD6F8A"/>
    <w:rsid w:val="13CE4A0B"/>
    <w:rsid w:val="13CE4C93"/>
    <w:rsid w:val="13CF028E"/>
    <w:rsid w:val="13CF0812"/>
    <w:rsid w:val="13D013B1"/>
    <w:rsid w:val="13D03791"/>
    <w:rsid w:val="13D05D10"/>
    <w:rsid w:val="13D11213"/>
    <w:rsid w:val="13D15990"/>
    <w:rsid w:val="13D2292A"/>
    <w:rsid w:val="13D23411"/>
    <w:rsid w:val="13D26C95"/>
    <w:rsid w:val="13D30E93"/>
    <w:rsid w:val="13D322E7"/>
    <w:rsid w:val="13D33304"/>
    <w:rsid w:val="13D34716"/>
    <w:rsid w:val="13D46914"/>
    <w:rsid w:val="13D54396"/>
    <w:rsid w:val="13D5487D"/>
    <w:rsid w:val="13D57C19"/>
    <w:rsid w:val="13D7311C"/>
    <w:rsid w:val="13D7532F"/>
    <w:rsid w:val="13D76B59"/>
    <w:rsid w:val="13D77899"/>
    <w:rsid w:val="13D92A72"/>
    <w:rsid w:val="13D92D9C"/>
    <w:rsid w:val="13D9346A"/>
    <w:rsid w:val="13D93620"/>
    <w:rsid w:val="13D9661F"/>
    <w:rsid w:val="13DA081E"/>
    <w:rsid w:val="13DA40A1"/>
    <w:rsid w:val="13DC3D21"/>
    <w:rsid w:val="13DD17A2"/>
    <w:rsid w:val="13DE2AA7"/>
    <w:rsid w:val="13DE7224"/>
    <w:rsid w:val="13DF0529"/>
    <w:rsid w:val="13DF413D"/>
    <w:rsid w:val="13DF4CA5"/>
    <w:rsid w:val="13E001A9"/>
    <w:rsid w:val="13E04CDB"/>
    <w:rsid w:val="13E05FAA"/>
    <w:rsid w:val="13E10C14"/>
    <w:rsid w:val="13E15C2A"/>
    <w:rsid w:val="13E3112D"/>
    <w:rsid w:val="13E36DF3"/>
    <w:rsid w:val="13E4036C"/>
    <w:rsid w:val="13E449B0"/>
    <w:rsid w:val="13E52432"/>
    <w:rsid w:val="13E54630"/>
    <w:rsid w:val="13E620B2"/>
    <w:rsid w:val="13E67EB4"/>
    <w:rsid w:val="13E75935"/>
    <w:rsid w:val="13E7683E"/>
    <w:rsid w:val="13E77B33"/>
    <w:rsid w:val="13E833B7"/>
    <w:rsid w:val="13E855B5"/>
    <w:rsid w:val="13E968BA"/>
    <w:rsid w:val="13EA433B"/>
    <w:rsid w:val="13EB1DBD"/>
    <w:rsid w:val="13EB5139"/>
    <w:rsid w:val="13EB653A"/>
    <w:rsid w:val="13EC783E"/>
    <w:rsid w:val="13ED1A3D"/>
    <w:rsid w:val="13ED3B88"/>
    <w:rsid w:val="13EE2D42"/>
    <w:rsid w:val="13EE74BE"/>
    <w:rsid w:val="13EF07C3"/>
    <w:rsid w:val="13EF4F40"/>
    <w:rsid w:val="13F029C1"/>
    <w:rsid w:val="13F10443"/>
    <w:rsid w:val="13F13CC6"/>
    <w:rsid w:val="13F332BC"/>
    <w:rsid w:val="13F33946"/>
    <w:rsid w:val="13F371C9"/>
    <w:rsid w:val="13F413C8"/>
    <w:rsid w:val="13F41A5D"/>
    <w:rsid w:val="13F44C4B"/>
    <w:rsid w:val="13F910D3"/>
    <w:rsid w:val="13F976AF"/>
    <w:rsid w:val="13FA0089"/>
    <w:rsid w:val="13FA6B54"/>
    <w:rsid w:val="13FB45D6"/>
    <w:rsid w:val="13FC17C7"/>
    <w:rsid w:val="13FC2057"/>
    <w:rsid w:val="13FD0D31"/>
    <w:rsid w:val="13FD21A1"/>
    <w:rsid w:val="13FD7AD9"/>
    <w:rsid w:val="13FE38DE"/>
    <w:rsid w:val="13FF2FDC"/>
    <w:rsid w:val="14000A5D"/>
    <w:rsid w:val="1402620C"/>
    <w:rsid w:val="14036DAA"/>
    <w:rsid w:val="140426E0"/>
    <w:rsid w:val="1404348D"/>
    <w:rsid w:val="14044EE5"/>
    <w:rsid w:val="14052967"/>
    <w:rsid w:val="14071A60"/>
    <w:rsid w:val="14075E6A"/>
    <w:rsid w:val="140838EB"/>
    <w:rsid w:val="140B4552"/>
    <w:rsid w:val="140B4717"/>
    <w:rsid w:val="140D7D73"/>
    <w:rsid w:val="140E1078"/>
    <w:rsid w:val="140E7208"/>
    <w:rsid w:val="140F3276"/>
    <w:rsid w:val="140F6AF9"/>
    <w:rsid w:val="140F7DA7"/>
    <w:rsid w:val="1410457B"/>
    <w:rsid w:val="14111FFD"/>
    <w:rsid w:val="14123C2A"/>
    <w:rsid w:val="14131C7C"/>
    <w:rsid w:val="14143273"/>
    <w:rsid w:val="14150A03"/>
    <w:rsid w:val="14155180"/>
    <w:rsid w:val="14162C01"/>
    <w:rsid w:val="14170683"/>
    <w:rsid w:val="141860EE"/>
    <w:rsid w:val="14186104"/>
    <w:rsid w:val="14191607"/>
    <w:rsid w:val="14193B86"/>
    <w:rsid w:val="14197409"/>
    <w:rsid w:val="141A4E8B"/>
    <w:rsid w:val="141B290C"/>
    <w:rsid w:val="141C038E"/>
    <w:rsid w:val="141C258C"/>
    <w:rsid w:val="141D000D"/>
    <w:rsid w:val="141D5E0F"/>
    <w:rsid w:val="141E03DE"/>
    <w:rsid w:val="141E2CF7"/>
    <w:rsid w:val="141E3891"/>
    <w:rsid w:val="141F1312"/>
    <w:rsid w:val="141F3511"/>
    <w:rsid w:val="14206D94"/>
    <w:rsid w:val="14212297"/>
    <w:rsid w:val="14214815"/>
    <w:rsid w:val="14216A14"/>
    <w:rsid w:val="14217850"/>
    <w:rsid w:val="14227D18"/>
    <w:rsid w:val="14231F17"/>
    <w:rsid w:val="1423579A"/>
    <w:rsid w:val="1424321C"/>
    <w:rsid w:val="14255085"/>
    <w:rsid w:val="1425541A"/>
    <w:rsid w:val="1426049F"/>
    <w:rsid w:val="14262E9B"/>
    <w:rsid w:val="1426671F"/>
    <w:rsid w:val="14281C22"/>
    <w:rsid w:val="1428639F"/>
    <w:rsid w:val="142923F2"/>
    <w:rsid w:val="14292F91"/>
    <w:rsid w:val="14293155"/>
    <w:rsid w:val="142A3B2F"/>
    <w:rsid w:val="142A5125"/>
    <w:rsid w:val="142B2BA6"/>
    <w:rsid w:val="142C4DA5"/>
    <w:rsid w:val="142C50A8"/>
    <w:rsid w:val="142E39D1"/>
    <w:rsid w:val="142E3B2B"/>
    <w:rsid w:val="142F15AD"/>
    <w:rsid w:val="142F71C0"/>
    <w:rsid w:val="142F7384"/>
    <w:rsid w:val="14301CC2"/>
    <w:rsid w:val="143037AB"/>
    <w:rsid w:val="1430702E"/>
    <w:rsid w:val="14314AB0"/>
    <w:rsid w:val="14322531"/>
    <w:rsid w:val="143321B1"/>
    <w:rsid w:val="14345A34"/>
    <w:rsid w:val="143534B6"/>
    <w:rsid w:val="14364B2C"/>
    <w:rsid w:val="14370BB7"/>
    <w:rsid w:val="143769B9"/>
    <w:rsid w:val="14391EBC"/>
    <w:rsid w:val="14396509"/>
    <w:rsid w:val="143A1B3C"/>
    <w:rsid w:val="143A53BF"/>
    <w:rsid w:val="143B75BD"/>
    <w:rsid w:val="143C16C5"/>
    <w:rsid w:val="143C503F"/>
    <w:rsid w:val="143D2AC1"/>
    <w:rsid w:val="143D5402"/>
    <w:rsid w:val="143D6344"/>
    <w:rsid w:val="143E0542"/>
    <w:rsid w:val="143E3DC5"/>
    <w:rsid w:val="143E4B76"/>
    <w:rsid w:val="143F1847"/>
    <w:rsid w:val="143F3C13"/>
    <w:rsid w:val="143F5FC4"/>
    <w:rsid w:val="14403689"/>
    <w:rsid w:val="1440384D"/>
    <w:rsid w:val="144072C9"/>
    <w:rsid w:val="144114C7"/>
    <w:rsid w:val="144143EC"/>
    <w:rsid w:val="14414D4A"/>
    <w:rsid w:val="144227CC"/>
    <w:rsid w:val="14426F48"/>
    <w:rsid w:val="1443024D"/>
    <w:rsid w:val="144349CA"/>
    <w:rsid w:val="1444244B"/>
    <w:rsid w:val="14445CCF"/>
    <w:rsid w:val="1444633F"/>
    <w:rsid w:val="14446EDD"/>
    <w:rsid w:val="144611D2"/>
    <w:rsid w:val="1446594F"/>
    <w:rsid w:val="14470E31"/>
    <w:rsid w:val="144733D0"/>
    <w:rsid w:val="14476C53"/>
    <w:rsid w:val="14480E52"/>
    <w:rsid w:val="14492156"/>
    <w:rsid w:val="144A1DD6"/>
    <w:rsid w:val="144A2F48"/>
    <w:rsid w:val="144A310D"/>
    <w:rsid w:val="144A7BD8"/>
    <w:rsid w:val="144C30DB"/>
    <w:rsid w:val="144C4685"/>
    <w:rsid w:val="144D0B5D"/>
    <w:rsid w:val="144E07DC"/>
    <w:rsid w:val="144E65DE"/>
    <w:rsid w:val="144F4060"/>
    <w:rsid w:val="144F625E"/>
    <w:rsid w:val="144F65D9"/>
    <w:rsid w:val="14501AE1"/>
    <w:rsid w:val="14503CE0"/>
    <w:rsid w:val="14511761"/>
    <w:rsid w:val="14514FE4"/>
    <w:rsid w:val="14517563"/>
    <w:rsid w:val="145206F0"/>
    <w:rsid w:val="1452128F"/>
    <w:rsid w:val="14521453"/>
    <w:rsid w:val="145533A6"/>
    <w:rsid w:val="145539EB"/>
    <w:rsid w:val="1456146C"/>
    <w:rsid w:val="14563D81"/>
    <w:rsid w:val="14566C51"/>
    <w:rsid w:val="14576EEE"/>
    <w:rsid w:val="145810EC"/>
    <w:rsid w:val="1458496F"/>
    <w:rsid w:val="145854BE"/>
    <w:rsid w:val="145923F1"/>
    <w:rsid w:val="14596B6E"/>
    <w:rsid w:val="145B2071"/>
    <w:rsid w:val="145B58F4"/>
    <w:rsid w:val="145C0174"/>
    <w:rsid w:val="145C3375"/>
    <w:rsid w:val="145D0B4E"/>
    <w:rsid w:val="145F20C7"/>
    <w:rsid w:val="14601D7C"/>
    <w:rsid w:val="14603804"/>
    <w:rsid w:val="146141DF"/>
    <w:rsid w:val="146177FD"/>
    <w:rsid w:val="14640782"/>
    <w:rsid w:val="14656E95"/>
    <w:rsid w:val="14671706"/>
    <w:rsid w:val="14681A9C"/>
    <w:rsid w:val="146849E3"/>
    <w:rsid w:val="14684B99"/>
    <w:rsid w:val="14687188"/>
    <w:rsid w:val="14694C0A"/>
    <w:rsid w:val="146A303F"/>
    <w:rsid w:val="146C1316"/>
    <w:rsid w:val="146E5BB6"/>
    <w:rsid w:val="146E6B13"/>
    <w:rsid w:val="1470712F"/>
    <w:rsid w:val="1472086C"/>
    <w:rsid w:val="14732F9B"/>
    <w:rsid w:val="1475649E"/>
    <w:rsid w:val="147677A3"/>
    <w:rsid w:val="14775224"/>
    <w:rsid w:val="14782CA6"/>
    <w:rsid w:val="14784A9B"/>
    <w:rsid w:val="147860A8"/>
    <w:rsid w:val="14790727"/>
    <w:rsid w:val="14794EA4"/>
    <w:rsid w:val="147952FC"/>
    <w:rsid w:val="14795475"/>
    <w:rsid w:val="147A6014"/>
    <w:rsid w:val="147A61A9"/>
    <w:rsid w:val="147A6BB3"/>
    <w:rsid w:val="147C16AC"/>
    <w:rsid w:val="147C5E29"/>
    <w:rsid w:val="147E4BAF"/>
    <w:rsid w:val="147F6DAD"/>
    <w:rsid w:val="148000B2"/>
    <w:rsid w:val="14802DE2"/>
    <w:rsid w:val="1480482F"/>
    <w:rsid w:val="148235B5"/>
    <w:rsid w:val="148257B3"/>
    <w:rsid w:val="14827D32"/>
    <w:rsid w:val="14840CB7"/>
    <w:rsid w:val="14846AB8"/>
    <w:rsid w:val="1485199D"/>
    <w:rsid w:val="148562AE"/>
    <w:rsid w:val="148641BA"/>
    <w:rsid w:val="14866E4C"/>
    <w:rsid w:val="14867011"/>
    <w:rsid w:val="14877402"/>
    <w:rsid w:val="1487776D"/>
    <w:rsid w:val="14877A3D"/>
    <w:rsid w:val="14877FF9"/>
    <w:rsid w:val="1488058A"/>
    <w:rsid w:val="14881128"/>
    <w:rsid w:val="14892F40"/>
    <w:rsid w:val="148A2BC0"/>
    <w:rsid w:val="148C3C1A"/>
    <w:rsid w:val="148D0A8A"/>
    <w:rsid w:val="148E4E49"/>
    <w:rsid w:val="148F7048"/>
    <w:rsid w:val="1490034C"/>
    <w:rsid w:val="14927FCC"/>
    <w:rsid w:val="149312D1"/>
    <w:rsid w:val="1493417A"/>
    <w:rsid w:val="1494234E"/>
    <w:rsid w:val="149434CF"/>
    <w:rsid w:val="149438EE"/>
    <w:rsid w:val="14943E0F"/>
    <w:rsid w:val="149547D4"/>
    <w:rsid w:val="14961BDF"/>
    <w:rsid w:val="14962256"/>
    <w:rsid w:val="1496293B"/>
    <w:rsid w:val="149669D2"/>
    <w:rsid w:val="14974454"/>
    <w:rsid w:val="14977CD7"/>
    <w:rsid w:val="14985759"/>
    <w:rsid w:val="14997957"/>
    <w:rsid w:val="149A2E5A"/>
    <w:rsid w:val="149A5FCB"/>
    <w:rsid w:val="149A6190"/>
    <w:rsid w:val="149B08DC"/>
    <w:rsid w:val="149D1BE1"/>
    <w:rsid w:val="149D3DDF"/>
    <w:rsid w:val="149E0C82"/>
    <w:rsid w:val="149F50E4"/>
    <w:rsid w:val="149F72E2"/>
    <w:rsid w:val="14A127E5"/>
    <w:rsid w:val="14A25F16"/>
    <w:rsid w:val="14A3156B"/>
    <w:rsid w:val="14A3568A"/>
    <w:rsid w:val="14A4376A"/>
    <w:rsid w:val="14A44DFE"/>
    <w:rsid w:val="14A44EB1"/>
    <w:rsid w:val="14A4588B"/>
    <w:rsid w:val="14A511EB"/>
    <w:rsid w:val="14A54A6E"/>
    <w:rsid w:val="14A56265"/>
    <w:rsid w:val="14A5684C"/>
    <w:rsid w:val="14A624F0"/>
    <w:rsid w:val="14A66C6D"/>
    <w:rsid w:val="14A66FC8"/>
    <w:rsid w:val="14A746EE"/>
    <w:rsid w:val="14A77F72"/>
    <w:rsid w:val="14A82170"/>
    <w:rsid w:val="14A859F3"/>
    <w:rsid w:val="14A910E0"/>
    <w:rsid w:val="14A93475"/>
    <w:rsid w:val="14A97BF1"/>
    <w:rsid w:val="14AA0EF6"/>
    <w:rsid w:val="14AA5673"/>
    <w:rsid w:val="14AB2659"/>
    <w:rsid w:val="14AB6978"/>
    <w:rsid w:val="14AF1AFB"/>
    <w:rsid w:val="14AF537E"/>
    <w:rsid w:val="14B02E00"/>
    <w:rsid w:val="14B0757C"/>
    <w:rsid w:val="14B10388"/>
    <w:rsid w:val="14B14FFE"/>
    <w:rsid w:val="14B22A7F"/>
    <w:rsid w:val="14B26303"/>
    <w:rsid w:val="14B27AFC"/>
    <w:rsid w:val="14B36B99"/>
    <w:rsid w:val="14B41806"/>
    <w:rsid w:val="14B51486"/>
    <w:rsid w:val="14B51D54"/>
    <w:rsid w:val="14B57287"/>
    <w:rsid w:val="14B62AB7"/>
    <w:rsid w:val="14B8240A"/>
    <w:rsid w:val="14B83929"/>
    <w:rsid w:val="14B84030"/>
    <w:rsid w:val="14B95C8D"/>
    <w:rsid w:val="14B97E8C"/>
    <w:rsid w:val="14BA1191"/>
    <w:rsid w:val="14BA55A9"/>
    <w:rsid w:val="14BA590D"/>
    <w:rsid w:val="14BB338F"/>
    <w:rsid w:val="14BB6147"/>
    <w:rsid w:val="14BD2115"/>
    <w:rsid w:val="14BD6892"/>
    <w:rsid w:val="14BD76C0"/>
    <w:rsid w:val="14BE025F"/>
    <w:rsid w:val="14BE4314"/>
    <w:rsid w:val="14BE7B97"/>
    <w:rsid w:val="14BF5618"/>
    <w:rsid w:val="14C02376"/>
    <w:rsid w:val="14C027FA"/>
    <w:rsid w:val="14C10CA0"/>
    <w:rsid w:val="14C12D51"/>
    <w:rsid w:val="14C2077F"/>
    <w:rsid w:val="14C2659D"/>
    <w:rsid w:val="14C41AA0"/>
    <w:rsid w:val="14C44E68"/>
    <w:rsid w:val="14C57522"/>
    <w:rsid w:val="14C663E1"/>
    <w:rsid w:val="14C804A6"/>
    <w:rsid w:val="14C8795A"/>
    <w:rsid w:val="14C87B1E"/>
    <w:rsid w:val="14CA0061"/>
    <w:rsid w:val="14CA5031"/>
    <w:rsid w:val="14CB1A71"/>
    <w:rsid w:val="14CC6EAC"/>
    <w:rsid w:val="14CE23B0"/>
    <w:rsid w:val="14CE4563"/>
    <w:rsid w:val="14CE4728"/>
    <w:rsid w:val="14CF7E31"/>
    <w:rsid w:val="14D031F3"/>
    <w:rsid w:val="14D058B3"/>
    <w:rsid w:val="14D6523E"/>
    <w:rsid w:val="14D80741"/>
    <w:rsid w:val="14DA3C44"/>
    <w:rsid w:val="14DA49C1"/>
    <w:rsid w:val="14DB4F49"/>
    <w:rsid w:val="14DB60FF"/>
    <w:rsid w:val="14DC5F3A"/>
    <w:rsid w:val="14DC6C9D"/>
    <w:rsid w:val="14DC77B4"/>
    <w:rsid w:val="14DC7969"/>
    <w:rsid w:val="14DD044C"/>
    <w:rsid w:val="14DD2C3C"/>
    <w:rsid w:val="14DD4BC8"/>
    <w:rsid w:val="14DD7678"/>
    <w:rsid w:val="14DE0052"/>
    <w:rsid w:val="14DE264A"/>
    <w:rsid w:val="14DE5ECD"/>
    <w:rsid w:val="14DE64E6"/>
    <w:rsid w:val="14DF00CB"/>
    <w:rsid w:val="14DF0BF0"/>
    <w:rsid w:val="14DF394F"/>
    <w:rsid w:val="14E013D0"/>
    <w:rsid w:val="14E05B4D"/>
    <w:rsid w:val="14E21050"/>
    <w:rsid w:val="14E22D08"/>
    <w:rsid w:val="14E248D3"/>
    <w:rsid w:val="14E36AD2"/>
    <w:rsid w:val="14E44281"/>
    <w:rsid w:val="14E44553"/>
    <w:rsid w:val="14E47DD6"/>
    <w:rsid w:val="14E51FD5"/>
    <w:rsid w:val="14E55858"/>
    <w:rsid w:val="14E632DA"/>
    <w:rsid w:val="14E754D8"/>
    <w:rsid w:val="14E82F59"/>
    <w:rsid w:val="14E909DB"/>
    <w:rsid w:val="14EA104F"/>
    <w:rsid w:val="14EA1CE0"/>
    <w:rsid w:val="14EA3EDE"/>
    <w:rsid w:val="14EA645D"/>
    <w:rsid w:val="14EB1960"/>
    <w:rsid w:val="14EB1BED"/>
    <w:rsid w:val="14EC0437"/>
    <w:rsid w:val="14EC0CC3"/>
    <w:rsid w:val="14ED2C64"/>
    <w:rsid w:val="14ED3166"/>
    <w:rsid w:val="14ED4E63"/>
    <w:rsid w:val="14EE06E6"/>
    <w:rsid w:val="14EE28E4"/>
    <w:rsid w:val="14EF0366"/>
    <w:rsid w:val="14EF6168"/>
    <w:rsid w:val="14F014A0"/>
    <w:rsid w:val="14F05DE7"/>
    <w:rsid w:val="14F1166B"/>
    <w:rsid w:val="14F13869"/>
    <w:rsid w:val="14F212EA"/>
    <w:rsid w:val="14F24B6E"/>
    <w:rsid w:val="14F36D6C"/>
    <w:rsid w:val="14F47F34"/>
    <w:rsid w:val="14F50E56"/>
    <w:rsid w:val="14F5226F"/>
    <w:rsid w:val="14F67CF1"/>
    <w:rsid w:val="14F70FF5"/>
    <w:rsid w:val="14F835C4"/>
    <w:rsid w:val="14F86A77"/>
    <w:rsid w:val="14F944F9"/>
    <w:rsid w:val="14FA1F7A"/>
    <w:rsid w:val="14FA3EE2"/>
    <w:rsid w:val="14FA66F7"/>
    <w:rsid w:val="14FC547D"/>
    <w:rsid w:val="14FD2EFF"/>
    <w:rsid w:val="14FE0980"/>
    <w:rsid w:val="14FE762F"/>
    <w:rsid w:val="14FF2B7F"/>
    <w:rsid w:val="15000600"/>
    <w:rsid w:val="15000D6C"/>
    <w:rsid w:val="15011905"/>
    <w:rsid w:val="15016082"/>
    <w:rsid w:val="150222E5"/>
    <w:rsid w:val="15023B03"/>
    <w:rsid w:val="15027387"/>
    <w:rsid w:val="15034E08"/>
    <w:rsid w:val="15037006"/>
    <w:rsid w:val="15052509"/>
    <w:rsid w:val="15081290"/>
    <w:rsid w:val="150870B3"/>
    <w:rsid w:val="15090F10"/>
    <w:rsid w:val="1509523C"/>
    <w:rsid w:val="150A0467"/>
    <w:rsid w:val="150A062C"/>
    <w:rsid w:val="150A448F"/>
    <w:rsid w:val="150A4793"/>
    <w:rsid w:val="150B2214"/>
    <w:rsid w:val="150B4413"/>
    <w:rsid w:val="150B7C96"/>
    <w:rsid w:val="150C1BA5"/>
    <w:rsid w:val="150C1E94"/>
    <w:rsid w:val="150D257F"/>
    <w:rsid w:val="150D3199"/>
    <w:rsid w:val="150F669C"/>
    <w:rsid w:val="1510411E"/>
    <w:rsid w:val="1511631C"/>
    <w:rsid w:val="15125C0F"/>
    <w:rsid w:val="15142B24"/>
    <w:rsid w:val="151472A1"/>
    <w:rsid w:val="15147EEB"/>
    <w:rsid w:val="151505A6"/>
    <w:rsid w:val="151508C6"/>
    <w:rsid w:val="15160E9C"/>
    <w:rsid w:val="15166027"/>
    <w:rsid w:val="15170225"/>
    <w:rsid w:val="15170610"/>
    <w:rsid w:val="1517097B"/>
    <w:rsid w:val="15177F3A"/>
    <w:rsid w:val="1518152A"/>
    <w:rsid w:val="15187343"/>
    <w:rsid w:val="151874F8"/>
    <w:rsid w:val="15187A19"/>
    <w:rsid w:val="15196FAC"/>
    <w:rsid w:val="151A11AA"/>
    <w:rsid w:val="151A4A2D"/>
    <w:rsid w:val="151B24AF"/>
    <w:rsid w:val="151C54CF"/>
    <w:rsid w:val="151C7F30"/>
    <w:rsid w:val="151D59B2"/>
    <w:rsid w:val="151D6CFF"/>
    <w:rsid w:val="151D7BB0"/>
    <w:rsid w:val="151E3433"/>
    <w:rsid w:val="151E5632"/>
    <w:rsid w:val="151F0EB5"/>
    <w:rsid w:val="151F30B3"/>
    <w:rsid w:val="151F3917"/>
    <w:rsid w:val="151F75E6"/>
    <w:rsid w:val="15200B35"/>
    <w:rsid w:val="15210B5F"/>
    <w:rsid w:val="152118C2"/>
    <w:rsid w:val="152143B8"/>
    <w:rsid w:val="152165B6"/>
    <w:rsid w:val="15224038"/>
    <w:rsid w:val="15243815"/>
    <w:rsid w:val="1524753B"/>
    <w:rsid w:val="152543B4"/>
    <w:rsid w:val="15254FBD"/>
    <w:rsid w:val="15262A3E"/>
    <w:rsid w:val="152662C1"/>
    <w:rsid w:val="15273D43"/>
    <w:rsid w:val="15297246"/>
    <w:rsid w:val="152A4CC8"/>
    <w:rsid w:val="152A7A45"/>
    <w:rsid w:val="152C01CB"/>
    <w:rsid w:val="152D253E"/>
    <w:rsid w:val="152D5C4C"/>
    <w:rsid w:val="152E36CE"/>
    <w:rsid w:val="1530464E"/>
    <w:rsid w:val="153220D4"/>
    <w:rsid w:val="15336765"/>
    <w:rsid w:val="15337B56"/>
    <w:rsid w:val="153455D7"/>
    <w:rsid w:val="153542FD"/>
    <w:rsid w:val="153544B2"/>
    <w:rsid w:val="15357CDE"/>
    <w:rsid w:val="15363550"/>
    <w:rsid w:val="1537655C"/>
    <w:rsid w:val="15383FDD"/>
    <w:rsid w:val="15391A5F"/>
    <w:rsid w:val="15392994"/>
    <w:rsid w:val="153B29E4"/>
    <w:rsid w:val="153B40D2"/>
    <w:rsid w:val="153B4AAC"/>
    <w:rsid w:val="153B4F62"/>
    <w:rsid w:val="153C0465"/>
    <w:rsid w:val="153D61E9"/>
    <w:rsid w:val="153E27FD"/>
    <w:rsid w:val="153E3968"/>
    <w:rsid w:val="15406E6B"/>
    <w:rsid w:val="154148ED"/>
    <w:rsid w:val="15420170"/>
    <w:rsid w:val="15433673"/>
    <w:rsid w:val="15435BF2"/>
    <w:rsid w:val="154371B0"/>
    <w:rsid w:val="15437DF0"/>
    <w:rsid w:val="154420C7"/>
    <w:rsid w:val="15442DF3"/>
    <w:rsid w:val="15445871"/>
    <w:rsid w:val="15456B76"/>
    <w:rsid w:val="15460D75"/>
    <w:rsid w:val="154645F8"/>
    <w:rsid w:val="15473448"/>
    <w:rsid w:val="15474F0A"/>
    <w:rsid w:val="154767F6"/>
    <w:rsid w:val="15484278"/>
    <w:rsid w:val="15491CF9"/>
    <w:rsid w:val="1549557C"/>
    <w:rsid w:val="154978F5"/>
    <w:rsid w:val="154A2FFE"/>
    <w:rsid w:val="154A777B"/>
    <w:rsid w:val="154B059B"/>
    <w:rsid w:val="154B0A80"/>
    <w:rsid w:val="154B51FC"/>
    <w:rsid w:val="154D06FF"/>
    <w:rsid w:val="154D3F83"/>
    <w:rsid w:val="154E1A04"/>
    <w:rsid w:val="154E6181"/>
    <w:rsid w:val="154F7486"/>
    <w:rsid w:val="15501684"/>
    <w:rsid w:val="15512989"/>
    <w:rsid w:val="15514605"/>
    <w:rsid w:val="1552040A"/>
    <w:rsid w:val="15524B87"/>
    <w:rsid w:val="155251A4"/>
    <w:rsid w:val="15535D43"/>
    <w:rsid w:val="1554390E"/>
    <w:rsid w:val="1555138F"/>
    <w:rsid w:val="155609F9"/>
    <w:rsid w:val="15567E5A"/>
    <w:rsid w:val="15574892"/>
    <w:rsid w:val="15575392"/>
    <w:rsid w:val="15576A90"/>
    <w:rsid w:val="15584512"/>
    <w:rsid w:val="15592B10"/>
    <w:rsid w:val="15597D95"/>
    <w:rsid w:val="155B4089"/>
    <w:rsid w:val="155C4A63"/>
    <w:rsid w:val="155D099A"/>
    <w:rsid w:val="155E2E9F"/>
    <w:rsid w:val="155E5FDC"/>
    <w:rsid w:val="155F3E9D"/>
    <w:rsid w:val="155F4320"/>
    <w:rsid w:val="155F468B"/>
    <w:rsid w:val="155F49F6"/>
    <w:rsid w:val="155F6B7B"/>
    <w:rsid w:val="155F7720"/>
    <w:rsid w:val="156051A2"/>
    <w:rsid w:val="1560771A"/>
    <w:rsid w:val="156100F4"/>
    <w:rsid w:val="156173A0"/>
    <w:rsid w:val="15624E21"/>
    <w:rsid w:val="15631831"/>
    <w:rsid w:val="15640325"/>
    <w:rsid w:val="15643BA8"/>
    <w:rsid w:val="15651629"/>
    <w:rsid w:val="156518B5"/>
    <w:rsid w:val="15655DA6"/>
    <w:rsid w:val="156712A9"/>
    <w:rsid w:val="15674B2D"/>
    <w:rsid w:val="15686D2B"/>
    <w:rsid w:val="15690030"/>
    <w:rsid w:val="156947AC"/>
    <w:rsid w:val="156B3533"/>
    <w:rsid w:val="156B7CAF"/>
    <w:rsid w:val="156C31B3"/>
    <w:rsid w:val="156D0C34"/>
    <w:rsid w:val="156D6A36"/>
    <w:rsid w:val="156E1ACB"/>
    <w:rsid w:val="156E44B7"/>
    <w:rsid w:val="156E66B6"/>
    <w:rsid w:val="156E6CB3"/>
    <w:rsid w:val="15701BB9"/>
    <w:rsid w:val="15703208"/>
    <w:rsid w:val="157079BA"/>
    <w:rsid w:val="1571543C"/>
    <w:rsid w:val="1571763A"/>
    <w:rsid w:val="157405BF"/>
    <w:rsid w:val="15743E42"/>
    <w:rsid w:val="157463C1"/>
    <w:rsid w:val="157466D4"/>
    <w:rsid w:val="15757273"/>
    <w:rsid w:val="15757437"/>
    <w:rsid w:val="15763AC2"/>
    <w:rsid w:val="15767E12"/>
    <w:rsid w:val="15771544"/>
    <w:rsid w:val="15774DC7"/>
    <w:rsid w:val="157902CA"/>
    <w:rsid w:val="15791EA6"/>
    <w:rsid w:val="15794A47"/>
    <w:rsid w:val="157A2903"/>
    <w:rsid w:val="157B7F4A"/>
    <w:rsid w:val="157C124F"/>
    <w:rsid w:val="157C59CB"/>
    <w:rsid w:val="157D01C2"/>
    <w:rsid w:val="157D4A1B"/>
    <w:rsid w:val="157D6CD0"/>
    <w:rsid w:val="157E0ECE"/>
    <w:rsid w:val="157E4752"/>
    <w:rsid w:val="157E7260"/>
    <w:rsid w:val="157E75CB"/>
    <w:rsid w:val="157F21D3"/>
    <w:rsid w:val="157F6158"/>
    <w:rsid w:val="158076D1"/>
    <w:rsid w:val="15807C55"/>
    <w:rsid w:val="15823158"/>
    <w:rsid w:val="158278D5"/>
    <w:rsid w:val="15830BD9"/>
    <w:rsid w:val="158317E9"/>
    <w:rsid w:val="15835356"/>
    <w:rsid w:val="158421C3"/>
    <w:rsid w:val="1584665B"/>
    <w:rsid w:val="15861B5E"/>
    <w:rsid w:val="15863900"/>
    <w:rsid w:val="15863D5C"/>
    <w:rsid w:val="158775E0"/>
    <w:rsid w:val="15885061"/>
    <w:rsid w:val="15894CE1"/>
    <w:rsid w:val="158A0564"/>
    <w:rsid w:val="158B5FE6"/>
    <w:rsid w:val="158C2634"/>
    <w:rsid w:val="158C5C66"/>
    <w:rsid w:val="158C796B"/>
    <w:rsid w:val="158D0509"/>
    <w:rsid w:val="158D06CE"/>
    <w:rsid w:val="158D6F6A"/>
    <w:rsid w:val="158E10A8"/>
    <w:rsid w:val="158E49EC"/>
    <w:rsid w:val="158F246E"/>
    <w:rsid w:val="158F27E5"/>
    <w:rsid w:val="15907EEF"/>
    <w:rsid w:val="15915971"/>
    <w:rsid w:val="15930E74"/>
    <w:rsid w:val="15952B2B"/>
    <w:rsid w:val="15956850"/>
    <w:rsid w:val="15961DF8"/>
    <w:rsid w:val="1596722A"/>
    <w:rsid w:val="15995F29"/>
    <w:rsid w:val="159A01A8"/>
    <w:rsid w:val="159A07FF"/>
    <w:rsid w:val="159A1EE1"/>
    <w:rsid w:val="159A569D"/>
    <w:rsid w:val="159A5853"/>
    <w:rsid w:val="159B361E"/>
    <w:rsid w:val="159B6280"/>
    <w:rsid w:val="159C3459"/>
    <w:rsid w:val="159D49D2"/>
    <w:rsid w:val="159F6110"/>
    <w:rsid w:val="15A06AEA"/>
    <w:rsid w:val="15A10189"/>
    <w:rsid w:val="15A25C0B"/>
    <w:rsid w:val="15A30C01"/>
    <w:rsid w:val="15A417A0"/>
    <w:rsid w:val="15A41965"/>
    <w:rsid w:val="15A46B90"/>
    <w:rsid w:val="15A5233F"/>
    <w:rsid w:val="15A54611"/>
    <w:rsid w:val="15A75916"/>
    <w:rsid w:val="15A77B14"/>
    <w:rsid w:val="15A83398"/>
    <w:rsid w:val="15A84FF5"/>
    <w:rsid w:val="15A87CC5"/>
    <w:rsid w:val="15A87E7A"/>
    <w:rsid w:val="15A94E30"/>
    <w:rsid w:val="15AA0A99"/>
    <w:rsid w:val="15AA63A9"/>
    <w:rsid w:val="15AA64D6"/>
    <w:rsid w:val="15AA656E"/>
    <w:rsid w:val="15AB431C"/>
    <w:rsid w:val="15AB464D"/>
    <w:rsid w:val="15AB6F48"/>
    <w:rsid w:val="15AB710C"/>
    <w:rsid w:val="15AC1D9E"/>
    <w:rsid w:val="15AC3F9C"/>
    <w:rsid w:val="15AC781F"/>
    <w:rsid w:val="15AD52A1"/>
    <w:rsid w:val="15AE2D22"/>
    <w:rsid w:val="15AE749F"/>
    <w:rsid w:val="15AF07A4"/>
    <w:rsid w:val="15AF4F21"/>
    <w:rsid w:val="15B029A2"/>
    <w:rsid w:val="15B10424"/>
    <w:rsid w:val="15B13177"/>
    <w:rsid w:val="15B13EC8"/>
    <w:rsid w:val="15B21729"/>
    <w:rsid w:val="15B23D16"/>
    <w:rsid w:val="15B25EA5"/>
    <w:rsid w:val="15B33927"/>
    <w:rsid w:val="15B36D47"/>
    <w:rsid w:val="15B413A8"/>
    <w:rsid w:val="15B56E2A"/>
    <w:rsid w:val="15B6012F"/>
    <w:rsid w:val="15B648AC"/>
    <w:rsid w:val="15B66808"/>
    <w:rsid w:val="15B71F81"/>
    <w:rsid w:val="15B76F91"/>
    <w:rsid w:val="15B773A6"/>
    <w:rsid w:val="15B80793"/>
    <w:rsid w:val="15B87DAF"/>
    <w:rsid w:val="15B90272"/>
    <w:rsid w:val="15B9206A"/>
    <w:rsid w:val="15B95830"/>
    <w:rsid w:val="15B97F07"/>
    <w:rsid w:val="15BA6B35"/>
    <w:rsid w:val="15BB0D33"/>
    <w:rsid w:val="15BB2A37"/>
    <w:rsid w:val="15BC2038"/>
    <w:rsid w:val="15BC3411"/>
    <w:rsid w:val="15BC67B5"/>
    <w:rsid w:val="15BD3FB0"/>
    <w:rsid w:val="15BD7ABA"/>
    <w:rsid w:val="15BE553B"/>
    <w:rsid w:val="15BF56ED"/>
    <w:rsid w:val="15C00A3E"/>
    <w:rsid w:val="15C02C3D"/>
    <w:rsid w:val="15C319C3"/>
    <w:rsid w:val="15C33BC1"/>
    <w:rsid w:val="15C44EC6"/>
    <w:rsid w:val="15C47445"/>
    <w:rsid w:val="15C51757"/>
    <w:rsid w:val="15C522F6"/>
    <w:rsid w:val="15C54FEA"/>
    <w:rsid w:val="15C570C4"/>
    <w:rsid w:val="15C64B46"/>
    <w:rsid w:val="15C725C7"/>
    <w:rsid w:val="15C75E4B"/>
    <w:rsid w:val="15C7716A"/>
    <w:rsid w:val="15C80049"/>
    <w:rsid w:val="15C838CC"/>
    <w:rsid w:val="15C8440E"/>
    <w:rsid w:val="15C9134E"/>
    <w:rsid w:val="15C94FAC"/>
    <w:rsid w:val="15C978A6"/>
    <w:rsid w:val="15CA354C"/>
    <w:rsid w:val="15CA6DCF"/>
    <w:rsid w:val="15CB0FCE"/>
    <w:rsid w:val="15CC22D2"/>
    <w:rsid w:val="15CC6A4F"/>
    <w:rsid w:val="15CD44D1"/>
    <w:rsid w:val="15CF1017"/>
    <w:rsid w:val="15CF3257"/>
    <w:rsid w:val="15CF79D4"/>
    <w:rsid w:val="15D00CD9"/>
    <w:rsid w:val="15D01BB6"/>
    <w:rsid w:val="15D05455"/>
    <w:rsid w:val="15D12ED7"/>
    <w:rsid w:val="15D23CCD"/>
    <w:rsid w:val="15D372A6"/>
    <w:rsid w:val="15D55160"/>
    <w:rsid w:val="15D64DE0"/>
    <w:rsid w:val="15D70664"/>
    <w:rsid w:val="15D72862"/>
    <w:rsid w:val="15D802E3"/>
    <w:rsid w:val="15D860E5"/>
    <w:rsid w:val="15D93B67"/>
    <w:rsid w:val="15DB1268"/>
    <w:rsid w:val="15DB706A"/>
    <w:rsid w:val="15DC6CEA"/>
    <w:rsid w:val="15DE21ED"/>
    <w:rsid w:val="15DE5A70"/>
    <w:rsid w:val="15DF4B06"/>
    <w:rsid w:val="15DF4CCA"/>
    <w:rsid w:val="15DF7C6E"/>
    <w:rsid w:val="15E00F73"/>
    <w:rsid w:val="15E056A4"/>
    <w:rsid w:val="15E13171"/>
    <w:rsid w:val="15E16C1D"/>
    <w:rsid w:val="15E20BF3"/>
    <w:rsid w:val="15E24476"/>
    <w:rsid w:val="15E275F7"/>
    <w:rsid w:val="15E3096C"/>
    <w:rsid w:val="15E31EF8"/>
    <w:rsid w:val="15E36674"/>
    <w:rsid w:val="15E40D35"/>
    <w:rsid w:val="15E440F6"/>
    <w:rsid w:val="15E47979"/>
    <w:rsid w:val="15E5170F"/>
    <w:rsid w:val="15E62E7C"/>
    <w:rsid w:val="15E708FE"/>
    <w:rsid w:val="15E7507B"/>
    <w:rsid w:val="15E82AFC"/>
    <w:rsid w:val="15E8637F"/>
    <w:rsid w:val="15E943C5"/>
    <w:rsid w:val="15E9458A"/>
    <w:rsid w:val="15EA1883"/>
    <w:rsid w:val="15EB3A81"/>
    <w:rsid w:val="15EB5B02"/>
    <w:rsid w:val="15EB7304"/>
    <w:rsid w:val="15EC1502"/>
    <w:rsid w:val="15EC64DD"/>
    <w:rsid w:val="15ED2807"/>
    <w:rsid w:val="15ED6F84"/>
    <w:rsid w:val="15ED707B"/>
    <w:rsid w:val="15EE0289"/>
    <w:rsid w:val="15EE7A56"/>
    <w:rsid w:val="15EF530D"/>
    <w:rsid w:val="15EF7F09"/>
    <w:rsid w:val="15F0598A"/>
    <w:rsid w:val="15F1120D"/>
    <w:rsid w:val="15F34710"/>
    <w:rsid w:val="15F42192"/>
    <w:rsid w:val="15F551FE"/>
    <w:rsid w:val="15F553C2"/>
    <w:rsid w:val="15F57C14"/>
    <w:rsid w:val="15F70B98"/>
    <w:rsid w:val="15F8661A"/>
    <w:rsid w:val="15F874DA"/>
    <w:rsid w:val="15F924EF"/>
    <w:rsid w:val="15F9409B"/>
    <w:rsid w:val="15FA1B1D"/>
    <w:rsid w:val="15FB759E"/>
    <w:rsid w:val="15FC5020"/>
    <w:rsid w:val="15FD2AA2"/>
    <w:rsid w:val="15FD3544"/>
    <w:rsid w:val="15FE3F1E"/>
    <w:rsid w:val="15FE3FF6"/>
    <w:rsid w:val="15FE40E3"/>
    <w:rsid w:val="15FF5C91"/>
    <w:rsid w:val="15FF5FA5"/>
    <w:rsid w:val="15FF5FFC"/>
    <w:rsid w:val="1600565C"/>
    <w:rsid w:val="160114A8"/>
    <w:rsid w:val="16013F82"/>
    <w:rsid w:val="16016036"/>
    <w:rsid w:val="16026BD5"/>
    <w:rsid w:val="16026F29"/>
    <w:rsid w:val="16040312"/>
    <w:rsid w:val="1604242C"/>
    <w:rsid w:val="16057EAE"/>
    <w:rsid w:val="16072265"/>
    <w:rsid w:val="16080E33"/>
    <w:rsid w:val="16087E1D"/>
    <w:rsid w:val="16094541"/>
    <w:rsid w:val="160968B4"/>
    <w:rsid w:val="160A4336"/>
    <w:rsid w:val="160D2D3C"/>
    <w:rsid w:val="160E0624"/>
    <w:rsid w:val="160F6C80"/>
    <w:rsid w:val="16103CC1"/>
    <w:rsid w:val="1610623E"/>
    <w:rsid w:val="16132A47"/>
    <w:rsid w:val="161426C7"/>
    <w:rsid w:val="16150148"/>
    <w:rsid w:val="161539CC"/>
    <w:rsid w:val="16155F4A"/>
    <w:rsid w:val="1616144D"/>
    <w:rsid w:val="1617364B"/>
    <w:rsid w:val="16176ECF"/>
    <w:rsid w:val="161810CD"/>
    <w:rsid w:val="161923D2"/>
    <w:rsid w:val="16197E6B"/>
    <w:rsid w:val="161A45D0"/>
    <w:rsid w:val="161A7E53"/>
    <w:rsid w:val="161B13E4"/>
    <w:rsid w:val="161B15A8"/>
    <w:rsid w:val="161B58D5"/>
    <w:rsid w:val="161C2147"/>
    <w:rsid w:val="161C3356"/>
    <w:rsid w:val="161C7AD3"/>
    <w:rsid w:val="161E0A1B"/>
    <w:rsid w:val="161E2FD6"/>
    <w:rsid w:val="161E34FC"/>
    <w:rsid w:val="161E6859"/>
    <w:rsid w:val="161F0A58"/>
    <w:rsid w:val="161F42DB"/>
    <w:rsid w:val="16201D5D"/>
    <w:rsid w:val="162064D9"/>
    <w:rsid w:val="162177DE"/>
    <w:rsid w:val="16225260"/>
    <w:rsid w:val="16236D50"/>
    <w:rsid w:val="16240763"/>
    <w:rsid w:val="16244EE0"/>
    <w:rsid w:val="1624772B"/>
    <w:rsid w:val="162502C9"/>
    <w:rsid w:val="162503E3"/>
    <w:rsid w:val="16250BF4"/>
    <w:rsid w:val="16250E68"/>
    <w:rsid w:val="16252961"/>
    <w:rsid w:val="16263C66"/>
    <w:rsid w:val="162716E7"/>
    <w:rsid w:val="1627221C"/>
    <w:rsid w:val="162723E1"/>
    <w:rsid w:val="162738E6"/>
    <w:rsid w:val="16281367"/>
    <w:rsid w:val="1629395A"/>
    <w:rsid w:val="162A266C"/>
    <w:rsid w:val="162A4334"/>
    <w:rsid w:val="162A44F8"/>
    <w:rsid w:val="162B00EE"/>
    <w:rsid w:val="162C38CF"/>
    <w:rsid w:val="162C5B6F"/>
    <w:rsid w:val="162D57EF"/>
    <w:rsid w:val="162D644C"/>
    <w:rsid w:val="162F0CF2"/>
    <w:rsid w:val="16300563"/>
    <w:rsid w:val="16301FF7"/>
    <w:rsid w:val="16306774"/>
    <w:rsid w:val="163112C6"/>
    <w:rsid w:val="163141F5"/>
    <w:rsid w:val="16321C77"/>
    <w:rsid w:val="16332F7C"/>
    <w:rsid w:val="163409FD"/>
    <w:rsid w:val="16352BFB"/>
    <w:rsid w:val="1635647F"/>
    <w:rsid w:val="16365331"/>
    <w:rsid w:val="16371982"/>
    <w:rsid w:val="16391602"/>
    <w:rsid w:val="163976E4"/>
    <w:rsid w:val="163A2906"/>
    <w:rsid w:val="163A6417"/>
    <w:rsid w:val="163A7083"/>
    <w:rsid w:val="163A7E23"/>
    <w:rsid w:val="163B09C1"/>
    <w:rsid w:val="163B4B05"/>
    <w:rsid w:val="163B52FF"/>
    <w:rsid w:val="163B5820"/>
    <w:rsid w:val="163C2586"/>
    <w:rsid w:val="163D1F3A"/>
    <w:rsid w:val="163D388B"/>
    <w:rsid w:val="163D5A89"/>
    <w:rsid w:val="163E350B"/>
    <w:rsid w:val="16404810"/>
    <w:rsid w:val="16404BF0"/>
    <w:rsid w:val="16406A0E"/>
    <w:rsid w:val="16414490"/>
    <w:rsid w:val="16421F11"/>
    <w:rsid w:val="1642632E"/>
    <w:rsid w:val="16427D13"/>
    <w:rsid w:val="16435794"/>
    <w:rsid w:val="16443216"/>
    <w:rsid w:val="16445414"/>
    <w:rsid w:val="16450281"/>
    <w:rsid w:val="16450C97"/>
    <w:rsid w:val="16456719"/>
    <w:rsid w:val="16460E1F"/>
    <w:rsid w:val="1646419B"/>
    <w:rsid w:val="16471C1C"/>
    <w:rsid w:val="16476399"/>
    <w:rsid w:val="16481115"/>
    <w:rsid w:val="16483E1A"/>
    <w:rsid w:val="16490368"/>
    <w:rsid w:val="16490F5F"/>
    <w:rsid w:val="164A3AD6"/>
    <w:rsid w:val="164A7926"/>
    <w:rsid w:val="164A7ADC"/>
    <w:rsid w:val="164D5BED"/>
    <w:rsid w:val="164E15A7"/>
    <w:rsid w:val="164E5D24"/>
    <w:rsid w:val="164F37A5"/>
    <w:rsid w:val="164F7B40"/>
    <w:rsid w:val="16501227"/>
    <w:rsid w:val="1651127E"/>
    <w:rsid w:val="1652472A"/>
    <w:rsid w:val="16527FAD"/>
    <w:rsid w:val="16547C2D"/>
    <w:rsid w:val="16550F32"/>
    <w:rsid w:val="16552C58"/>
    <w:rsid w:val="16563130"/>
    <w:rsid w:val="1656474A"/>
    <w:rsid w:val="165669B3"/>
    <w:rsid w:val="16572EB0"/>
    <w:rsid w:val="165754AD"/>
    <w:rsid w:val="16576633"/>
    <w:rsid w:val="16581EB6"/>
    <w:rsid w:val="16591B36"/>
    <w:rsid w:val="16597938"/>
    <w:rsid w:val="165A53BA"/>
    <w:rsid w:val="165B7DDA"/>
    <w:rsid w:val="165C0979"/>
    <w:rsid w:val="165D633E"/>
    <w:rsid w:val="165E1841"/>
    <w:rsid w:val="165E2C55"/>
    <w:rsid w:val="165E3DC0"/>
    <w:rsid w:val="165F72C3"/>
    <w:rsid w:val="16604D44"/>
    <w:rsid w:val="166127C6"/>
    <w:rsid w:val="16620247"/>
    <w:rsid w:val="16635CC9"/>
    <w:rsid w:val="166362E5"/>
    <w:rsid w:val="166560CF"/>
    <w:rsid w:val="1665769A"/>
    <w:rsid w:val="16666C4E"/>
    <w:rsid w:val="16674575"/>
    <w:rsid w:val="166746CF"/>
    <w:rsid w:val="16682151"/>
    <w:rsid w:val="16692350"/>
    <w:rsid w:val="16697BD2"/>
    <w:rsid w:val="166A2EEE"/>
    <w:rsid w:val="166A3A8D"/>
    <w:rsid w:val="166A5654"/>
    <w:rsid w:val="166B30D5"/>
    <w:rsid w:val="166E49E0"/>
    <w:rsid w:val="166F6F59"/>
    <w:rsid w:val="166F711D"/>
    <w:rsid w:val="166F74AF"/>
    <w:rsid w:val="1670755D"/>
    <w:rsid w:val="16721071"/>
    <w:rsid w:val="167304E2"/>
    <w:rsid w:val="167427AE"/>
    <w:rsid w:val="16745F63"/>
    <w:rsid w:val="167539E5"/>
    <w:rsid w:val="16754338"/>
    <w:rsid w:val="16756D52"/>
    <w:rsid w:val="16761466"/>
    <w:rsid w:val="1677276B"/>
    <w:rsid w:val="1677496A"/>
    <w:rsid w:val="167801ED"/>
    <w:rsid w:val="167823EB"/>
    <w:rsid w:val="167852A0"/>
    <w:rsid w:val="16795C6E"/>
    <w:rsid w:val="167969DD"/>
    <w:rsid w:val="167A3D95"/>
    <w:rsid w:val="167A58EE"/>
    <w:rsid w:val="167A707D"/>
    <w:rsid w:val="167A73B7"/>
    <w:rsid w:val="167B3370"/>
    <w:rsid w:val="167C0AF5"/>
    <w:rsid w:val="167D4675"/>
    <w:rsid w:val="167E7B78"/>
    <w:rsid w:val="167F1D76"/>
    <w:rsid w:val="167F55F9"/>
    <w:rsid w:val="168035E6"/>
    <w:rsid w:val="168077F8"/>
    <w:rsid w:val="16810AFC"/>
    <w:rsid w:val="16815279"/>
    <w:rsid w:val="16822CFB"/>
    <w:rsid w:val="16824D24"/>
    <w:rsid w:val="1682657E"/>
    <w:rsid w:val="1683077C"/>
    <w:rsid w:val="16833FFF"/>
    <w:rsid w:val="16841A81"/>
    <w:rsid w:val="168461FE"/>
    <w:rsid w:val="16857503"/>
    <w:rsid w:val="16864F84"/>
    <w:rsid w:val="16872A06"/>
    <w:rsid w:val="16880487"/>
    <w:rsid w:val="16884C04"/>
    <w:rsid w:val="16892307"/>
    <w:rsid w:val="16892685"/>
    <w:rsid w:val="168A398A"/>
    <w:rsid w:val="168B5B89"/>
    <w:rsid w:val="168D108C"/>
    <w:rsid w:val="168E458F"/>
    <w:rsid w:val="168E5B5C"/>
    <w:rsid w:val="168E6B0D"/>
    <w:rsid w:val="16905894"/>
    <w:rsid w:val="16907A92"/>
    <w:rsid w:val="16913315"/>
    <w:rsid w:val="16914C6F"/>
    <w:rsid w:val="16932F60"/>
    <w:rsid w:val="16936818"/>
    <w:rsid w:val="1696779D"/>
    <w:rsid w:val="169804E7"/>
    <w:rsid w:val="16980722"/>
    <w:rsid w:val="16984E9E"/>
    <w:rsid w:val="169961A3"/>
    <w:rsid w:val="169A03A1"/>
    <w:rsid w:val="169A3C25"/>
    <w:rsid w:val="169C00D2"/>
    <w:rsid w:val="169C38A4"/>
    <w:rsid w:val="169D08E8"/>
    <w:rsid w:val="169E262B"/>
    <w:rsid w:val="169E6DA8"/>
    <w:rsid w:val="16A135AF"/>
    <w:rsid w:val="16A21031"/>
    <w:rsid w:val="16A2126B"/>
    <w:rsid w:val="16A257AE"/>
    <w:rsid w:val="16A356B5"/>
    <w:rsid w:val="16A40CB1"/>
    <w:rsid w:val="16A51FB6"/>
    <w:rsid w:val="16A53511"/>
    <w:rsid w:val="16A56732"/>
    <w:rsid w:val="16A61C36"/>
    <w:rsid w:val="16A641B4"/>
    <w:rsid w:val="16A67A37"/>
    <w:rsid w:val="16A701A7"/>
    <w:rsid w:val="16A776B7"/>
    <w:rsid w:val="16A80F0A"/>
    <w:rsid w:val="16A82F3A"/>
    <w:rsid w:val="16A909BC"/>
    <w:rsid w:val="16A91857"/>
    <w:rsid w:val="16A918E4"/>
    <w:rsid w:val="16A92BBA"/>
    <w:rsid w:val="16AA643D"/>
    <w:rsid w:val="16AC3B3F"/>
    <w:rsid w:val="16AD73C2"/>
    <w:rsid w:val="16AE28C5"/>
    <w:rsid w:val="16AE4E44"/>
    <w:rsid w:val="16AE5B13"/>
    <w:rsid w:val="16AE7042"/>
    <w:rsid w:val="16AF0285"/>
    <w:rsid w:val="16AF095C"/>
    <w:rsid w:val="16AF64EE"/>
    <w:rsid w:val="16AF66B2"/>
    <w:rsid w:val="16B000D0"/>
    <w:rsid w:val="16B1384A"/>
    <w:rsid w:val="16B17FC7"/>
    <w:rsid w:val="16B212CB"/>
    <w:rsid w:val="16B25A48"/>
    <w:rsid w:val="16B334CA"/>
    <w:rsid w:val="16B41B7E"/>
    <w:rsid w:val="16B41D43"/>
    <w:rsid w:val="16B52E8E"/>
    <w:rsid w:val="16B569CD"/>
    <w:rsid w:val="16B6444E"/>
    <w:rsid w:val="16B67CD2"/>
    <w:rsid w:val="16B70AB9"/>
    <w:rsid w:val="16B84834"/>
    <w:rsid w:val="16B90C56"/>
    <w:rsid w:val="16BA1030"/>
    <w:rsid w:val="16BA66D8"/>
    <w:rsid w:val="16BB4159"/>
    <w:rsid w:val="16BD3B7A"/>
    <w:rsid w:val="16BF1FDC"/>
    <w:rsid w:val="16BF2B60"/>
    <w:rsid w:val="16BF4D5E"/>
    <w:rsid w:val="16C02B7B"/>
    <w:rsid w:val="16C13555"/>
    <w:rsid w:val="16C23AE4"/>
    <w:rsid w:val="16C46FE7"/>
    <w:rsid w:val="16C54A69"/>
    <w:rsid w:val="16C5620B"/>
    <w:rsid w:val="16C66DAA"/>
    <w:rsid w:val="16C80E0B"/>
    <w:rsid w:val="16C8346F"/>
    <w:rsid w:val="16C90EC2"/>
    <w:rsid w:val="16C90EF1"/>
    <w:rsid w:val="16CA243A"/>
    <w:rsid w:val="16CA6972"/>
    <w:rsid w:val="16CA6BE3"/>
    <w:rsid w:val="16CB2FD9"/>
    <w:rsid w:val="16CB43F4"/>
    <w:rsid w:val="16CC1E75"/>
    <w:rsid w:val="16CC39B3"/>
    <w:rsid w:val="16CF0435"/>
    <w:rsid w:val="16CF2DFA"/>
    <w:rsid w:val="16D0087B"/>
    <w:rsid w:val="16D23D7F"/>
    <w:rsid w:val="16D31800"/>
    <w:rsid w:val="16D41320"/>
    <w:rsid w:val="16D70206"/>
    <w:rsid w:val="16DA118B"/>
    <w:rsid w:val="16DA4A0E"/>
    <w:rsid w:val="16DB2490"/>
    <w:rsid w:val="16DC468E"/>
    <w:rsid w:val="16DC674F"/>
    <w:rsid w:val="16DC74A2"/>
    <w:rsid w:val="16DC7F11"/>
    <w:rsid w:val="16DD0041"/>
    <w:rsid w:val="16DD2110"/>
    <w:rsid w:val="16DD7E7C"/>
    <w:rsid w:val="16DE3414"/>
    <w:rsid w:val="16E00B16"/>
    <w:rsid w:val="16E06917"/>
    <w:rsid w:val="16E14399"/>
    <w:rsid w:val="16E16597"/>
    <w:rsid w:val="16E24019"/>
    <w:rsid w:val="16E31A9A"/>
    <w:rsid w:val="16E3789C"/>
    <w:rsid w:val="16E52D9F"/>
    <w:rsid w:val="16E54F9E"/>
    <w:rsid w:val="16E60821"/>
    <w:rsid w:val="16E62A1F"/>
    <w:rsid w:val="16E77900"/>
    <w:rsid w:val="16E802DA"/>
    <w:rsid w:val="16E817A5"/>
    <w:rsid w:val="16E834C7"/>
    <w:rsid w:val="16E85F22"/>
    <w:rsid w:val="16E97227"/>
    <w:rsid w:val="16EA1425"/>
    <w:rsid w:val="16EB6EA7"/>
    <w:rsid w:val="16EC01AC"/>
    <w:rsid w:val="16EC4928"/>
    <w:rsid w:val="16ED5C2D"/>
    <w:rsid w:val="16EE36AF"/>
    <w:rsid w:val="16EE7E2B"/>
    <w:rsid w:val="16EF1130"/>
    <w:rsid w:val="16EF4EE4"/>
    <w:rsid w:val="16EF58AD"/>
    <w:rsid w:val="16F0332F"/>
    <w:rsid w:val="16F06BB2"/>
    <w:rsid w:val="16F10DB0"/>
    <w:rsid w:val="16F14633"/>
    <w:rsid w:val="16F16621"/>
    <w:rsid w:val="16F220B5"/>
    <w:rsid w:val="16F26832"/>
    <w:rsid w:val="16F26FFB"/>
    <w:rsid w:val="16F27D5E"/>
    <w:rsid w:val="16F342B3"/>
    <w:rsid w:val="16F37B36"/>
    <w:rsid w:val="16F37B9A"/>
    <w:rsid w:val="16F41D35"/>
    <w:rsid w:val="16F5303A"/>
    <w:rsid w:val="16F577B6"/>
    <w:rsid w:val="16F60ABB"/>
    <w:rsid w:val="16F72CB9"/>
    <w:rsid w:val="16F75263"/>
    <w:rsid w:val="16F83FBE"/>
    <w:rsid w:val="16F93C3E"/>
    <w:rsid w:val="16F94968"/>
    <w:rsid w:val="16FA5506"/>
    <w:rsid w:val="16FB4F43"/>
    <w:rsid w:val="16FB7141"/>
    <w:rsid w:val="16FC29C4"/>
    <w:rsid w:val="16FC68BB"/>
    <w:rsid w:val="16FD2644"/>
    <w:rsid w:val="16FD77F0"/>
    <w:rsid w:val="16FE5EC8"/>
    <w:rsid w:val="16FF13CB"/>
    <w:rsid w:val="16FF3949"/>
    <w:rsid w:val="16FF5B47"/>
    <w:rsid w:val="170035C9"/>
    <w:rsid w:val="17006E4C"/>
    <w:rsid w:val="1701104A"/>
    <w:rsid w:val="17011F4B"/>
    <w:rsid w:val="170148CE"/>
    <w:rsid w:val="1702234F"/>
    <w:rsid w:val="17026ACC"/>
    <w:rsid w:val="17037DD1"/>
    <w:rsid w:val="17044DC6"/>
    <w:rsid w:val="17045852"/>
    <w:rsid w:val="17057A40"/>
    <w:rsid w:val="17057DAB"/>
    <w:rsid w:val="17060D55"/>
    <w:rsid w:val="1706617A"/>
    <w:rsid w:val="1706633F"/>
    <w:rsid w:val="170767D7"/>
    <w:rsid w:val="17076EDD"/>
    <w:rsid w:val="170809D5"/>
    <w:rsid w:val="170840D6"/>
    <w:rsid w:val="17084259"/>
    <w:rsid w:val="17090456"/>
    <w:rsid w:val="17091CDA"/>
    <w:rsid w:val="17096457"/>
    <w:rsid w:val="170A775C"/>
    <w:rsid w:val="170B180B"/>
    <w:rsid w:val="170B195A"/>
    <w:rsid w:val="170B51DD"/>
    <w:rsid w:val="170C256E"/>
    <w:rsid w:val="170C2C5F"/>
    <w:rsid w:val="170C73DC"/>
    <w:rsid w:val="170D06E0"/>
    <w:rsid w:val="170E3951"/>
    <w:rsid w:val="170E6162"/>
    <w:rsid w:val="170F0360"/>
    <w:rsid w:val="170F3BE3"/>
    <w:rsid w:val="170F5DE2"/>
    <w:rsid w:val="170F61FF"/>
    <w:rsid w:val="17101665"/>
    <w:rsid w:val="17103863"/>
    <w:rsid w:val="171165D8"/>
    <w:rsid w:val="17124B68"/>
    <w:rsid w:val="17127177"/>
    <w:rsid w:val="171325EA"/>
    <w:rsid w:val="1714006B"/>
    <w:rsid w:val="17142269"/>
    <w:rsid w:val="17161E2D"/>
    <w:rsid w:val="1716576D"/>
    <w:rsid w:val="17170FF0"/>
    <w:rsid w:val="171731EE"/>
    <w:rsid w:val="17180C70"/>
    <w:rsid w:val="171A491F"/>
    <w:rsid w:val="171A79F6"/>
    <w:rsid w:val="171B1BF4"/>
    <w:rsid w:val="171B5478"/>
    <w:rsid w:val="171B605C"/>
    <w:rsid w:val="171B6978"/>
    <w:rsid w:val="171C2EF9"/>
    <w:rsid w:val="171C4DC0"/>
    <w:rsid w:val="171D097B"/>
    <w:rsid w:val="171D50F7"/>
    <w:rsid w:val="171D6872"/>
    <w:rsid w:val="171E2B79"/>
    <w:rsid w:val="171F05FA"/>
    <w:rsid w:val="171F098A"/>
    <w:rsid w:val="17201528"/>
    <w:rsid w:val="17213AFE"/>
    <w:rsid w:val="17217381"/>
    <w:rsid w:val="1722468F"/>
    <w:rsid w:val="17224E02"/>
    <w:rsid w:val="17232884"/>
    <w:rsid w:val="172338E2"/>
    <w:rsid w:val="17237001"/>
    <w:rsid w:val="17240306"/>
    <w:rsid w:val="17242B35"/>
    <w:rsid w:val="17252504"/>
    <w:rsid w:val="17263809"/>
    <w:rsid w:val="17265757"/>
    <w:rsid w:val="17276132"/>
    <w:rsid w:val="172762F6"/>
    <w:rsid w:val="172829E4"/>
    <w:rsid w:val="172A0249"/>
    <w:rsid w:val="172B6D8B"/>
    <w:rsid w:val="172C2525"/>
    <w:rsid w:val="172D30C4"/>
    <w:rsid w:val="172E586A"/>
    <w:rsid w:val="172F4478"/>
    <w:rsid w:val="173051DB"/>
    <w:rsid w:val="173159F1"/>
    <w:rsid w:val="17315F09"/>
    <w:rsid w:val="1731761B"/>
    <w:rsid w:val="17324FA7"/>
    <w:rsid w:val="17332B1E"/>
    <w:rsid w:val="173348D1"/>
    <w:rsid w:val="17361246"/>
    <w:rsid w:val="17363AA3"/>
    <w:rsid w:val="17370680"/>
    <w:rsid w:val="17371DE5"/>
    <w:rsid w:val="1738335E"/>
    <w:rsid w:val="17394A28"/>
    <w:rsid w:val="17397720"/>
    <w:rsid w:val="173A24A9"/>
    <w:rsid w:val="173C6014"/>
    <w:rsid w:val="173D342E"/>
    <w:rsid w:val="173E758D"/>
    <w:rsid w:val="173F6931"/>
    <w:rsid w:val="17407C36"/>
    <w:rsid w:val="174114E0"/>
    <w:rsid w:val="17423139"/>
    <w:rsid w:val="1744435A"/>
    <w:rsid w:val="1744663C"/>
    <w:rsid w:val="1745083A"/>
    <w:rsid w:val="17461B3F"/>
    <w:rsid w:val="17464B70"/>
    <w:rsid w:val="17473D3D"/>
    <w:rsid w:val="174762AE"/>
    <w:rsid w:val="17486E4C"/>
    <w:rsid w:val="17492AC4"/>
    <w:rsid w:val="174A2743"/>
    <w:rsid w:val="174A32FC"/>
    <w:rsid w:val="174B5FC7"/>
    <w:rsid w:val="174C3A48"/>
    <w:rsid w:val="174D36C8"/>
    <w:rsid w:val="174E6F4B"/>
    <w:rsid w:val="174F2482"/>
    <w:rsid w:val="174F49CD"/>
    <w:rsid w:val="1750136A"/>
    <w:rsid w:val="17504430"/>
    <w:rsid w:val="175045F4"/>
    <w:rsid w:val="1750464D"/>
    <w:rsid w:val="175120CE"/>
    <w:rsid w:val="175355D1"/>
    <w:rsid w:val="175372AA"/>
    <w:rsid w:val="175468D6"/>
    <w:rsid w:val="17550AD5"/>
    <w:rsid w:val="17554358"/>
    <w:rsid w:val="17557159"/>
    <w:rsid w:val="17561DD9"/>
    <w:rsid w:val="17571D9C"/>
    <w:rsid w:val="17573FD8"/>
    <w:rsid w:val="17581A59"/>
    <w:rsid w:val="17582776"/>
    <w:rsid w:val="175974DB"/>
    <w:rsid w:val="175B29DE"/>
    <w:rsid w:val="175C3CE3"/>
    <w:rsid w:val="175C5BC1"/>
    <w:rsid w:val="175D1764"/>
    <w:rsid w:val="175D5E07"/>
    <w:rsid w:val="175D5EE1"/>
    <w:rsid w:val="175E3962"/>
    <w:rsid w:val="175E69A5"/>
    <w:rsid w:val="175E71E6"/>
    <w:rsid w:val="175F3471"/>
    <w:rsid w:val="175F4C67"/>
    <w:rsid w:val="176026E9"/>
    <w:rsid w:val="176048E7"/>
    <w:rsid w:val="1761016A"/>
    <w:rsid w:val="17612369"/>
    <w:rsid w:val="17625BEC"/>
    <w:rsid w:val="1763366E"/>
    <w:rsid w:val="176410EF"/>
    <w:rsid w:val="176432ED"/>
    <w:rsid w:val="17650D6F"/>
    <w:rsid w:val="17656B71"/>
    <w:rsid w:val="176667F0"/>
    <w:rsid w:val="17672074"/>
    <w:rsid w:val="17685577"/>
    <w:rsid w:val="17692FF8"/>
    <w:rsid w:val="17697775"/>
    <w:rsid w:val="176A0A7A"/>
    <w:rsid w:val="176A77DE"/>
    <w:rsid w:val="176B037C"/>
    <w:rsid w:val="176C06FA"/>
    <w:rsid w:val="176C69FB"/>
    <w:rsid w:val="176D19FF"/>
    <w:rsid w:val="176D617B"/>
    <w:rsid w:val="176D6324"/>
    <w:rsid w:val="176E3BFD"/>
    <w:rsid w:val="176F167E"/>
    <w:rsid w:val="176F4F02"/>
    <w:rsid w:val="17701D14"/>
    <w:rsid w:val="17702983"/>
    <w:rsid w:val="17707100"/>
    <w:rsid w:val="17714B81"/>
    <w:rsid w:val="17722603"/>
    <w:rsid w:val="17733908"/>
    <w:rsid w:val="17735226"/>
    <w:rsid w:val="17741389"/>
    <w:rsid w:val="17745B06"/>
    <w:rsid w:val="1774709D"/>
    <w:rsid w:val="17747262"/>
    <w:rsid w:val="17757C3C"/>
    <w:rsid w:val="17760616"/>
    <w:rsid w:val="177607DB"/>
    <w:rsid w:val="1776488C"/>
    <w:rsid w:val="17773DA4"/>
    <w:rsid w:val="17781F8E"/>
    <w:rsid w:val="177928F2"/>
    <w:rsid w:val="17795811"/>
    <w:rsid w:val="17797A0F"/>
    <w:rsid w:val="177A32CC"/>
    <w:rsid w:val="177A5491"/>
    <w:rsid w:val="177B0D14"/>
    <w:rsid w:val="177C0994"/>
    <w:rsid w:val="177D4217"/>
    <w:rsid w:val="177D5F83"/>
    <w:rsid w:val="177F1919"/>
    <w:rsid w:val="177F771A"/>
    <w:rsid w:val="1780739A"/>
    <w:rsid w:val="1781069F"/>
    <w:rsid w:val="1783031F"/>
    <w:rsid w:val="178321B2"/>
    <w:rsid w:val="17833BA2"/>
    <w:rsid w:val="17840496"/>
    <w:rsid w:val="17841624"/>
    <w:rsid w:val="17845DA0"/>
    <w:rsid w:val="178570A5"/>
    <w:rsid w:val="17864105"/>
    <w:rsid w:val="17876D25"/>
    <w:rsid w:val="17884ACD"/>
    <w:rsid w:val="1789621C"/>
    <w:rsid w:val="178A237C"/>
    <w:rsid w:val="178A289D"/>
    <w:rsid w:val="178A2F73"/>
    <w:rsid w:val="178A352D"/>
    <w:rsid w:val="178A795A"/>
    <w:rsid w:val="178B04F8"/>
    <w:rsid w:val="178B572B"/>
    <w:rsid w:val="178C6A30"/>
    <w:rsid w:val="178D18AD"/>
    <w:rsid w:val="178E244B"/>
    <w:rsid w:val="178F79B5"/>
    <w:rsid w:val="17900DE9"/>
    <w:rsid w:val="179039C4"/>
    <w:rsid w:val="17905436"/>
    <w:rsid w:val="17912EB8"/>
    <w:rsid w:val="17914727"/>
    <w:rsid w:val="17925102"/>
    <w:rsid w:val="17925EB3"/>
    <w:rsid w:val="179363BB"/>
    <w:rsid w:val="17943E3D"/>
    <w:rsid w:val="179518BE"/>
    <w:rsid w:val="17967340"/>
    <w:rsid w:val="1796745F"/>
    <w:rsid w:val="17974DC1"/>
    <w:rsid w:val="179766B3"/>
    <w:rsid w:val="17976D89"/>
    <w:rsid w:val="179802C4"/>
    <w:rsid w:val="17981D0B"/>
    <w:rsid w:val="17981ECF"/>
    <w:rsid w:val="1798522F"/>
    <w:rsid w:val="179949A3"/>
    <w:rsid w:val="17995D46"/>
    <w:rsid w:val="179A37C7"/>
    <w:rsid w:val="179D474C"/>
    <w:rsid w:val="179E21CE"/>
    <w:rsid w:val="179F6AD9"/>
    <w:rsid w:val="179F7C4F"/>
    <w:rsid w:val="17A056D1"/>
    <w:rsid w:val="17A13152"/>
    <w:rsid w:val="17A20BD4"/>
    <w:rsid w:val="17A34A07"/>
    <w:rsid w:val="17A50CDA"/>
    <w:rsid w:val="17A51B58"/>
    <w:rsid w:val="17A538A6"/>
    <w:rsid w:val="17A553DC"/>
    <w:rsid w:val="17A60B24"/>
    <w:rsid w:val="17A62E5D"/>
    <w:rsid w:val="17A636E2"/>
    <w:rsid w:val="17A675DA"/>
    <w:rsid w:val="17A708DF"/>
    <w:rsid w:val="17A7505C"/>
    <w:rsid w:val="17A76FCB"/>
    <w:rsid w:val="17A82ADD"/>
    <w:rsid w:val="17A857FA"/>
    <w:rsid w:val="17A86360"/>
    <w:rsid w:val="17A9055F"/>
    <w:rsid w:val="17A93DE2"/>
    <w:rsid w:val="17A96398"/>
    <w:rsid w:val="17AA5FE0"/>
    <w:rsid w:val="17AB3A62"/>
    <w:rsid w:val="17AC02EB"/>
    <w:rsid w:val="17AC4D67"/>
    <w:rsid w:val="17AD104E"/>
    <w:rsid w:val="17AD6F65"/>
    <w:rsid w:val="17AE026A"/>
    <w:rsid w:val="17AE1A29"/>
    <w:rsid w:val="17AF2468"/>
    <w:rsid w:val="17AF25C7"/>
    <w:rsid w:val="17B0376D"/>
    <w:rsid w:val="17B0596B"/>
    <w:rsid w:val="17B07EE9"/>
    <w:rsid w:val="17B111EE"/>
    <w:rsid w:val="17B20E6E"/>
    <w:rsid w:val="17B24926"/>
    <w:rsid w:val="17B26C70"/>
    <w:rsid w:val="17B346F1"/>
    <w:rsid w:val="17B350B9"/>
    <w:rsid w:val="17B35C58"/>
    <w:rsid w:val="17B44371"/>
    <w:rsid w:val="17B45A93"/>
    <w:rsid w:val="17B46632"/>
    <w:rsid w:val="17B6195E"/>
    <w:rsid w:val="17B65676"/>
    <w:rsid w:val="17B67874"/>
    <w:rsid w:val="17B7074A"/>
    <w:rsid w:val="17B730F8"/>
    <w:rsid w:val="17B752F6"/>
    <w:rsid w:val="17B772AD"/>
    <w:rsid w:val="17B80B79"/>
    <w:rsid w:val="17B82D77"/>
    <w:rsid w:val="17B865FB"/>
    <w:rsid w:val="17B907F9"/>
    <w:rsid w:val="17BA1AFE"/>
    <w:rsid w:val="17BA5576"/>
    <w:rsid w:val="17BA627B"/>
    <w:rsid w:val="17BB3400"/>
    <w:rsid w:val="17BB3CFC"/>
    <w:rsid w:val="17BB757F"/>
    <w:rsid w:val="17BC177E"/>
    <w:rsid w:val="17BC5001"/>
    <w:rsid w:val="17BD2A82"/>
    <w:rsid w:val="17BD71FF"/>
    <w:rsid w:val="17BE5353"/>
    <w:rsid w:val="17BE5517"/>
    <w:rsid w:val="17BF2702"/>
    <w:rsid w:val="17BF5F86"/>
    <w:rsid w:val="17C00184"/>
    <w:rsid w:val="17C15C05"/>
    <w:rsid w:val="17C23687"/>
    <w:rsid w:val="17C26F0A"/>
    <w:rsid w:val="17C31108"/>
    <w:rsid w:val="17C31582"/>
    <w:rsid w:val="17C3498C"/>
    <w:rsid w:val="17C4240D"/>
    <w:rsid w:val="17C46B8A"/>
    <w:rsid w:val="17C52CBF"/>
    <w:rsid w:val="17C5460C"/>
    <w:rsid w:val="17C65910"/>
    <w:rsid w:val="17C80E13"/>
    <w:rsid w:val="17C93012"/>
    <w:rsid w:val="17C96895"/>
    <w:rsid w:val="17CB3F96"/>
    <w:rsid w:val="17CC781A"/>
    <w:rsid w:val="17CD529B"/>
    <w:rsid w:val="17CE1006"/>
    <w:rsid w:val="17CE2D1D"/>
    <w:rsid w:val="17CF079E"/>
    <w:rsid w:val="17CF19E0"/>
    <w:rsid w:val="17CF299D"/>
    <w:rsid w:val="17D0041E"/>
    <w:rsid w:val="17D0311D"/>
    <w:rsid w:val="17D13AF8"/>
    <w:rsid w:val="17D15EA0"/>
    <w:rsid w:val="17D24696"/>
    <w:rsid w:val="17D26ACD"/>
    <w:rsid w:val="17D271A5"/>
    <w:rsid w:val="17D313A3"/>
    <w:rsid w:val="17D426A8"/>
    <w:rsid w:val="17D45C0F"/>
    <w:rsid w:val="17D46E24"/>
    <w:rsid w:val="17D50129"/>
    <w:rsid w:val="17D548A6"/>
    <w:rsid w:val="17D565E9"/>
    <w:rsid w:val="17D567AE"/>
    <w:rsid w:val="17D62327"/>
    <w:rsid w:val="17D63EF8"/>
    <w:rsid w:val="17D65BAB"/>
    <w:rsid w:val="17D810AE"/>
    <w:rsid w:val="17D8582B"/>
    <w:rsid w:val="17D932AC"/>
    <w:rsid w:val="17D96B2F"/>
    <w:rsid w:val="17DA0D2E"/>
    <w:rsid w:val="17DA1C7A"/>
    <w:rsid w:val="17DA1E3E"/>
    <w:rsid w:val="17DA45B1"/>
    <w:rsid w:val="17DB2818"/>
    <w:rsid w:val="17DB67AF"/>
    <w:rsid w:val="17DC4231"/>
    <w:rsid w:val="17DD1CB2"/>
    <w:rsid w:val="17DD3D91"/>
    <w:rsid w:val="17DF2C4E"/>
    <w:rsid w:val="17DF51B5"/>
    <w:rsid w:val="17E02C37"/>
    <w:rsid w:val="17E064BA"/>
    <w:rsid w:val="17E106B9"/>
    <w:rsid w:val="17E20185"/>
    <w:rsid w:val="17E219BD"/>
    <w:rsid w:val="17E23BBC"/>
    <w:rsid w:val="17E30B5F"/>
    <w:rsid w:val="17E3163D"/>
    <w:rsid w:val="17E31DDD"/>
    <w:rsid w:val="17E41539"/>
    <w:rsid w:val="17E416FE"/>
    <w:rsid w:val="17E470BF"/>
    <w:rsid w:val="17E52942"/>
    <w:rsid w:val="17E603C4"/>
    <w:rsid w:val="17E625C2"/>
    <w:rsid w:val="17E70043"/>
    <w:rsid w:val="17E75E45"/>
    <w:rsid w:val="17E841F0"/>
    <w:rsid w:val="17E843B4"/>
    <w:rsid w:val="17E91348"/>
    <w:rsid w:val="17E93546"/>
    <w:rsid w:val="17E96DCA"/>
    <w:rsid w:val="17EA484B"/>
    <w:rsid w:val="17EC44CB"/>
    <w:rsid w:val="17EC7D4E"/>
    <w:rsid w:val="17ED1F4D"/>
    <w:rsid w:val="17EE0FBD"/>
    <w:rsid w:val="17EE44C9"/>
    <w:rsid w:val="17EE467F"/>
    <w:rsid w:val="17EE79CE"/>
    <w:rsid w:val="17EF38D2"/>
    <w:rsid w:val="17EF5450"/>
    <w:rsid w:val="17F00513"/>
    <w:rsid w:val="17F027BA"/>
    <w:rsid w:val="17F06755"/>
    <w:rsid w:val="17F130D5"/>
    <w:rsid w:val="17F141D6"/>
    <w:rsid w:val="17F23C73"/>
    <w:rsid w:val="17F451EC"/>
    <w:rsid w:val="17F55D8B"/>
    <w:rsid w:val="17F6065E"/>
    <w:rsid w:val="17F66765"/>
    <w:rsid w:val="17F906B8"/>
    <w:rsid w:val="17FA7064"/>
    <w:rsid w:val="17FB27D0"/>
    <w:rsid w:val="17FD641A"/>
    <w:rsid w:val="17FE0E1E"/>
    <w:rsid w:val="17FE5302"/>
    <w:rsid w:val="17FF34EC"/>
    <w:rsid w:val="17FF5486"/>
    <w:rsid w:val="17FF564B"/>
    <w:rsid w:val="18000F6D"/>
    <w:rsid w:val="18016BC3"/>
    <w:rsid w:val="18037974"/>
    <w:rsid w:val="18040CDB"/>
    <w:rsid w:val="180453F5"/>
    <w:rsid w:val="180516B5"/>
    <w:rsid w:val="1806208F"/>
    <w:rsid w:val="18062254"/>
    <w:rsid w:val="18062C2E"/>
    <w:rsid w:val="18062DF3"/>
    <w:rsid w:val="180737CD"/>
    <w:rsid w:val="1807637A"/>
    <w:rsid w:val="180841A7"/>
    <w:rsid w:val="1809187D"/>
    <w:rsid w:val="180A2635"/>
    <w:rsid w:val="180A5720"/>
    <w:rsid w:val="180A7E69"/>
    <w:rsid w:val="180B0603"/>
    <w:rsid w:val="180B0B11"/>
    <w:rsid w:val="180B1639"/>
    <w:rsid w:val="180C0BF7"/>
    <w:rsid w:val="180C2802"/>
    <w:rsid w:val="180C6085"/>
    <w:rsid w:val="180C6E5D"/>
    <w:rsid w:val="180D0283"/>
    <w:rsid w:val="180E1588"/>
    <w:rsid w:val="1810358B"/>
    <w:rsid w:val="18104A8B"/>
    <w:rsid w:val="181124EE"/>
    <w:rsid w:val="1813218C"/>
    <w:rsid w:val="18147C0E"/>
    <w:rsid w:val="18150F13"/>
    <w:rsid w:val="1815568F"/>
    <w:rsid w:val="18166994"/>
    <w:rsid w:val="18174416"/>
    <w:rsid w:val="181770F7"/>
    <w:rsid w:val="18181E97"/>
    <w:rsid w:val="18186614"/>
    <w:rsid w:val="18187C96"/>
    <w:rsid w:val="18187E5A"/>
    <w:rsid w:val="18194096"/>
    <w:rsid w:val="18197919"/>
    <w:rsid w:val="181A38F5"/>
    <w:rsid w:val="181A539A"/>
    <w:rsid w:val="181A7599"/>
    <w:rsid w:val="181B501A"/>
    <w:rsid w:val="181C089E"/>
    <w:rsid w:val="181C1BE6"/>
    <w:rsid w:val="181C2A9C"/>
    <w:rsid w:val="181D631F"/>
    <w:rsid w:val="181E5F9F"/>
    <w:rsid w:val="181F1822"/>
    <w:rsid w:val="181F3A21"/>
    <w:rsid w:val="181F489F"/>
    <w:rsid w:val="181F4A63"/>
    <w:rsid w:val="182014A2"/>
    <w:rsid w:val="182127A7"/>
    <w:rsid w:val="18214D25"/>
    <w:rsid w:val="18215D1C"/>
    <w:rsid w:val="18216F24"/>
    <w:rsid w:val="18220228"/>
    <w:rsid w:val="182249A5"/>
    <w:rsid w:val="182269B6"/>
    <w:rsid w:val="1822750B"/>
    <w:rsid w:val="18235CAA"/>
    <w:rsid w:val="18240ACE"/>
    <w:rsid w:val="18240C92"/>
    <w:rsid w:val="1825592A"/>
    <w:rsid w:val="182746B0"/>
    <w:rsid w:val="18282132"/>
    <w:rsid w:val="18285BB1"/>
    <w:rsid w:val="1828643D"/>
    <w:rsid w:val="182868AE"/>
    <w:rsid w:val="18294330"/>
    <w:rsid w:val="18295691"/>
    <w:rsid w:val="182A1DB2"/>
    <w:rsid w:val="182A4EC1"/>
    <w:rsid w:val="182B30B6"/>
    <w:rsid w:val="182B7833"/>
    <w:rsid w:val="182C0B38"/>
    <w:rsid w:val="182C52B5"/>
    <w:rsid w:val="182D2D36"/>
    <w:rsid w:val="182D65B9"/>
    <w:rsid w:val="182E07B8"/>
    <w:rsid w:val="182E403B"/>
    <w:rsid w:val="182E79B3"/>
    <w:rsid w:val="18316649"/>
    <w:rsid w:val="18322A41"/>
    <w:rsid w:val="183326C1"/>
    <w:rsid w:val="18333A1E"/>
    <w:rsid w:val="18340143"/>
    <w:rsid w:val="183539C6"/>
    <w:rsid w:val="18355929"/>
    <w:rsid w:val="18355BC4"/>
    <w:rsid w:val="18363646"/>
    <w:rsid w:val="183710C7"/>
    <w:rsid w:val="18386B49"/>
    <w:rsid w:val="183945CA"/>
    <w:rsid w:val="18396314"/>
    <w:rsid w:val="18397C4D"/>
    <w:rsid w:val="18397E4E"/>
    <w:rsid w:val="183A07EC"/>
    <w:rsid w:val="183A204C"/>
    <w:rsid w:val="183A58CF"/>
    <w:rsid w:val="183B3351"/>
    <w:rsid w:val="183C1D65"/>
    <w:rsid w:val="183C554F"/>
    <w:rsid w:val="183E0A52"/>
    <w:rsid w:val="183E4041"/>
    <w:rsid w:val="183E42D5"/>
    <w:rsid w:val="183F4A1B"/>
    <w:rsid w:val="183F64D4"/>
    <w:rsid w:val="18403C5D"/>
    <w:rsid w:val="18403F55"/>
    <w:rsid w:val="184077D8"/>
    <w:rsid w:val="18416158"/>
    <w:rsid w:val="18422CDC"/>
    <w:rsid w:val="18427458"/>
    <w:rsid w:val="18434EDA"/>
    <w:rsid w:val="184376D1"/>
    <w:rsid w:val="1844295B"/>
    <w:rsid w:val="184461DF"/>
    <w:rsid w:val="184503DD"/>
    <w:rsid w:val="18453C60"/>
    <w:rsid w:val="18461624"/>
    <w:rsid w:val="184617E8"/>
    <w:rsid w:val="18465E5E"/>
    <w:rsid w:val="184721C3"/>
    <w:rsid w:val="184738E0"/>
    <w:rsid w:val="18477163"/>
    <w:rsid w:val="18481362"/>
    <w:rsid w:val="18482B9D"/>
    <w:rsid w:val="18492666"/>
    <w:rsid w:val="18496DE3"/>
    <w:rsid w:val="184A4865"/>
    <w:rsid w:val="184B5B6A"/>
    <w:rsid w:val="184C35EB"/>
    <w:rsid w:val="184C57E9"/>
    <w:rsid w:val="184E7B2F"/>
    <w:rsid w:val="184F0345"/>
    <w:rsid w:val="184F4570"/>
    <w:rsid w:val="184F676E"/>
    <w:rsid w:val="185041F0"/>
    <w:rsid w:val="18517A73"/>
    <w:rsid w:val="185254F4"/>
    <w:rsid w:val="18527910"/>
    <w:rsid w:val="185309F7"/>
    <w:rsid w:val="185331C0"/>
    <w:rsid w:val="18535174"/>
    <w:rsid w:val="18545193"/>
    <w:rsid w:val="18550677"/>
    <w:rsid w:val="18553EFB"/>
    <w:rsid w:val="1855407B"/>
    <w:rsid w:val="18554738"/>
    <w:rsid w:val="1856197C"/>
    <w:rsid w:val="185660F9"/>
    <w:rsid w:val="18573B7A"/>
    <w:rsid w:val="185815FC"/>
    <w:rsid w:val="1858745B"/>
    <w:rsid w:val="18597DC9"/>
    <w:rsid w:val="185A0382"/>
    <w:rsid w:val="185B5E04"/>
    <w:rsid w:val="185C36C6"/>
    <w:rsid w:val="185D1307"/>
    <w:rsid w:val="185E5CB3"/>
    <w:rsid w:val="185F480A"/>
    <w:rsid w:val="1860228C"/>
    <w:rsid w:val="18617D0D"/>
    <w:rsid w:val="1862578F"/>
    <w:rsid w:val="186270E4"/>
    <w:rsid w:val="18636858"/>
    <w:rsid w:val="18640C92"/>
    <w:rsid w:val="18645C61"/>
    <w:rsid w:val="18656713"/>
    <w:rsid w:val="18664195"/>
    <w:rsid w:val="1867217A"/>
    <w:rsid w:val="1867233F"/>
    <w:rsid w:val="18681BBE"/>
    <w:rsid w:val="18687698"/>
    <w:rsid w:val="186936F3"/>
    <w:rsid w:val="1869511A"/>
    <w:rsid w:val="186A20C2"/>
    <w:rsid w:val="186D15A1"/>
    <w:rsid w:val="186E6D83"/>
    <w:rsid w:val="186E6F48"/>
    <w:rsid w:val="186E7023"/>
    <w:rsid w:val="18702526"/>
    <w:rsid w:val="18711035"/>
    <w:rsid w:val="187212AC"/>
    <w:rsid w:val="18721BFE"/>
    <w:rsid w:val="187325D8"/>
    <w:rsid w:val="18733177"/>
    <w:rsid w:val="18737F1D"/>
    <w:rsid w:val="18740F2C"/>
    <w:rsid w:val="187447AF"/>
    <w:rsid w:val="18752231"/>
    <w:rsid w:val="187569AE"/>
    <w:rsid w:val="1876442F"/>
    <w:rsid w:val="1876528F"/>
    <w:rsid w:val="18767CB3"/>
    <w:rsid w:val="18775734"/>
    <w:rsid w:val="187831B6"/>
    <w:rsid w:val="18786807"/>
    <w:rsid w:val="187A66B9"/>
    <w:rsid w:val="187B075B"/>
    <w:rsid w:val="187B08B7"/>
    <w:rsid w:val="187B413A"/>
    <w:rsid w:val="187C1BBC"/>
    <w:rsid w:val="187D763D"/>
    <w:rsid w:val="187E2A36"/>
    <w:rsid w:val="187E50BF"/>
    <w:rsid w:val="187F2B40"/>
    <w:rsid w:val="187F72BD"/>
    <w:rsid w:val="18803FAF"/>
    <w:rsid w:val="18804D3F"/>
    <w:rsid w:val="188127C0"/>
    <w:rsid w:val="188128B0"/>
    <w:rsid w:val="18820242"/>
    <w:rsid w:val="18831547"/>
    <w:rsid w:val="18836AA1"/>
    <w:rsid w:val="18836C66"/>
    <w:rsid w:val="188411C6"/>
    <w:rsid w:val="18846FC8"/>
    <w:rsid w:val="188501DE"/>
    <w:rsid w:val="18856C48"/>
    <w:rsid w:val="18860D7D"/>
    <w:rsid w:val="188624CB"/>
    <w:rsid w:val="188646CA"/>
    <w:rsid w:val="18871757"/>
    <w:rsid w:val="18876269"/>
    <w:rsid w:val="18877F4D"/>
    <w:rsid w:val="188859CE"/>
    <w:rsid w:val="18892CD0"/>
    <w:rsid w:val="18893450"/>
    <w:rsid w:val="1889564E"/>
    <w:rsid w:val="188D4054"/>
    <w:rsid w:val="188D57C2"/>
    <w:rsid w:val="188D6A31"/>
    <w:rsid w:val="188D78D8"/>
    <w:rsid w:val="188E5359"/>
    <w:rsid w:val="188E5ACF"/>
    <w:rsid w:val="188E6361"/>
    <w:rsid w:val="188F7558"/>
    <w:rsid w:val="1890085C"/>
    <w:rsid w:val="18903F75"/>
    <w:rsid w:val="18912A5B"/>
    <w:rsid w:val="189204DC"/>
    <w:rsid w:val="18923D5F"/>
    <w:rsid w:val="18947263"/>
    <w:rsid w:val="18951461"/>
    <w:rsid w:val="18966EE2"/>
    <w:rsid w:val="18974964"/>
    <w:rsid w:val="18985DE5"/>
    <w:rsid w:val="189936EA"/>
    <w:rsid w:val="18997E67"/>
    <w:rsid w:val="189A116C"/>
    <w:rsid w:val="189A58E9"/>
    <w:rsid w:val="189C686D"/>
    <w:rsid w:val="189D20F0"/>
    <w:rsid w:val="189D42EF"/>
    <w:rsid w:val="189E1D70"/>
    <w:rsid w:val="189E7B72"/>
    <w:rsid w:val="189F33C8"/>
    <w:rsid w:val="189F55F4"/>
    <w:rsid w:val="189F624C"/>
    <w:rsid w:val="18A03075"/>
    <w:rsid w:val="18A20777"/>
    <w:rsid w:val="18A254E0"/>
    <w:rsid w:val="18A31A7B"/>
    <w:rsid w:val="18A361F8"/>
    <w:rsid w:val="18A43C7A"/>
    <w:rsid w:val="18A46A59"/>
    <w:rsid w:val="18A474FD"/>
    <w:rsid w:val="18A516FB"/>
    <w:rsid w:val="18A62A00"/>
    <w:rsid w:val="18A6717D"/>
    <w:rsid w:val="18A70482"/>
    <w:rsid w:val="18A8170F"/>
    <w:rsid w:val="18A82680"/>
    <w:rsid w:val="18A85F03"/>
    <w:rsid w:val="18A90101"/>
    <w:rsid w:val="18AA1406"/>
    <w:rsid w:val="18AA2C88"/>
    <w:rsid w:val="18AB3604"/>
    <w:rsid w:val="18AC4201"/>
    <w:rsid w:val="18AC4909"/>
    <w:rsid w:val="18AD0671"/>
    <w:rsid w:val="18AD0D7A"/>
    <w:rsid w:val="18AD238B"/>
    <w:rsid w:val="18AE7E0C"/>
    <w:rsid w:val="18AF200B"/>
    <w:rsid w:val="18AF588E"/>
    <w:rsid w:val="18AF707B"/>
    <w:rsid w:val="18B0330F"/>
    <w:rsid w:val="18B10430"/>
    <w:rsid w:val="18B105F4"/>
    <w:rsid w:val="18B10D91"/>
    <w:rsid w:val="18B1550E"/>
    <w:rsid w:val="18B22F8F"/>
    <w:rsid w:val="18B26813"/>
    <w:rsid w:val="18B26F91"/>
    <w:rsid w:val="18B34294"/>
    <w:rsid w:val="18B36492"/>
    <w:rsid w:val="18B41D16"/>
    <w:rsid w:val="18B43F14"/>
    <w:rsid w:val="18B51996"/>
    <w:rsid w:val="18B57797"/>
    <w:rsid w:val="18B7465F"/>
    <w:rsid w:val="18B74E99"/>
    <w:rsid w:val="18B9619D"/>
    <w:rsid w:val="18BA49DA"/>
    <w:rsid w:val="18BA5E1D"/>
    <w:rsid w:val="18BB16A1"/>
    <w:rsid w:val="18BB389F"/>
    <w:rsid w:val="18BB3A78"/>
    <w:rsid w:val="18BB4304"/>
    <w:rsid w:val="18BB7EB4"/>
    <w:rsid w:val="18BD2625"/>
    <w:rsid w:val="18BD6DA2"/>
    <w:rsid w:val="18BE35FB"/>
    <w:rsid w:val="18BE4823"/>
    <w:rsid w:val="18BF29A5"/>
    <w:rsid w:val="18C035AA"/>
    <w:rsid w:val="18C1102B"/>
    <w:rsid w:val="18C3452E"/>
    <w:rsid w:val="18C57A32"/>
    <w:rsid w:val="18C654B3"/>
    <w:rsid w:val="18C809B6"/>
    <w:rsid w:val="18C96438"/>
    <w:rsid w:val="18C9692B"/>
    <w:rsid w:val="18CA3EB9"/>
    <w:rsid w:val="18CA5B7E"/>
    <w:rsid w:val="18CB193B"/>
    <w:rsid w:val="18CD4F1B"/>
    <w:rsid w:val="18CE5ABA"/>
    <w:rsid w:val="18CF6494"/>
    <w:rsid w:val="18D05DC3"/>
    <w:rsid w:val="18D06E6E"/>
    <w:rsid w:val="18D205AB"/>
    <w:rsid w:val="18D3114A"/>
    <w:rsid w:val="18D347C9"/>
    <w:rsid w:val="18D36D47"/>
    <w:rsid w:val="18D418FC"/>
    <w:rsid w:val="18D4224A"/>
    <w:rsid w:val="18D712BE"/>
    <w:rsid w:val="18D71629"/>
    <w:rsid w:val="18D747DB"/>
    <w:rsid w:val="18D80D9D"/>
    <w:rsid w:val="18D86A52"/>
    <w:rsid w:val="18D966D2"/>
    <w:rsid w:val="18DA17E7"/>
    <w:rsid w:val="18DA4154"/>
    <w:rsid w:val="18DB1BD5"/>
    <w:rsid w:val="18DB79D7"/>
    <w:rsid w:val="18DC2EDA"/>
    <w:rsid w:val="18DC7657"/>
    <w:rsid w:val="18DE2B5A"/>
    <w:rsid w:val="18DE36FC"/>
    <w:rsid w:val="18DE63DD"/>
    <w:rsid w:val="18E018E0"/>
    <w:rsid w:val="18E134FB"/>
    <w:rsid w:val="18E13ADF"/>
    <w:rsid w:val="18E17362"/>
    <w:rsid w:val="18E23ED6"/>
    <w:rsid w:val="18E24DE3"/>
    <w:rsid w:val="18E32865"/>
    <w:rsid w:val="18E35613"/>
    <w:rsid w:val="18E36FE2"/>
    <w:rsid w:val="18E44A63"/>
    <w:rsid w:val="18E461B2"/>
    <w:rsid w:val="18E6320F"/>
    <w:rsid w:val="18E7126B"/>
    <w:rsid w:val="18E759E8"/>
    <w:rsid w:val="18E86CED"/>
    <w:rsid w:val="18E90EEB"/>
    <w:rsid w:val="18EA1B85"/>
    <w:rsid w:val="18EB1E70"/>
    <w:rsid w:val="18EB2DBB"/>
    <w:rsid w:val="18EB43EE"/>
    <w:rsid w:val="18EC3795"/>
    <w:rsid w:val="18EC395A"/>
    <w:rsid w:val="18EC78F1"/>
    <w:rsid w:val="18ED5373"/>
    <w:rsid w:val="18EF0876"/>
    <w:rsid w:val="18EF6677"/>
    <w:rsid w:val="18F040F9"/>
    <w:rsid w:val="18F0644B"/>
    <w:rsid w:val="18F11B7B"/>
    <w:rsid w:val="18F13D79"/>
    <w:rsid w:val="18F16E26"/>
    <w:rsid w:val="18F3446D"/>
    <w:rsid w:val="18F3507E"/>
    <w:rsid w:val="18F44CFE"/>
    <w:rsid w:val="18F46278"/>
    <w:rsid w:val="18F5277F"/>
    <w:rsid w:val="18F56002"/>
    <w:rsid w:val="18F60201"/>
    <w:rsid w:val="18F71505"/>
    <w:rsid w:val="18F75C82"/>
    <w:rsid w:val="18F86F87"/>
    <w:rsid w:val="18F91185"/>
    <w:rsid w:val="18F93317"/>
    <w:rsid w:val="18F94A09"/>
    <w:rsid w:val="18FA248A"/>
    <w:rsid w:val="18FA6C07"/>
    <w:rsid w:val="18FB4688"/>
    <w:rsid w:val="18FB7F0C"/>
    <w:rsid w:val="18FC210A"/>
    <w:rsid w:val="18FC7448"/>
    <w:rsid w:val="18FD7B8B"/>
    <w:rsid w:val="18FE560D"/>
    <w:rsid w:val="18FF308F"/>
    <w:rsid w:val="18FF6912"/>
    <w:rsid w:val="19000B10"/>
    <w:rsid w:val="1901283B"/>
    <w:rsid w:val="190134B3"/>
    <w:rsid w:val="19016592"/>
    <w:rsid w:val="19020A55"/>
    <w:rsid w:val="1902112B"/>
    <w:rsid w:val="19024013"/>
    <w:rsid w:val="19037516"/>
    <w:rsid w:val="19037CA8"/>
    <w:rsid w:val="19037E5E"/>
    <w:rsid w:val="19042D9A"/>
    <w:rsid w:val="19047267"/>
    <w:rsid w:val="1904741C"/>
    <w:rsid w:val="19056169"/>
    <w:rsid w:val="1906629D"/>
    <w:rsid w:val="19073D1E"/>
    <w:rsid w:val="19075F1D"/>
    <w:rsid w:val="190817A0"/>
    <w:rsid w:val="19097221"/>
    <w:rsid w:val="190A033C"/>
    <w:rsid w:val="190A6EA1"/>
    <w:rsid w:val="190B2724"/>
    <w:rsid w:val="190B47F5"/>
    <w:rsid w:val="190B4923"/>
    <w:rsid w:val="190C23A4"/>
    <w:rsid w:val="190C374D"/>
    <w:rsid w:val="190C5C28"/>
    <w:rsid w:val="190E112B"/>
    <w:rsid w:val="190F3329"/>
    <w:rsid w:val="190F5864"/>
    <w:rsid w:val="190F6BAC"/>
    <w:rsid w:val="1910462E"/>
    <w:rsid w:val="191120AF"/>
    <w:rsid w:val="191129A6"/>
    <w:rsid w:val="1912797C"/>
    <w:rsid w:val="19127B31"/>
    <w:rsid w:val="19131D2F"/>
    <w:rsid w:val="191355B2"/>
    <w:rsid w:val="19140EF5"/>
    <w:rsid w:val="191410B9"/>
    <w:rsid w:val="19143034"/>
    <w:rsid w:val="19150AB5"/>
    <w:rsid w:val="19151C58"/>
    <w:rsid w:val="19155232"/>
    <w:rsid w:val="19162CB4"/>
    <w:rsid w:val="19166537"/>
    <w:rsid w:val="19173FB9"/>
    <w:rsid w:val="19181A3A"/>
    <w:rsid w:val="19183BAB"/>
    <w:rsid w:val="191861B7"/>
    <w:rsid w:val="19194749"/>
    <w:rsid w:val="191A5E87"/>
    <w:rsid w:val="191B6861"/>
    <w:rsid w:val="191C723B"/>
    <w:rsid w:val="191F13C5"/>
    <w:rsid w:val="191F35C3"/>
    <w:rsid w:val="19201EF1"/>
    <w:rsid w:val="19204688"/>
    <w:rsid w:val="19204742"/>
    <w:rsid w:val="192048F7"/>
    <w:rsid w:val="19205339"/>
    <w:rsid w:val="19212A90"/>
    <w:rsid w:val="192143D6"/>
    <w:rsid w:val="192148C8"/>
    <w:rsid w:val="19216AC6"/>
    <w:rsid w:val="1922234A"/>
    <w:rsid w:val="19237DCB"/>
    <w:rsid w:val="192432CE"/>
    <w:rsid w:val="19250D50"/>
    <w:rsid w:val="19266120"/>
    <w:rsid w:val="192667D1"/>
    <w:rsid w:val="1927785E"/>
    <w:rsid w:val="19280074"/>
    <w:rsid w:val="19290C12"/>
    <w:rsid w:val="19297756"/>
    <w:rsid w:val="192C06DB"/>
    <w:rsid w:val="192C2D2A"/>
    <w:rsid w:val="192F165F"/>
    <w:rsid w:val="19314B62"/>
    <w:rsid w:val="19330066"/>
    <w:rsid w:val="19341070"/>
    <w:rsid w:val="193447A0"/>
    <w:rsid w:val="19345AE7"/>
    <w:rsid w:val="19353569"/>
    <w:rsid w:val="19360FEA"/>
    <w:rsid w:val="19373188"/>
    <w:rsid w:val="19394701"/>
    <w:rsid w:val="193A79F0"/>
    <w:rsid w:val="193B5472"/>
    <w:rsid w:val="193C2EF3"/>
    <w:rsid w:val="193D41F8"/>
    <w:rsid w:val="193D4430"/>
    <w:rsid w:val="193E0E70"/>
    <w:rsid w:val="193E3E78"/>
    <w:rsid w:val="193F1086"/>
    <w:rsid w:val="193F18FA"/>
    <w:rsid w:val="193F76FB"/>
    <w:rsid w:val="1940130A"/>
    <w:rsid w:val="194014CF"/>
    <w:rsid w:val="1940517D"/>
    <w:rsid w:val="1940737B"/>
    <w:rsid w:val="19414DFD"/>
    <w:rsid w:val="19420680"/>
    <w:rsid w:val="19436102"/>
    <w:rsid w:val="19441605"/>
    <w:rsid w:val="19443B83"/>
    <w:rsid w:val="19444B5F"/>
    <w:rsid w:val="19445D81"/>
    <w:rsid w:val="19455539"/>
    <w:rsid w:val="19461284"/>
    <w:rsid w:val="19472589"/>
    <w:rsid w:val="19476D06"/>
    <w:rsid w:val="1948000B"/>
    <w:rsid w:val="19495A8C"/>
    <w:rsid w:val="194A350E"/>
    <w:rsid w:val="194B0F90"/>
    <w:rsid w:val="194B3ED9"/>
    <w:rsid w:val="194C318E"/>
    <w:rsid w:val="194C6A11"/>
    <w:rsid w:val="194E6691"/>
    <w:rsid w:val="194F4112"/>
    <w:rsid w:val="19501B94"/>
    <w:rsid w:val="195051E7"/>
    <w:rsid w:val="19505417"/>
    <w:rsid w:val="19512E99"/>
    <w:rsid w:val="19516372"/>
    <w:rsid w:val="19517616"/>
    <w:rsid w:val="19532B19"/>
    <w:rsid w:val="1953639C"/>
    <w:rsid w:val="19537AAF"/>
    <w:rsid w:val="1954059A"/>
    <w:rsid w:val="19543E1D"/>
    <w:rsid w:val="1954601C"/>
    <w:rsid w:val="19551028"/>
    <w:rsid w:val="1955189F"/>
    <w:rsid w:val="19553A9D"/>
    <w:rsid w:val="1956151F"/>
    <w:rsid w:val="19561BC7"/>
    <w:rsid w:val="19567321"/>
    <w:rsid w:val="19574DA2"/>
    <w:rsid w:val="19576FA0"/>
    <w:rsid w:val="19582824"/>
    <w:rsid w:val="19584882"/>
    <w:rsid w:val="19584A22"/>
    <w:rsid w:val="195902A5"/>
    <w:rsid w:val="19596F42"/>
    <w:rsid w:val="195A5C74"/>
    <w:rsid w:val="195A5D27"/>
    <w:rsid w:val="195B37A8"/>
    <w:rsid w:val="195B59A7"/>
    <w:rsid w:val="195C122A"/>
    <w:rsid w:val="195C3428"/>
    <w:rsid w:val="195C4B5C"/>
    <w:rsid w:val="195C5C31"/>
    <w:rsid w:val="195C6CAB"/>
    <w:rsid w:val="195D472D"/>
    <w:rsid w:val="195E692B"/>
    <w:rsid w:val="195E736E"/>
    <w:rsid w:val="195E7D49"/>
    <w:rsid w:val="195F08E7"/>
    <w:rsid w:val="195F43AD"/>
    <w:rsid w:val="19613133"/>
    <w:rsid w:val="19625331"/>
    <w:rsid w:val="19632DB3"/>
    <w:rsid w:val="1963359E"/>
    <w:rsid w:val="19636636"/>
    <w:rsid w:val="196440B8"/>
    <w:rsid w:val="19651B39"/>
    <w:rsid w:val="196562B6"/>
    <w:rsid w:val="19663D38"/>
    <w:rsid w:val="196654F1"/>
    <w:rsid w:val="1967608F"/>
    <w:rsid w:val="196818D5"/>
    <w:rsid w:val="19686C2E"/>
    <w:rsid w:val="1968723B"/>
    <w:rsid w:val="19694CBC"/>
    <w:rsid w:val="19697608"/>
    <w:rsid w:val="196A5FC1"/>
    <w:rsid w:val="196B01BF"/>
    <w:rsid w:val="196C14C4"/>
    <w:rsid w:val="196C22BE"/>
    <w:rsid w:val="196C36C2"/>
    <w:rsid w:val="196C5C41"/>
    <w:rsid w:val="196D1144"/>
    <w:rsid w:val="196D2E5D"/>
    <w:rsid w:val="196D6F46"/>
    <w:rsid w:val="196E49C7"/>
    <w:rsid w:val="196E6BC6"/>
    <w:rsid w:val="19707ECA"/>
    <w:rsid w:val="1971007E"/>
    <w:rsid w:val="19720173"/>
    <w:rsid w:val="197233CD"/>
    <w:rsid w:val="197255CC"/>
    <w:rsid w:val="19730E4F"/>
    <w:rsid w:val="1973708C"/>
    <w:rsid w:val="19751DD4"/>
    <w:rsid w:val="19756550"/>
    <w:rsid w:val="19760FDF"/>
    <w:rsid w:val="19763FD2"/>
    <w:rsid w:val="19771A54"/>
    <w:rsid w:val="19771B7E"/>
    <w:rsid w:val="197752D7"/>
    <w:rsid w:val="19782037"/>
    <w:rsid w:val="1978271D"/>
    <w:rsid w:val="19782D58"/>
    <w:rsid w:val="19791440"/>
    <w:rsid w:val="197A29D8"/>
    <w:rsid w:val="197B045A"/>
    <w:rsid w:val="197B3CDD"/>
    <w:rsid w:val="197B53D3"/>
    <w:rsid w:val="197C175F"/>
    <w:rsid w:val="197C5EDB"/>
    <w:rsid w:val="197D3137"/>
    <w:rsid w:val="197D395D"/>
    <w:rsid w:val="197D71E0"/>
    <w:rsid w:val="197E13DE"/>
    <w:rsid w:val="197E4C62"/>
    <w:rsid w:val="197F26E3"/>
    <w:rsid w:val="197F7EC5"/>
    <w:rsid w:val="198048E1"/>
    <w:rsid w:val="1981143D"/>
    <w:rsid w:val="19812363"/>
    <w:rsid w:val="19815BE6"/>
    <w:rsid w:val="19823668"/>
    <w:rsid w:val="19827DE5"/>
    <w:rsid w:val="198310E9"/>
    <w:rsid w:val="198329B6"/>
    <w:rsid w:val="19846B6B"/>
    <w:rsid w:val="198540F4"/>
    <w:rsid w:val="198545EC"/>
    <w:rsid w:val="198567EB"/>
    <w:rsid w:val="1986206E"/>
    <w:rsid w:val="19864814"/>
    <w:rsid w:val="19871CEE"/>
    <w:rsid w:val="19877AF0"/>
    <w:rsid w:val="19885571"/>
    <w:rsid w:val="19886DAA"/>
    <w:rsid w:val="1988776F"/>
    <w:rsid w:val="19892FF3"/>
    <w:rsid w:val="19897784"/>
    <w:rsid w:val="198A0323"/>
    <w:rsid w:val="198B64F6"/>
    <w:rsid w:val="198C19F9"/>
    <w:rsid w:val="198C3F77"/>
    <w:rsid w:val="198D747A"/>
    <w:rsid w:val="198E2E15"/>
    <w:rsid w:val="198F297E"/>
    <w:rsid w:val="198F39B3"/>
    <w:rsid w:val="19914F2C"/>
    <w:rsid w:val="19915E81"/>
    <w:rsid w:val="19923902"/>
    <w:rsid w:val="19925906"/>
    <w:rsid w:val="19936669"/>
    <w:rsid w:val="199402BF"/>
    <w:rsid w:val="19954887"/>
    <w:rsid w:val="19962308"/>
    <w:rsid w:val="19963FC1"/>
    <w:rsid w:val="19965EDA"/>
    <w:rsid w:val="199663FA"/>
    <w:rsid w:val="19977D8A"/>
    <w:rsid w:val="1998580B"/>
    <w:rsid w:val="19993273"/>
    <w:rsid w:val="1999328D"/>
    <w:rsid w:val="199A0D0F"/>
    <w:rsid w:val="199A3E11"/>
    <w:rsid w:val="199B47EC"/>
    <w:rsid w:val="199B6790"/>
    <w:rsid w:val="199C4212"/>
    <w:rsid w:val="199D1C93"/>
    <w:rsid w:val="19A02C18"/>
    <w:rsid w:val="19A10699"/>
    <w:rsid w:val="19A213F5"/>
    <w:rsid w:val="19A22E07"/>
    <w:rsid w:val="19A2611B"/>
    <w:rsid w:val="19A3056F"/>
    <w:rsid w:val="19A317CF"/>
    <w:rsid w:val="19A37420"/>
    <w:rsid w:val="19A44EA1"/>
    <w:rsid w:val="19A54B21"/>
    <w:rsid w:val="19A603A4"/>
    <w:rsid w:val="19A625A3"/>
    <w:rsid w:val="19A64C4A"/>
    <w:rsid w:val="19A70024"/>
    <w:rsid w:val="19A838A8"/>
    <w:rsid w:val="19A861C3"/>
    <w:rsid w:val="19A93527"/>
    <w:rsid w:val="19AA6DAB"/>
    <w:rsid w:val="19AB482C"/>
    <w:rsid w:val="19AB6A2A"/>
    <w:rsid w:val="19AC7D2F"/>
    <w:rsid w:val="19AD1853"/>
    <w:rsid w:val="19AD1F2E"/>
    <w:rsid w:val="19AD57B1"/>
    <w:rsid w:val="19AE23F2"/>
    <w:rsid w:val="19AE79AF"/>
    <w:rsid w:val="19AF0CB4"/>
    <w:rsid w:val="19AF5431"/>
    <w:rsid w:val="19B06735"/>
    <w:rsid w:val="19B10934"/>
    <w:rsid w:val="19B150A8"/>
    <w:rsid w:val="19B21C39"/>
    <w:rsid w:val="19B238D5"/>
    <w:rsid w:val="19B36621"/>
    <w:rsid w:val="19B418B8"/>
    <w:rsid w:val="19B52BBD"/>
    <w:rsid w:val="19B5733A"/>
    <w:rsid w:val="19B579D5"/>
    <w:rsid w:val="19B57B9A"/>
    <w:rsid w:val="19B64DBC"/>
    <w:rsid w:val="19B760C0"/>
    <w:rsid w:val="19B802BF"/>
    <w:rsid w:val="19B915C3"/>
    <w:rsid w:val="19B9268B"/>
    <w:rsid w:val="19B95D40"/>
    <w:rsid w:val="19BB1243"/>
    <w:rsid w:val="19BB3DC9"/>
    <w:rsid w:val="19BB4AC7"/>
    <w:rsid w:val="19BC2548"/>
    <w:rsid w:val="19BC4967"/>
    <w:rsid w:val="19BC5265"/>
    <w:rsid w:val="19BC6CC5"/>
    <w:rsid w:val="19BD21C8"/>
    <w:rsid w:val="19BE5A4B"/>
    <w:rsid w:val="19BF34CD"/>
    <w:rsid w:val="19BF39A9"/>
    <w:rsid w:val="19BF76EB"/>
    <w:rsid w:val="19C00F4E"/>
    <w:rsid w:val="19C0314D"/>
    <w:rsid w:val="19C06268"/>
    <w:rsid w:val="19C07E33"/>
    <w:rsid w:val="19C109D2"/>
    <w:rsid w:val="19C122CF"/>
    <w:rsid w:val="19C169D0"/>
    <w:rsid w:val="19C21571"/>
    <w:rsid w:val="19C24451"/>
    <w:rsid w:val="19C26650"/>
    <w:rsid w:val="19C31ED3"/>
    <w:rsid w:val="19C42AEA"/>
    <w:rsid w:val="19C534C4"/>
    <w:rsid w:val="19C608D9"/>
    <w:rsid w:val="19C65056"/>
    <w:rsid w:val="19C72AD7"/>
    <w:rsid w:val="19C83DDC"/>
    <w:rsid w:val="19C857A0"/>
    <w:rsid w:val="19C9185E"/>
    <w:rsid w:val="19CA72DF"/>
    <w:rsid w:val="19CB14DE"/>
    <w:rsid w:val="19CB4D61"/>
    <w:rsid w:val="19CC6F5F"/>
    <w:rsid w:val="19CD0264"/>
    <w:rsid w:val="19CD180A"/>
    <w:rsid w:val="19CD49E1"/>
    <w:rsid w:val="19CE2462"/>
    <w:rsid w:val="19CE5CE6"/>
    <w:rsid w:val="19CF7EE4"/>
    <w:rsid w:val="19D011E9"/>
    <w:rsid w:val="19D142FC"/>
    <w:rsid w:val="19D144C1"/>
    <w:rsid w:val="19D16C6A"/>
    <w:rsid w:val="19D2505F"/>
    <w:rsid w:val="19D368EA"/>
    <w:rsid w:val="19D4436C"/>
    <w:rsid w:val="19D46414"/>
    <w:rsid w:val="19D47BEF"/>
    <w:rsid w:val="19D5786F"/>
    <w:rsid w:val="19D652F0"/>
    <w:rsid w:val="19D67B51"/>
    <w:rsid w:val="19D70B73"/>
    <w:rsid w:val="19D71D79"/>
    <w:rsid w:val="19D72D72"/>
    <w:rsid w:val="19D810CA"/>
    <w:rsid w:val="19D8128E"/>
    <w:rsid w:val="19D865F5"/>
    <w:rsid w:val="19D94077"/>
    <w:rsid w:val="19D96275"/>
    <w:rsid w:val="19DA3CF6"/>
    <w:rsid w:val="19DB1778"/>
    <w:rsid w:val="19DB3D80"/>
    <w:rsid w:val="19DC4FFB"/>
    <w:rsid w:val="19DD04FE"/>
    <w:rsid w:val="19DD2A7D"/>
    <w:rsid w:val="19DE26FD"/>
    <w:rsid w:val="19DE5E98"/>
    <w:rsid w:val="19DF017E"/>
    <w:rsid w:val="19DF3A01"/>
    <w:rsid w:val="19DF6872"/>
    <w:rsid w:val="19E01483"/>
    <w:rsid w:val="19E05C00"/>
    <w:rsid w:val="19E16F05"/>
    <w:rsid w:val="19E24986"/>
    <w:rsid w:val="19E32408"/>
    <w:rsid w:val="19E420C7"/>
    <w:rsid w:val="19E44606"/>
    <w:rsid w:val="19E47E89"/>
    <w:rsid w:val="19E52087"/>
    <w:rsid w:val="19E5590B"/>
    <w:rsid w:val="19E67B09"/>
    <w:rsid w:val="19E7558B"/>
    <w:rsid w:val="19E8300C"/>
    <w:rsid w:val="19E8688F"/>
    <w:rsid w:val="19E90A8E"/>
    <w:rsid w:val="19EB461F"/>
    <w:rsid w:val="19EB7245"/>
    <w:rsid w:val="19EB786F"/>
    <w:rsid w:val="19EC0249"/>
    <w:rsid w:val="19EC1A12"/>
    <w:rsid w:val="19EC48E7"/>
    <w:rsid w:val="19ED457C"/>
    <w:rsid w:val="19ED4F15"/>
    <w:rsid w:val="19EE0799"/>
    <w:rsid w:val="19EE2997"/>
    <w:rsid w:val="19EF0419"/>
    <w:rsid w:val="19F138D9"/>
    <w:rsid w:val="19F426A2"/>
    <w:rsid w:val="19F50124"/>
    <w:rsid w:val="19F55BA5"/>
    <w:rsid w:val="19F63627"/>
    <w:rsid w:val="19F67CCD"/>
    <w:rsid w:val="19F81081"/>
    <w:rsid w:val="19F81246"/>
    <w:rsid w:val="19FA75E5"/>
    <w:rsid w:val="19FC6318"/>
    <w:rsid w:val="19FF5E4F"/>
    <w:rsid w:val="1A0119B8"/>
    <w:rsid w:val="1A027439"/>
    <w:rsid w:val="1A027DA2"/>
    <w:rsid w:val="1A030941"/>
    <w:rsid w:val="1A034EBB"/>
    <w:rsid w:val="1A0503BE"/>
    <w:rsid w:val="1A0511B9"/>
    <w:rsid w:val="1A065E3F"/>
    <w:rsid w:val="1A0738C1"/>
    <w:rsid w:val="1A074196"/>
    <w:rsid w:val="1A084B70"/>
    <w:rsid w:val="1A091A57"/>
    <w:rsid w:val="1A091C0D"/>
    <w:rsid w:val="1A09212D"/>
    <w:rsid w:val="1A09570F"/>
    <w:rsid w:val="1A096DC4"/>
    <w:rsid w:val="1A0A0AF5"/>
    <w:rsid w:val="1A0A0E60"/>
    <w:rsid w:val="1A0A11CB"/>
    <w:rsid w:val="1A0A7697"/>
    <w:rsid w:val="1A0B22C7"/>
    <w:rsid w:val="1A0C7D49"/>
    <w:rsid w:val="1A0D03C5"/>
    <w:rsid w:val="1A0D104E"/>
    <w:rsid w:val="1A0E0CCD"/>
    <w:rsid w:val="1A0E0D9F"/>
    <w:rsid w:val="1A0E6ACF"/>
    <w:rsid w:val="1A0E72D4"/>
    <w:rsid w:val="1A101FD2"/>
    <w:rsid w:val="1A102EB7"/>
    <w:rsid w:val="1A1041D0"/>
    <w:rsid w:val="1A117A54"/>
    <w:rsid w:val="1A1254D5"/>
    <w:rsid w:val="1A1276D4"/>
    <w:rsid w:val="1A134FCE"/>
    <w:rsid w:val="1A135155"/>
    <w:rsid w:val="1A142BD7"/>
    <w:rsid w:val="1A150658"/>
    <w:rsid w:val="1A153EDB"/>
    <w:rsid w:val="1A15645A"/>
    <w:rsid w:val="1A165502"/>
    <w:rsid w:val="1A173B5B"/>
    <w:rsid w:val="1A1773DF"/>
    <w:rsid w:val="1A1815DD"/>
    <w:rsid w:val="1A1876EB"/>
    <w:rsid w:val="1A1928E2"/>
    <w:rsid w:val="1A1B5DE5"/>
    <w:rsid w:val="1A1C66C0"/>
    <w:rsid w:val="1A1E34E6"/>
    <w:rsid w:val="1A1E46C9"/>
    <w:rsid w:val="1A1E542C"/>
    <w:rsid w:val="1A1F47EB"/>
    <w:rsid w:val="1A2067E1"/>
    <w:rsid w:val="1A2069E9"/>
    <w:rsid w:val="1A217544"/>
    <w:rsid w:val="1A217CEE"/>
    <w:rsid w:val="1A2308F8"/>
    <w:rsid w:val="1A230ABD"/>
    <w:rsid w:val="1A2331F1"/>
    <w:rsid w:val="1A23796E"/>
    <w:rsid w:val="1A240C73"/>
    <w:rsid w:val="1A241497"/>
    <w:rsid w:val="1A2453EF"/>
    <w:rsid w:val="1A252036"/>
    <w:rsid w:val="1A252E71"/>
    <w:rsid w:val="1A2608F3"/>
    <w:rsid w:val="1A2753D8"/>
    <w:rsid w:val="1A27558E"/>
    <w:rsid w:val="1A275AAF"/>
    <w:rsid w:val="1A28414D"/>
    <w:rsid w:val="1A287679"/>
    <w:rsid w:val="1A294CEC"/>
    <w:rsid w:val="1A2972F9"/>
    <w:rsid w:val="1A2A2B7C"/>
    <w:rsid w:val="1A2A4D7A"/>
    <w:rsid w:val="1A2B05FE"/>
    <w:rsid w:val="1A2B27FC"/>
    <w:rsid w:val="1A2C027D"/>
    <w:rsid w:val="1A2D01B8"/>
    <w:rsid w:val="1A2D3B01"/>
    <w:rsid w:val="1A2D5CFF"/>
    <w:rsid w:val="1A2E0D57"/>
    <w:rsid w:val="1A2E3780"/>
    <w:rsid w:val="1A2E7004"/>
    <w:rsid w:val="1A2F1202"/>
    <w:rsid w:val="1A2F18F5"/>
    <w:rsid w:val="1A313033"/>
    <w:rsid w:val="1A317F88"/>
    <w:rsid w:val="1A322187"/>
    <w:rsid w:val="1A323A0D"/>
    <w:rsid w:val="1A325A0A"/>
    <w:rsid w:val="1A33348C"/>
    <w:rsid w:val="1A3345AB"/>
    <w:rsid w:val="1A337C08"/>
    <w:rsid w:val="1A344F86"/>
    <w:rsid w:val="1A34568A"/>
    <w:rsid w:val="1A3505F7"/>
    <w:rsid w:val="1A35310B"/>
    <w:rsid w:val="1A355960"/>
    <w:rsid w:val="1A35698F"/>
    <w:rsid w:val="1A364410"/>
    <w:rsid w:val="1A371E92"/>
    <w:rsid w:val="1A37660E"/>
    <w:rsid w:val="1A384090"/>
    <w:rsid w:val="1A387913"/>
    <w:rsid w:val="1A387A77"/>
    <w:rsid w:val="1A3911B5"/>
    <w:rsid w:val="1A3A1B8F"/>
    <w:rsid w:val="1A3A2E16"/>
    <w:rsid w:val="1A3C2A96"/>
    <w:rsid w:val="1A3C32CC"/>
    <w:rsid w:val="1A3C6319"/>
    <w:rsid w:val="1A3D3D9B"/>
    <w:rsid w:val="1A3E181D"/>
    <w:rsid w:val="1A3E4845"/>
    <w:rsid w:val="1A3E5F99"/>
    <w:rsid w:val="1A404D20"/>
    <w:rsid w:val="1A405DBE"/>
    <w:rsid w:val="1A406F1E"/>
    <w:rsid w:val="1A4127A1"/>
    <w:rsid w:val="1A41695D"/>
    <w:rsid w:val="1A420223"/>
    <w:rsid w:val="1A422421"/>
    <w:rsid w:val="1A42393B"/>
    <w:rsid w:val="1A427337"/>
    <w:rsid w:val="1A43009A"/>
    <w:rsid w:val="1A435CA4"/>
    <w:rsid w:val="1A440A74"/>
    <w:rsid w:val="1A4428B3"/>
    <w:rsid w:val="1A443726"/>
    <w:rsid w:val="1A445924"/>
    <w:rsid w:val="1A45144E"/>
    <w:rsid w:val="1A451613"/>
    <w:rsid w:val="1A4533A6"/>
    <w:rsid w:val="1A461FED"/>
    <w:rsid w:val="1A4646AB"/>
    <w:rsid w:val="1A4729C7"/>
    <w:rsid w:val="1A472B8C"/>
    <w:rsid w:val="1A483566"/>
    <w:rsid w:val="1A484105"/>
    <w:rsid w:val="1A491DAC"/>
    <w:rsid w:val="1A494CA3"/>
    <w:rsid w:val="1A4A782D"/>
    <w:rsid w:val="1A4B52AF"/>
    <w:rsid w:val="1A4C2D31"/>
    <w:rsid w:val="1A4D07B2"/>
    <w:rsid w:val="1A4D795A"/>
    <w:rsid w:val="1A4E1AB7"/>
    <w:rsid w:val="1A4E6234"/>
    <w:rsid w:val="1A4F0ED2"/>
    <w:rsid w:val="1A4F3CB5"/>
    <w:rsid w:val="1A4F7538"/>
    <w:rsid w:val="1A5018AD"/>
    <w:rsid w:val="1A504FBA"/>
    <w:rsid w:val="1A512287"/>
    <w:rsid w:val="1A512A3C"/>
    <w:rsid w:val="1A515AD2"/>
    <w:rsid w:val="1A515FF3"/>
    <w:rsid w:val="1A5204BD"/>
    <w:rsid w:val="1A524C3A"/>
    <w:rsid w:val="1A5326BB"/>
    <w:rsid w:val="1A535F3F"/>
    <w:rsid w:val="1A5439C0"/>
    <w:rsid w:val="1A555BBE"/>
    <w:rsid w:val="1A5664B6"/>
    <w:rsid w:val="1A56667A"/>
    <w:rsid w:val="1A566EC3"/>
    <w:rsid w:val="1A574945"/>
    <w:rsid w:val="1A5823C6"/>
    <w:rsid w:val="1A587BF3"/>
    <w:rsid w:val="1A5A58C9"/>
    <w:rsid w:val="1A5B1D0B"/>
    <w:rsid w:val="1A5C0DCD"/>
    <w:rsid w:val="1A5D684E"/>
    <w:rsid w:val="1A5E1D51"/>
    <w:rsid w:val="1A5E2A1F"/>
    <w:rsid w:val="1A5E42D0"/>
    <w:rsid w:val="1A612CD6"/>
    <w:rsid w:val="1A626914"/>
    <w:rsid w:val="1A630051"/>
    <w:rsid w:val="1A6374B3"/>
    <w:rsid w:val="1A661FA5"/>
    <w:rsid w:val="1A662169"/>
    <w:rsid w:val="1A682661"/>
    <w:rsid w:val="1A6836E2"/>
    <w:rsid w:val="1A6900E2"/>
    <w:rsid w:val="1A6B57F9"/>
    <w:rsid w:val="1A6C043C"/>
    <w:rsid w:val="1A6C1067"/>
    <w:rsid w:val="1A6D025B"/>
    <w:rsid w:val="1A6D6AE8"/>
    <w:rsid w:val="1A6D6D72"/>
    <w:rsid w:val="1A6F586F"/>
    <w:rsid w:val="1A700E8A"/>
    <w:rsid w:val="1A7032F0"/>
    <w:rsid w:val="1A710D72"/>
    <w:rsid w:val="1A7154EF"/>
    <w:rsid w:val="1A722DDD"/>
    <w:rsid w:val="1A733B40"/>
    <w:rsid w:val="1A734275"/>
    <w:rsid w:val="1A741CF7"/>
    <w:rsid w:val="1A7550B9"/>
    <w:rsid w:val="1A757778"/>
    <w:rsid w:val="1A761976"/>
    <w:rsid w:val="1A765C58"/>
    <w:rsid w:val="1A7673F8"/>
    <w:rsid w:val="1A772C7B"/>
    <w:rsid w:val="1A774E7A"/>
    <w:rsid w:val="1A7806FD"/>
    <w:rsid w:val="1A7828FB"/>
    <w:rsid w:val="1A7A0585"/>
    <w:rsid w:val="1A7A5DFE"/>
    <w:rsid w:val="1A7B12E8"/>
    <w:rsid w:val="1A7B3880"/>
    <w:rsid w:val="1A7C5940"/>
    <w:rsid w:val="1A7D269C"/>
    <w:rsid w:val="1A7D2861"/>
    <w:rsid w:val="1A7D4307"/>
    <w:rsid w:val="1A7D4B85"/>
    <w:rsid w:val="1A7D6D83"/>
    <w:rsid w:val="1A7E0088"/>
    <w:rsid w:val="1A7E2606"/>
    <w:rsid w:val="1A7E38C5"/>
    <w:rsid w:val="1A7E3C31"/>
    <w:rsid w:val="1A7F47B4"/>
    <w:rsid w:val="1A7F5B09"/>
    <w:rsid w:val="1A80358B"/>
    <w:rsid w:val="1A807D07"/>
    <w:rsid w:val="1A81100C"/>
    <w:rsid w:val="1A826A90"/>
    <w:rsid w:val="1A83450F"/>
    <w:rsid w:val="1A83746A"/>
    <w:rsid w:val="1A840009"/>
    <w:rsid w:val="1A84670E"/>
    <w:rsid w:val="1A847E44"/>
    <w:rsid w:val="1A8569E2"/>
    <w:rsid w:val="1A857A12"/>
    <w:rsid w:val="1A861C11"/>
    <w:rsid w:val="1A872F16"/>
    <w:rsid w:val="1A877692"/>
    <w:rsid w:val="1A882CBF"/>
    <w:rsid w:val="1A885114"/>
    <w:rsid w:val="1A892B95"/>
    <w:rsid w:val="1A8A3E9A"/>
    <w:rsid w:val="1A8B191C"/>
    <w:rsid w:val="1A8C6258"/>
    <w:rsid w:val="1A8C739D"/>
    <w:rsid w:val="1A8D159C"/>
    <w:rsid w:val="1A8D618B"/>
    <w:rsid w:val="1A8E28A0"/>
    <w:rsid w:val="1A8E701D"/>
    <w:rsid w:val="1A8F02A3"/>
    <w:rsid w:val="1A8F0467"/>
    <w:rsid w:val="1A9119E0"/>
    <w:rsid w:val="1A913825"/>
    <w:rsid w:val="1A915A23"/>
    <w:rsid w:val="1A9212A7"/>
    <w:rsid w:val="1A9223BA"/>
    <w:rsid w:val="1A9234A5"/>
    <w:rsid w:val="1A930F26"/>
    <w:rsid w:val="1A9447AA"/>
    <w:rsid w:val="1A95222B"/>
    <w:rsid w:val="1A964EAC"/>
    <w:rsid w:val="1A96572E"/>
    <w:rsid w:val="1A967CAD"/>
    <w:rsid w:val="1A975A4B"/>
    <w:rsid w:val="1A97792D"/>
    <w:rsid w:val="1A980C31"/>
    <w:rsid w:val="1A9966B3"/>
    <w:rsid w:val="1A997D27"/>
    <w:rsid w:val="1A9A08B1"/>
    <w:rsid w:val="1A9A1998"/>
    <w:rsid w:val="1A9A7B62"/>
    <w:rsid w:val="1A9B0514"/>
    <w:rsid w:val="1A9B0880"/>
    <w:rsid w:val="1A9B1BB6"/>
    <w:rsid w:val="1A9C0B0E"/>
    <w:rsid w:val="1A9C1E3E"/>
    <w:rsid w:val="1A9C3DB4"/>
    <w:rsid w:val="1A9C7638"/>
    <w:rsid w:val="1A9D1836"/>
    <w:rsid w:val="1A9D50B9"/>
    <w:rsid w:val="1A9E33B7"/>
    <w:rsid w:val="1A9E72B8"/>
    <w:rsid w:val="1A9F4D39"/>
    <w:rsid w:val="1AA027BB"/>
    <w:rsid w:val="1AA0603E"/>
    <w:rsid w:val="1AA13ABF"/>
    <w:rsid w:val="1AA154CF"/>
    <w:rsid w:val="1AA3373F"/>
    <w:rsid w:val="1AA36883"/>
    <w:rsid w:val="1AA36FC3"/>
    <w:rsid w:val="1AA411C1"/>
    <w:rsid w:val="1AA475E6"/>
    <w:rsid w:val="1AA56C42"/>
    <w:rsid w:val="1AA72145"/>
    <w:rsid w:val="1AA759C9"/>
    <w:rsid w:val="1AA768ED"/>
    <w:rsid w:val="1AA81F13"/>
    <w:rsid w:val="1AA8344A"/>
    <w:rsid w:val="1AA8432A"/>
    <w:rsid w:val="1AA85649"/>
    <w:rsid w:val="1AA93733"/>
    <w:rsid w:val="1AAA0B4C"/>
    <w:rsid w:val="1AAA694D"/>
    <w:rsid w:val="1AAB43CF"/>
    <w:rsid w:val="1AAB65CD"/>
    <w:rsid w:val="1AAC1E50"/>
    <w:rsid w:val="1AAC404F"/>
    <w:rsid w:val="1AAD1AD0"/>
    <w:rsid w:val="1AAD45DE"/>
    <w:rsid w:val="1AAD6307"/>
    <w:rsid w:val="1AAD78D2"/>
    <w:rsid w:val="1AAF4FD3"/>
    <w:rsid w:val="1AB062D8"/>
    <w:rsid w:val="1AB10FBD"/>
    <w:rsid w:val="1AB217DB"/>
    <w:rsid w:val="1AB25F58"/>
    <w:rsid w:val="1AB339DA"/>
    <w:rsid w:val="1AB3725D"/>
    <w:rsid w:val="1AB52760"/>
    <w:rsid w:val="1AB56EDD"/>
    <w:rsid w:val="1AB6495E"/>
    <w:rsid w:val="1AB65730"/>
    <w:rsid w:val="1AB723E0"/>
    <w:rsid w:val="1AB75BC6"/>
    <w:rsid w:val="1AB75C63"/>
    <w:rsid w:val="1AB765E6"/>
    <w:rsid w:val="1AB86765"/>
    <w:rsid w:val="1AB87E61"/>
    <w:rsid w:val="1AB958E3"/>
    <w:rsid w:val="1ABA3364"/>
    <w:rsid w:val="1ABA6BE8"/>
    <w:rsid w:val="1ABA7CDE"/>
    <w:rsid w:val="1ABB0DE6"/>
    <w:rsid w:val="1ABC1257"/>
    <w:rsid w:val="1ABC20EB"/>
    <w:rsid w:val="1ABC6868"/>
    <w:rsid w:val="1ABD7B6C"/>
    <w:rsid w:val="1ABE21AD"/>
    <w:rsid w:val="1ABE55EE"/>
    <w:rsid w:val="1ABF306F"/>
    <w:rsid w:val="1AC03F0D"/>
    <w:rsid w:val="1AC148E7"/>
    <w:rsid w:val="1AC16573"/>
    <w:rsid w:val="1AC25486"/>
    <w:rsid w:val="1AC31A76"/>
    <w:rsid w:val="1AC60952"/>
    <w:rsid w:val="1AC7047C"/>
    <w:rsid w:val="1AC716B5"/>
    <w:rsid w:val="1AC8208F"/>
    <w:rsid w:val="1AC8397F"/>
    <w:rsid w:val="1AC92C2E"/>
    <w:rsid w:val="1ACA37CD"/>
    <w:rsid w:val="1ACB4904"/>
    <w:rsid w:val="1ACC2385"/>
    <w:rsid w:val="1ACD7E07"/>
    <w:rsid w:val="1ACE5888"/>
    <w:rsid w:val="1ACF330A"/>
    <w:rsid w:val="1ACF6E5D"/>
    <w:rsid w:val="1AD003D6"/>
    <w:rsid w:val="1AD00D8B"/>
    <w:rsid w:val="1AD05845"/>
    <w:rsid w:val="1AD1680D"/>
    <w:rsid w:val="1AD2428E"/>
    <w:rsid w:val="1AD31D10"/>
    <w:rsid w:val="1AD33756"/>
    <w:rsid w:val="1AD47792"/>
    <w:rsid w:val="1AD55213"/>
    <w:rsid w:val="1AD62C95"/>
    <w:rsid w:val="1AD66518"/>
    <w:rsid w:val="1AD70716"/>
    <w:rsid w:val="1AD81A1B"/>
    <w:rsid w:val="1AD85B7E"/>
    <w:rsid w:val="1AD86198"/>
    <w:rsid w:val="1AD93C19"/>
    <w:rsid w:val="1AD9749D"/>
    <w:rsid w:val="1ADB29A0"/>
    <w:rsid w:val="1ADB7C95"/>
    <w:rsid w:val="1ADC4B9E"/>
    <w:rsid w:val="1ADC5523"/>
    <w:rsid w:val="1ADD2620"/>
    <w:rsid w:val="1ADD5EA3"/>
    <w:rsid w:val="1ADE1BE9"/>
    <w:rsid w:val="1ADE1DAD"/>
    <w:rsid w:val="1ADE3924"/>
    <w:rsid w:val="1ADF13A6"/>
    <w:rsid w:val="1ADF35A4"/>
    <w:rsid w:val="1AE148A9"/>
    <w:rsid w:val="1AE2232B"/>
    <w:rsid w:val="1AE25F33"/>
    <w:rsid w:val="1AE31FAA"/>
    <w:rsid w:val="1AE37DAC"/>
    <w:rsid w:val="1AE43998"/>
    <w:rsid w:val="1AE4582E"/>
    <w:rsid w:val="1AE47A2C"/>
    <w:rsid w:val="1AE554AD"/>
    <w:rsid w:val="1AE57390"/>
    <w:rsid w:val="1AE60D31"/>
    <w:rsid w:val="1AE62F2F"/>
    <w:rsid w:val="1AE709B1"/>
    <w:rsid w:val="1AE767B2"/>
    <w:rsid w:val="1AE81CB5"/>
    <w:rsid w:val="1AE93EB4"/>
    <w:rsid w:val="1AE9461B"/>
    <w:rsid w:val="1AE97737"/>
    <w:rsid w:val="1AEA1935"/>
    <w:rsid w:val="1AEA51B8"/>
    <w:rsid w:val="1AEB35C0"/>
    <w:rsid w:val="1AEB3784"/>
    <w:rsid w:val="1AEC415E"/>
    <w:rsid w:val="1AEC4E38"/>
    <w:rsid w:val="1AED3A41"/>
    <w:rsid w:val="1AEE033B"/>
    <w:rsid w:val="1AEE6276"/>
    <w:rsid w:val="1AEF1640"/>
    <w:rsid w:val="1AEF5DBD"/>
    <w:rsid w:val="1AEF6E14"/>
    <w:rsid w:val="1AF0383F"/>
    <w:rsid w:val="1AF070C2"/>
    <w:rsid w:val="1AF077EF"/>
    <w:rsid w:val="1AF112C0"/>
    <w:rsid w:val="1AF14B43"/>
    <w:rsid w:val="1AF170D8"/>
    <w:rsid w:val="1AF20F2C"/>
    <w:rsid w:val="1AF21D62"/>
    <w:rsid w:val="1AF31ACB"/>
    <w:rsid w:val="1AF42245"/>
    <w:rsid w:val="1AF424A5"/>
    <w:rsid w:val="1AF45AC8"/>
    <w:rsid w:val="1AF5354A"/>
    <w:rsid w:val="1AF65748"/>
    <w:rsid w:val="1AF844CE"/>
    <w:rsid w:val="1AF9414E"/>
    <w:rsid w:val="1AFA79D1"/>
    <w:rsid w:val="1AFB5453"/>
    <w:rsid w:val="1AFC07EC"/>
    <w:rsid w:val="1AFC2ED4"/>
    <w:rsid w:val="1AFC50D3"/>
    <w:rsid w:val="1AFE05D6"/>
    <w:rsid w:val="1AFE63D7"/>
    <w:rsid w:val="1AFF3984"/>
    <w:rsid w:val="1AFF3E59"/>
    <w:rsid w:val="1AFF6057"/>
    <w:rsid w:val="1B003AD9"/>
    <w:rsid w:val="1B01155A"/>
    <w:rsid w:val="1B013E7C"/>
    <w:rsid w:val="1B014DDE"/>
    <w:rsid w:val="1B015315"/>
    <w:rsid w:val="1B0302E1"/>
    <w:rsid w:val="1B034A5E"/>
    <w:rsid w:val="1B046F80"/>
    <w:rsid w:val="1B073464"/>
    <w:rsid w:val="1B076CE7"/>
    <w:rsid w:val="1B080A85"/>
    <w:rsid w:val="1B084769"/>
    <w:rsid w:val="1B096967"/>
    <w:rsid w:val="1B0A2B9D"/>
    <w:rsid w:val="1B0A7C6C"/>
    <w:rsid w:val="1B0C78EB"/>
    <w:rsid w:val="1B0D0BF0"/>
    <w:rsid w:val="1B0D4E3F"/>
    <w:rsid w:val="1B0E3EDC"/>
    <w:rsid w:val="1B0E4768"/>
    <w:rsid w:val="1B0E491E"/>
    <w:rsid w:val="1B0E568F"/>
    <w:rsid w:val="1B0E5853"/>
    <w:rsid w:val="1B0F40F3"/>
    <w:rsid w:val="1B0F622D"/>
    <w:rsid w:val="1B101B75"/>
    <w:rsid w:val="1B1062F2"/>
    <w:rsid w:val="1B1177A6"/>
    <w:rsid w:val="1B125078"/>
    <w:rsid w:val="1B127276"/>
    <w:rsid w:val="1B130EE3"/>
    <w:rsid w:val="1B132AFA"/>
    <w:rsid w:val="1B14057B"/>
    <w:rsid w:val="1B142779"/>
    <w:rsid w:val="1B152FFB"/>
    <w:rsid w:val="1B1639D5"/>
    <w:rsid w:val="1B163A7E"/>
    <w:rsid w:val="1B165C7C"/>
    <w:rsid w:val="1B171500"/>
    <w:rsid w:val="1B1736FE"/>
    <w:rsid w:val="1B181180"/>
    <w:rsid w:val="1B184A03"/>
    <w:rsid w:val="1B1A7F06"/>
    <w:rsid w:val="1B1B2104"/>
    <w:rsid w:val="1B1B5988"/>
    <w:rsid w:val="1B1C3409"/>
    <w:rsid w:val="1B1C7B86"/>
    <w:rsid w:val="1B1C7C04"/>
    <w:rsid w:val="1B1C7DC9"/>
    <w:rsid w:val="1B1D07A3"/>
    <w:rsid w:val="1B1D0E8B"/>
    <w:rsid w:val="1B1D5607"/>
    <w:rsid w:val="1B1E590D"/>
    <w:rsid w:val="1B1F1D1C"/>
    <w:rsid w:val="1B1F438E"/>
    <w:rsid w:val="1B2028BA"/>
    <w:rsid w:val="1B20658C"/>
    <w:rsid w:val="1B21400E"/>
    <w:rsid w:val="1B240815"/>
    <w:rsid w:val="1B263D19"/>
    <w:rsid w:val="1B28721C"/>
    <w:rsid w:val="1B294C9D"/>
    <w:rsid w:val="1B2D40CD"/>
    <w:rsid w:val="1B2E03D5"/>
    <w:rsid w:val="1B2F0AC6"/>
    <w:rsid w:val="1B2F6BA7"/>
    <w:rsid w:val="1B306F48"/>
    <w:rsid w:val="1B317B2B"/>
    <w:rsid w:val="1B3255AD"/>
    <w:rsid w:val="1B3267B5"/>
    <w:rsid w:val="1B32775E"/>
    <w:rsid w:val="1B341875"/>
    <w:rsid w:val="1B356531"/>
    <w:rsid w:val="1B362FB2"/>
    <w:rsid w:val="1B3874B6"/>
    <w:rsid w:val="1B394F38"/>
    <w:rsid w:val="1B3A2F9D"/>
    <w:rsid w:val="1B3B043B"/>
    <w:rsid w:val="1B3B1B1A"/>
    <w:rsid w:val="1B3C173F"/>
    <w:rsid w:val="1B3D393E"/>
    <w:rsid w:val="1B3E075A"/>
    <w:rsid w:val="1B3E13BF"/>
    <w:rsid w:val="1B3E4C43"/>
    <w:rsid w:val="1B3F1CD3"/>
    <w:rsid w:val="1B3F6E41"/>
    <w:rsid w:val="1B400146"/>
    <w:rsid w:val="1B40161D"/>
    <w:rsid w:val="1B412344"/>
    <w:rsid w:val="1B41324C"/>
    <w:rsid w:val="1B423649"/>
    <w:rsid w:val="1B423DEB"/>
    <w:rsid w:val="1B427DC5"/>
    <w:rsid w:val="1B435847"/>
    <w:rsid w:val="1B441859"/>
    <w:rsid w:val="1B445B44"/>
    <w:rsid w:val="1B446B4C"/>
    <w:rsid w:val="1B450D4A"/>
    <w:rsid w:val="1B4545CD"/>
    <w:rsid w:val="1B4560C7"/>
    <w:rsid w:val="1B46204F"/>
    <w:rsid w:val="1B4641B9"/>
    <w:rsid w:val="1B466AA1"/>
    <w:rsid w:val="1B47366A"/>
    <w:rsid w:val="1B47424D"/>
    <w:rsid w:val="1B476371"/>
    <w:rsid w:val="1B481CCF"/>
    <w:rsid w:val="1B485552"/>
    <w:rsid w:val="1B487750"/>
    <w:rsid w:val="1B4951D2"/>
    <w:rsid w:val="1B4A29CD"/>
    <w:rsid w:val="1B4A2C53"/>
    <w:rsid w:val="1B4B06D5"/>
    <w:rsid w:val="1B4B2131"/>
    <w:rsid w:val="1B4B27EC"/>
    <w:rsid w:val="1B4B64D7"/>
    <w:rsid w:val="1B4C3F58"/>
    <w:rsid w:val="1B4D19DA"/>
    <w:rsid w:val="1B4D3BD8"/>
    <w:rsid w:val="1B4E165A"/>
    <w:rsid w:val="1B4F57C2"/>
    <w:rsid w:val="1B4F5986"/>
    <w:rsid w:val="1B504B5D"/>
    <w:rsid w:val="1B50619C"/>
    <w:rsid w:val="1B51084C"/>
    <w:rsid w:val="1B515E62"/>
    <w:rsid w:val="1B5238E3"/>
    <w:rsid w:val="1B526C47"/>
    <w:rsid w:val="1B5302B4"/>
    <w:rsid w:val="1B531365"/>
    <w:rsid w:val="1B543563"/>
    <w:rsid w:val="1B546DE6"/>
    <w:rsid w:val="1B550FE4"/>
    <w:rsid w:val="1B554868"/>
    <w:rsid w:val="1B566A66"/>
    <w:rsid w:val="1B5673CA"/>
    <w:rsid w:val="1B57312E"/>
    <w:rsid w:val="1B577D6B"/>
    <w:rsid w:val="1B581F69"/>
    <w:rsid w:val="1B5857EC"/>
    <w:rsid w:val="1B59326E"/>
    <w:rsid w:val="1B5979EB"/>
    <w:rsid w:val="1B5A546C"/>
    <w:rsid w:val="1B5B65FA"/>
    <w:rsid w:val="1B5B6771"/>
    <w:rsid w:val="1B5C096F"/>
    <w:rsid w:val="1B5C41F3"/>
    <w:rsid w:val="1B5D1C74"/>
    <w:rsid w:val="1B5D63F1"/>
    <w:rsid w:val="1B5E08D6"/>
    <w:rsid w:val="1B5E3E72"/>
    <w:rsid w:val="1B5E76F6"/>
    <w:rsid w:val="1B5F12B0"/>
    <w:rsid w:val="1B5F18F4"/>
    <w:rsid w:val="1B601E4F"/>
    <w:rsid w:val="1B604DF7"/>
    <w:rsid w:val="1B6129EE"/>
    <w:rsid w:val="1B6233C8"/>
    <w:rsid w:val="1B633B7D"/>
    <w:rsid w:val="1B633DA2"/>
    <w:rsid w:val="1B6415FF"/>
    <w:rsid w:val="1B644941"/>
    <w:rsid w:val="1B65127F"/>
    <w:rsid w:val="1B65531B"/>
    <w:rsid w:val="1B6606B1"/>
    <w:rsid w:val="1B66161C"/>
    <w:rsid w:val="1B664B02"/>
    <w:rsid w:val="1B697C85"/>
    <w:rsid w:val="1B6B22AD"/>
    <w:rsid w:val="1B6B274B"/>
    <w:rsid w:val="1B6B3188"/>
    <w:rsid w:val="1B6B6A0B"/>
    <w:rsid w:val="1B6C448D"/>
    <w:rsid w:val="1B6C4B7E"/>
    <w:rsid w:val="1B6D3826"/>
    <w:rsid w:val="1B6E7990"/>
    <w:rsid w:val="1B702E93"/>
    <w:rsid w:val="1B70593E"/>
    <w:rsid w:val="1B710915"/>
    <w:rsid w:val="1B726396"/>
    <w:rsid w:val="1B733E18"/>
    <w:rsid w:val="1B741899"/>
    <w:rsid w:val="1B744685"/>
    <w:rsid w:val="1B750E0A"/>
    <w:rsid w:val="1B7533B8"/>
    <w:rsid w:val="1B753A98"/>
    <w:rsid w:val="1B75731B"/>
    <w:rsid w:val="1B761519"/>
    <w:rsid w:val="1B772383"/>
    <w:rsid w:val="1B77281E"/>
    <w:rsid w:val="1B776F9B"/>
    <w:rsid w:val="1B7802A0"/>
    <w:rsid w:val="1B78249E"/>
    <w:rsid w:val="1B783AC0"/>
    <w:rsid w:val="1B79449A"/>
    <w:rsid w:val="1B79465F"/>
    <w:rsid w:val="1B795D21"/>
    <w:rsid w:val="1B797F1F"/>
    <w:rsid w:val="1B7A37A3"/>
    <w:rsid w:val="1B7A59A1"/>
    <w:rsid w:val="1B7B3422"/>
    <w:rsid w:val="1B7C6776"/>
    <w:rsid w:val="1B7C6CA6"/>
    <w:rsid w:val="1B7D7150"/>
    <w:rsid w:val="1B7F1E29"/>
    <w:rsid w:val="1B7F7C2A"/>
    <w:rsid w:val="1B80142C"/>
    <w:rsid w:val="1B80312D"/>
    <w:rsid w:val="1B8056AC"/>
    <w:rsid w:val="1B810BAF"/>
    <w:rsid w:val="1B811C42"/>
    <w:rsid w:val="1B811E07"/>
    <w:rsid w:val="1B81532C"/>
    <w:rsid w:val="1B8229A5"/>
    <w:rsid w:val="1B826631"/>
    <w:rsid w:val="1B83082F"/>
    <w:rsid w:val="1B8340B2"/>
    <w:rsid w:val="1B841B34"/>
    <w:rsid w:val="1B844ABD"/>
    <w:rsid w:val="1B844DE8"/>
    <w:rsid w:val="1B853D32"/>
    <w:rsid w:val="1B8575B5"/>
    <w:rsid w:val="1B865037"/>
    <w:rsid w:val="1B866036"/>
    <w:rsid w:val="1B872AB8"/>
    <w:rsid w:val="1B877235"/>
    <w:rsid w:val="1B88053A"/>
    <w:rsid w:val="1B884CB7"/>
    <w:rsid w:val="1B8A0B27"/>
    <w:rsid w:val="1B8A3A3D"/>
    <w:rsid w:val="1B8B14BF"/>
    <w:rsid w:val="1B8C20A0"/>
    <w:rsid w:val="1B8C6F40"/>
    <w:rsid w:val="1B8D49C2"/>
    <w:rsid w:val="1B8E2443"/>
    <w:rsid w:val="1B8E37DE"/>
    <w:rsid w:val="1B8F437C"/>
    <w:rsid w:val="1B8F7EC5"/>
    <w:rsid w:val="1B90386C"/>
    <w:rsid w:val="1B905946"/>
    <w:rsid w:val="1B9133C8"/>
    <w:rsid w:val="1B9201BC"/>
    <w:rsid w:val="1B920E49"/>
    <w:rsid w:val="1B94434C"/>
    <w:rsid w:val="1B961960"/>
    <w:rsid w:val="1B967850"/>
    <w:rsid w:val="1B9752D1"/>
    <w:rsid w:val="1B98309D"/>
    <w:rsid w:val="1B9907D4"/>
    <w:rsid w:val="1B996256"/>
    <w:rsid w:val="1B9A7611"/>
    <w:rsid w:val="1B9B1759"/>
    <w:rsid w:val="1B9C5B8F"/>
    <w:rsid w:val="1B9C71DA"/>
    <w:rsid w:val="1B9D4C5C"/>
    <w:rsid w:val="1BA013E4"/>
    <w:rsid w:val="1BA05BE1"/>
    <w:rsid w:val="1BA210E4"/>
    <w:rsid w:val="1BA323E9"/>
    <w:rsid w:val="1BA334FB"/>
    <w:rsid w:val="1BA43ED6"/>
    <w:rsid w:val="1BA445E7"/>
    <w:rsid w:val="1BA52068"/>
    <w:rsid w:val="1BA6336D"/>
    <w:rsid w:val="1BA65613"/>
    <w:rsid w:val="1BA7556B"/>
    <w:rsid w:val="1BA82FED"/>
    <w:rsid w:val="1BA86870"/>
    <w:rsid w:val="1BA90A6F"/>
    <w:rsid w:val="1BA942F2"/>
    <w:rsid w:val="1BAA0105"/>
    <w:rsid w:val="1BAA1D73"/>
    <w:rsid w:val="1BAA64F0"/>
    <w:rsid w:val="1BAC5276"/>
    <w:rsid w:val="1BAD2058"/>
    <w:rsid w:val="1BAD2BF6"/>
    <w:rsid w:val="1BAD2CF8"/>
    <w:rsid w:val="1BAD2DBB"/>
    <w:rsid w:val="1BAE3795"/>
    <w:rsid w:val="1BAE60D9"/>
    <w:rsid w:val="1BAF416F"/>
    <w:rsid w:val="1BAF48EB"/>
    <w:rsid w:val="1BAF61FB"/>
    <w:rsid w:val="1BB003F9"/>
    <w:rsid w:val="1BB116FE"/>
    <w:rsid w:val="1BB15E7B"/>
    <w:rsid w:val="1BB2137E"/>
    <w:rsid w:val="1BB26287"/>
    <w:rsid w:val="1BB34C01"/>
    <w:rsid w:val="1BB42683"/>
    <w:rsid w:val="1BB44881"/>
    <w:rsid w:val="1BB50104"/>
    <w:rsid w:val="1BB75806"/>
    <w:rsid w:val="1BB81089"/>
    <w:rsid w:val="1BB90D09"/>
    <w:rsid w:val="1BB9458C"/>
    <w:rsid w:val="1BB96B0B"/>
    <w:rsid w:val="1BBA200E"/>
    <w:rsid w:val="1BBC0C21"/>
    <w:rsid w:val="1BBC5511"/>
    <w:rsid w:val="1BBD75E9"/>
    <w:rsid w:val="1BBE683C"/>
    <w:rsid w:val="1BBE70BF"/>
    <w:rsid w:val="1BBF6495"/>
    <w:rsid w:val="1BC00694"/>
    <w:rsid w:val="1BC03F17"/>
    <w:rsid w:val="1BC1139B"/>
    <w:rsid w:val="1BC11999"/>
    <w:rsid w:val="1BC21F3A"/>
    <w:rsid w:val="1BC54B1C"/>
    <w:rsid w:val="1BC6259D"/>
    <w:rsid w:val="1BC7001F"/>
    <w:rsid w:val="1BC738A2"/>
    <w:rsid w:val="1BC90FA3"/>
    <w:rsid w:val="1BC96DA5"/>
    <w:rsid w:val="1BC976E2"/>
    <w:rsid w:val="1BCA00BC"/>
    <w:rsid w:val="1BCA4827"/>
    <w:rsid w:val="1BCA6A25"/>
    <w:rsid w:val="1BCB0C5B"/>
    <w:rsid w:val="1BCB22A8"/>
    <w:rsid w:val="1BCC11CE"/>
    <w:rsid w:val="1BCC7D2A"/>
    <w:rsid w:val="1BCD57AB"/>
    <w:rsid w:val="1BCE322D"/>
    <w:rsid w:val="1BCE542B"/>
    <w:rsid w:val="1BCF0CAE"/>
    <w:rsid w:val="1BCF3911"/>
    <w:rsid w:val="1BD0092E"/>
    <w:rsid w:val="1BD06730"/>
    <w:rsid w:val="1BD141B1"/>
    <w:rsid w:val="1BD143DB"/>
    <w:rsid w:val="1BD163B0"/>
    <w:rsid w:val="1BD276B4"/>
    <w:rsid w:val="1BD318B3"/>
    <w:rsid w:val="1BD35136"/>
    <w:rsid w:val="1BD36403"/>
    <w:rsid w:val="1BD47334"/>
    <w:rsid w:val="1BD50639"/>
    <w:rsid w:val="1BD62837"/>
    <w:rsid w:val="1BD660BB"/>
    <w:rsid w:val="1BD702B9"/>
    <w:rsid w:val="1BD71A93"/>
    <w:rsid w:val="1BD815BE"/>
    <w:rsid w:val="1BD9300C"/>
    <w:rsid w:val="1BD937BC"/>
    <w:rsid w:val="1BD956BB"/>
    <w:rsid w:val="1BD9703F"/>
    <w:rsid w:val="1BDA123E"/>
    <w:rsid w:val="1BDA39E6"/>
    <w:rsid w:val="1BDA4C79"/>
    <w:rsid w:val="1BDB2F6A"/>
    <w:rsid w:val="1BDB32D5"/>
    <w:rsid w:val="1BDB348B"/>
    <w:rsid w:val="1BDC4741"/>
    <w:rsid w:val="1BDD5A46"/>
    <w:rsid w:val="1BDE34C7"/>
    <w:rsid w:val="1BDE7C44"/>
    <w:rsid w:val="1BE107B4"/>
    <w:rsid w:val="1BE1444C"/>
    <w:rsid w:val="1BE1664A"/>
    <w:rsid w:val="1BE21353"/>
    <w:rsid w:val="1BE21ECD"/>
    <w:rsid w:val="1BE240CC"/>
    <w:rsid w:val="1BE31B4D"/>
    <w:rsid w:val="1BE4346A"/>
    <w:rsid w:val="1BE453D0"/>
    <w:rsid w:val="1BE475CF"/>
    <w:rsid w:val="1BE52E52"/>
    <w:rsid w:val="1BE55050"/>
    <w:rsid w:val="1BE608D3"/>
    <w:rsid w:val="1BE649E3"/>
    <w:rsid w:val="1BE70553"/>
    <w:rsid w:val="1BE76355"/>
    <w:rsid w:val="1BE77CE2"/>
    <w:rsid w:val="1BE83DD7"/>
    <w:rsid w:val="1BE85F5C"/>
    <w:rsid w:val="1BE91858"/>
    <w:rsid w:val="1BE93A56"/>
    <w:rsid w:val="1BE95E1D"/>
    <w:rsid w:val="1BE96AFB"/>
    <w:rsid w:val="1BEA14D8"/>
    <w:rsid w:val="1BEA4D5B"/>
    <w:rsid w:val="1BEA5C68"/>
    <w:rsid w:val="1BEB0238"/>
    <w:rsid w:val="1BEB27DD"/>
    <w:rsid w:val="1BEB6F5A"/>
    <w:rsid w:val="1BED15EC"/>
    <w:rsid w:val="1BED17B1"/>
    <w:rsid w:val="1BED245D"/>
    <w:rsid w:val="1BEF2B65"/>
    <w:rsid w:val="1BF03704"/>
    <w:rsid w:val="1BF06C65"/>
    <w:rsid w:val="1BF142A3"/>
    <w:rsid w:val="1BF14E41"/>
    <w:rsid w:val="1BF37BE9"/>
    <w:rsid w:val="1BF530EC"/>
    <w:rsid w:val="1BF57933"/>
    <w:rsid w:val="1BF60B6E"/>
    <w:rsid w:val="1BF713A7"/>
    <w:rsid w:val="1BF765EF"/>
    <w:rsid w:val="1BF91AF2"/>
    <w:rsid w:val="1BF92425"/>
    <w:rsid w:val="1BFA2FC3"/>
    <w:rsid w:val="1BFA7574"/>
    <w:rsid w:val="1BFB4FF6"/>
    <w:rsid w:val="1BFC2A77"/>
    <w:rsid w:val="1BFD01D5"/>
    <w:rsid w:val="1BFE5C7A"/>
    <w:rsid w:val="1BFF5420"/>
    <w:rsid w:val="1BFF6654"/>
    <w:rsid w:val="1C00147D"/>
    <w:rsid w:val="1C016EFF"/>
    <w:rsid w:val="1C031EA9"/>
    <w:rsid w:val="1C037E84"/>
    <w:rsid w:val="1C053B84"/>
    <w:rsid w:val="1C07688A"/>
    <w:rsid w:val="1C08430B"/>
    <w:rsid w:val="1C091D8D"/>
    <w:rsid w:val="1C095610"/>
    <w:rsid w:val="1C097B8F"/>
    <w:rsid w:val="1C0A46F8"/>
    <w:rsid w:val="1C0B0B13"/>
    <w:rsid w:val="1C0C2D11"/>
    <w:rsid w:val="1C0C6595"/>
    <w:rsid w:val="1C0D0793"/>
    <w:rsid w:val="1C0D4016"/>
    <w:rsid w:val="1C0F2CE1"/>
    <w:rsid w:val="1C112A1C"/>
    <w:rsid w:val="1C11425A"/>
    <w:rsid w:val="1C12049E"/>
    <w:rsid w:val="1C124DF9"/>
    <w:rsid w:val="1C135F20"/>
    <w:rsid w:val="1C151423"/>
    <w:rsid w:val="1C155B9F"/>
    <w:rsid w:val="1C156F10"/>
    <w:rsid w:val="1C167AAF"/>
    <w:rsid w:val="1C170489"/>
    <w:rsid w:val="1C1823A7"/>
    <w:rsid w:val="1C186B24"/>
    <w:rsid w:val="1C191BC6"/>
    <w:rsid w:val="1C1945A6"/>
    <w:rsid w:val="1C19732E"/>
    <w:rsid w:val="1C197E29"/>
    <w:rsid w:val="1C1A2027"/>
    <w:rsid w:val="1C1A25A1"/>
    <w:rsid w:val="1C1A313F"/>
    <w:rsid w:val="1C1A58AA"/>
    <w:rsid w:val="1C1A7AA9"/>
    <w:rsid w:val="1C1B332C"/>
    <w:rsid w:val="1C1B456E"/>
    <w:rsid w:val="1C1C2FAC"/>
    <w:rsid w:val="1C1D0A2D"/>
    <w:rsid w:val="1C1D6943"/>
    <w:rsid w:val="1C1F1D32"/>
    <w:rsid w:val="1C1F67D0"/>
    <w:rsid w:val="1C1F7979"/>
    <w:rsid w:val="1C2019B2"/>
    <w:rsid w:val="1C215235"/>
    <w:rsid w:val="1C220738"/>
    <w:rsid w:val="1C224EB5"/>
    <w:rsid w:val="1C231486"/>
    <w:rsid w:val="1C232937"/>
    <w:rsid w:val="1C2361BA"/>
    <w:rsid w:val="1C237506"/>
    <w:rsid w:val="1C243C3B"/>
    <w:rsid w:val="1C246FE5"/>
    <w:rsid w:val="1C2516BD"/>
    <w:rsid w:val="1C25283A"/>
    <w:rsid w:val="1C2529FF"/>
    <w:rsid w:val="1C2638BB"/>
    <w:rsid w:val="1C26713F"/>
    <w:rsid w:val="1C274BC0"/>
    <w:rsid w:val="1C286DBE"/>
    <w:rsid w:val="1C294840"/>
    <w:rsid w:val="1C2A6C2E"/>
    <w:rsid w:val="1C2B7608"/>
    <w:rsid w:val="1C2B7D43"/>
    <w:rsid w:val="1C2D3246"/>
    <w:rsid w:val="1C2E454B"/>
    <w:rsid w:val="1C2F1FCD"/>
    <w:rsid w:val="1C307A4E"/>
    <w:rsid w:val="1C322F51"/>
    <w:rsid w:val="1C3243D6"/>
    <w:rsid w:val="1C32514F"/>
    <w:rsid w:val="1C3309D3"/>
    <w:rsid w:val="1C332BD1"/>
    <w:rsid w:val="1C353ED6"/>
    <w:rsid w:val="1C3560D4"/>
    <w:rsid w:val="1C363B56"/>
    <w:rsid w:val="1C3715D7"/>
    <w:rsid w:val="1C380FDF"/>
    <w:rsid w:val="1C384E5A"/>
    <w:rsid w:val="1C387059"/>
    <w:rsid w:val="1C3919B9"/>
    <w:rsid w:val="1C391B7E"/>
    <w:rsid w:val="1C3928DC"/>
    <w:rsid w:val="1C3A035E"/>
    <w:rsid w:val="1C3A2558"/>
    <w:rsid w:val="1C3A255C"/>
    <w:rsid w:val="1C3B3861"/>
    <w:rsid w:val="1C3E0F62"/>
    <w:rsid w:val="1C3E47E5"/>
    <w:rsid w:val="1C3F5422"/>
    <w:rsid w:val="1C3F5DAD"/>
    <w:rsid w:val="1C40430A"/>
    <w:rsid w:val="1C413DEA"/>
    <w:rsid w:val="1C414647"/>
    <w:rsid w:val="1C417161"/>
    <w:rsid w:val="1C427968"/>
    <w:rsid w:val="1C43143D"/>
    <w:rsid w:val="1C4353EA"/>
    <w:rsid w:val="1C441279"/>
    <w:rsid w:val="1C4466EF"/>
    <w:rsid w:val="1C4508ED"/>
    <w:rsid w:val="1C461BF2"/>
    <w:rsid w:val="1C46636E"/>
    <w:rsid w:val="1C4714D0"/>
    <w:rsid w:val="1C473DF0"/>
    <w:rsid w:val="1C484ACE"/>
    <w:rsid w:val="1C4850F5"/>
    <w:rsid w:val="1C492B76"/>
    <w:rsid w:val="1C4A05F8"/>
    <w:rsid w:val="1C4A4D75"/>
    <w:rsid w:val="1C4A6047"/>
    <w:rsid w:val="1C4B2607"/>
    <w:rsid w:val="1C4B6079"/>
    <w:rsid w:val="1C4C3AFB"/>
    <w:rsid w:val="1C4C5CF9"/>
    <w:rsid w:val="1C4C75BF"/>
    <w:rsid w:val="1C4E11FC"/>
    <w:rsid w:val="1C4E6FFE"/>
    <w:rsid w:val="1C4E7894"/>
    <w:rsid w:val="1C4F6C7E"/>
    <w:rsid w:val="1C5020B1"/>
    <w:rsid w:val="1C505D3B"/>
    <w:rsid w:val="1C517F83"/>
    <w:rsid w:val="1C523486"/>
    <w:rsid w:val="1C527C03"/>
    <w:rsid w:val="1C543106"/>
    <w:rsid w:val="1C546989"/>
    <w:rsid w:val="1C566E7F"/>
    <w:rsid w:val="1C567043"/>
    <w:rsid w:val="1C577A1E"/>
    <w:rsid w:val="1C5B6314"/>
    <w:rsid w:val="1C5C2FA3"/>
    <w:rsid w:val="1C5C3CFC"/>
    <w:rsid w:val="1C5D1817"/>
    <w:rsid w:val="1C5E0518"/>
    <w:rsid w:val="1C5E4627"/>
    <w:rsid w:val="1C5E7298"/>
    <w:rsid w:val="1C5E7925"/>
    <w:rsid w:val="1C60279C"/>
    <w:rsid w:val="1C61021D"/>
    <w:rsid w:val="1C625C9F"/>
    <w:rsid w:val="1C630856"/>
    <w:rsid w:val="1C641230"/>
    <w:rsid w:val="1C6413F5"/>
    <w:rsid w:val="1C651DCF"/>
    <w:rsid w:val="1C66296E"/>
    <w:rsid w:val="1C6646A5"/>
    <w:rsid w:val="1C672126"/>
    <w:rsid w:val="1C673348"/>
    <w:rsid w:val="1C6840AB"/>
    <w:rsid w:val="1C687BA8"/>
    <w:rsid w:val="1C6948B7"/>
    <w:rsid w:val="1C695629"/>
    <w:rsid w:val="1C6A0B2D"/>
    <w:rsid w:val="1C6A4A04"/>
    <w:rsid w:val="1C6A6B78"/>
    <w:rsid w:val="1C6B5FFE"/>
    <w:rsid w:val="1C6B65AE"/>
    <w:rsid w:val="1C6C3216"/>
    <w:rsid w:val="1C6C4030"/>
    <w:rsid w:val="1C6D20FE"/>
    <w:rsid w:val="1C6D7577"/>
    <w:rsid w:val="1C6E0CB4"/>
    <w:rsid w:val="1C6E7533"/>
    <w:rsid w:val="1C6F1853"/>
    <w:rsid w:val="1C6F4FB4"/>
    <w:rsid w:val="1C700838"/>
    <w:rsid w:val="1C702A36"/>
    <w:rsid w:val="1C7217BC"/>
    <w:rsid w:val="1C723D3B"/>
    <w:rsid w:val="1C725F39"/>
    <w:rsid w:val="1C73723E"/>
    <w:rsid w:val="1C744D1F"/>
    <w:rsid w:val="1C752741"/>
    <w:rsid w:val="1C756EBE"/>
    <w:rsid w:val="1C7723C1"/>
    <w:rsid w:val="1C775C44"/>
    <w:rsid w:val="1C776FFB"/>
    <w:rsid w:val="1C787B9A"/>
    <w:rsid w:val="1C787E42"/>
    <w:rsid w:val="1C7958C4"/>
    <w:rsid w:val="1C7A1112"/>
    <w:rsid w:val="1C7A3345"/>
    <w:rsid w:val="1C7B0DC7"/>
    <w:rsid w:val="1C7B48DB"/>
    <w:rsid w:val="1C7B4FB1"/>
    <w:rsid w:val="1C7C322A"/>
    <w:rsid w:val="1C7D42CA"/>
    <w:rsid w:val="1C7D7B4D"/>
    <w:rsid w:val="1C7E5108"/>
    <w:rsid w:val="1C7F3050"/>
    <w:rsid w:val="1C7F5BD5"/>
    <w:rsid w:val="1C800AD2"/>
    <w:rsid w:val="1C80524F"/>
    <w:rsid w:val="1C812CD0"/>
    <w:rsid w:val="1C816553"/>
    <w:rsid w:val="1C8168BA"/>
    <w:rsid w:val="1C833C55"/>
    <w:rsid w:val="1C8416D6"/>
    <w:rsid w:val="1C854F5A"/>
    <w:rsid w:val="1C857158"/>
    <w:rsid w:val="1C8629DB"/>
    <w:rsid w:val="1C884062"/>
    <w:rsid w:val="1C893960"/>
    <w:rsid w:val="1C894C01"/>
    <w:rsid w:val="1C897944"/>
    <w:rsid w:val="1C897CAF"/>
    <w:rsid w:val="1C8A13E1"/>
    <w:rsid w:val="1C8A35E0"/>
    <w:rsid w:val="1C8C2366"/>
    <w:rsid w:val="1C8C6B54"/>
    <w:rsid w:val="1C8D7DE8"/>
    <w:rsid w:val="1C8E00CD"/>
    <w:rsid w:val="1C8E1FE6"/>
    <w:rsid w:val="1C900D6C"/>
    <w:rsid w:val="1C9033DD"/>
    <w:rsid w:val="1C9121E5"/>
    <w:rsid w:val="1C9167EE"/>
    <w:rsid w:val="1C92426F"/>
    <w:rsid w:val="1C943EEF"/>
    <w:rsid w:val="1C947772"/>
    <w:rsid w:val="1C951971"/>
    <w:rsid w:val="1C962C76"/>
    <w:rsid w:val="1C9673F2"/>
    <w:rsid w:val="1C974E74"/>
    <w:rsid w:val="1C98152A"/>
    <w:rsid w:val="1C9828F5"/>
    <w:rsid w:val="1C986179"/>
    <w:rsid w:val="1C98798D"/>
    <w:rsid w:val="1C99742C"/>
    <w:rsid w:val="1C9A0F05"/>
    <w:rsid w:val="1C9B08CD"/>
    <w:rsid w:val="1C9B12FC"/>
    <w:rsid w:val="1C9B1AA4"/>
    <w:rsid w:val="1C9C4B7F"/>
    <w:rsid w:val="1C9C6D7D"/>
    <w:rsid w:val="1C9D2600"/>
    <w:rsid w:val="1C9D47FF"/>
    <w:rsid w:val="1C9E0082"/>
    <w:rsid w:val="1C9F475A"/>
    <w:rsid w:val="1C9F5B04"/>
    <w:rsid w:val="1C9F7D02"/>
    <w:rsid w:val="1CA03585"/>
    <w:rsid w:val="1CA05134"/>
    <w:rsid w:val="1CA11007"/>
    <w:rsid w:val="1CA13205"/>
    <w:rsid w:val="1CA20C86"/>
    <w:rsid w:val="1CA31F8B"/>
    <w:rsid w:val="1CA344DF"/>
    <w:rsid w:val="1CA3450A"/>
    <w:rsid w:val="1CA3724C"/>
    <w:rsid w:val="1CA47DEB"/>
    <w:rsid w:val="1CA51C0B"/>
    <w:rsid w:val="1CA5548E"/>
    <w:rsid w:val="1CA61F02"/>
    <w:rsid w:val="1CA62F10"/>
    <w:rsid w:val="1CA6768D"/>
    <w:rsid w:val="1CA70991"/>
    <w:rsid w:val="1CA73D07"/>
    <w:rsid w:val="1CA7510E"/>
    <w:rsid w:val="1CA8347B"/>
    <w:rsid w:val="1CA86413"/>
    <w:rsid w:val="1CA93E95"/>
    <w:rsid w:val="1CA94C67"/>
    <w:rsid w:val="1CAA1916"/>
    <w:rsid w:val="1CAB3B14"/>
    <w:rsid w:val="1CAC1596"/>
    <w:rsid w:val="1CAC48A5"/>
    <w:rsid w:val="1CAD289B"/>
    <w:rsid w:val="1CAD7018"/>
    <w:rsid w:val="1CAE76AA"/>
    <w:rsid w:val="1CAF251B"/>
    <w:rsid w:val="1CAF5D9E"/>
    <w:rsid w:val="1CB07F9C"/>
    <w:rsid w:val="1CB15A1E"/>
    <w:rsid w:val="1CB2349F"/>
    <w:rsid w:val="1CB26D23"/>
    <w:rsid w:val="1CB30F21"/>
    <w:rsid w:val="1CB369A2"/>
    <w:rsid w:val="1CB42226"/>
    <w:rsid w:val="1CB44424"/>
    <w:rsid w:val="1CB47291"/>
    <w:rsid w:val="1CB51EA5"/>
    <w:rsid w:val="1CB63AD4"/>
    <w:rsid w:val="1CB65729"/>
    <w:rsid w:val="1CB659F1"/>
    <w:rsid w:val="1CB67927"/>
    <w:rsid w:val="1CB731AA"/>
    <w:rsid w:val="1CB80C2C"/>
    <w:rsid w:val="1CB86F6A"/>
    <w:rsid w:val="1CB908AC"/>
    <w:rsid w:val="1CBA04E3"/>
    <w:rsid w:val="1CBA412F"/>
    <w:rsid w:val="1CBA632D"/>
    <w:rsid w:val="1CBB7632"/>
    <w:rsid w:val="1CBC1A5B"/>
    <w:rsid w:val="1CBC50B4"/>
    <w:rsid w:val="1CBD2B35"/>
    <w:rsid w:val="1CBF6038"/>
    <w:rsid w:val="1CC03ABA"/>
    <w:rsid w:val="1CC04712"/>
    <w:rsid w:val="1CC1153B"/>
    <w:rsid w:val="1CC26829"/>
    <w:rsid w:val="1CC26FBD"/>
    <w:rsid w:val="1CC34A3E"/>
    <w:rsid w:val="1CC57F42"/>
    <w:rsid w:val="1CC659C3"/>
    <w:rsid w:val="1CC82894"/>
    <w:rsid w:val="1CCA43C9"/>
    <w:rsid w:val="1CCD534E"/>
    <w:rsid w:val="1CCE2DCF"/>
    <w:rsid w:val="1CCE7662"/>
    <w:rsid w:val="1CCE7826"/>
    <w:rsid w:val="1CD00BDB"/>
    <w:rsid w:val="1CD4055C"/>
    <w:rsid w:val="1CD4275A"/>
    <w:rsid w:val="1CD43891"/>
    <w:rsid w:val="1CD501DC"/>
    <w:rsid w:val="1CD5442F"/>
    <w:rsid w:val="1CD55FDE"/>
    <w:rsid w:val="1CD62D09"/>
    <w:rsid w:val="1CD65C5D"/>
    <w:rsid w:val="1CD81161"/>
    <w:rsid w:val="1CD949E4"/>
    <w:rsid w:val="1CD96F21"/>
    <w:rsid w:val="1CD970E6"/>
    <w:rsid w:val="1CDA2465"/>
    <w:rsid w:val="1CDA4664"/>
    <w:rsid w:val="1CDB20E5"/>
    <w:rsid w:val="1CDD0E6C"/>
    <w:rsid w:val="1CDD2776"/>
    <w:rsid w:val="1CDD55E8"/>
    <w:rsid w:val="1CDE306A"/>
    <w:rsid w:val="1CDE3150"/>
    <w:rsid w:val="1CDF436F"/>
    <w:rsid w:val="1CE01DF0"/>
    <w:rsid w:val="1CE13FEE"/>
    <w:rsid w:val="1CE1575A"/>
    <w:rsid w:val="1CE1589F"/>
    <w:rsid w:val="1CE32D75"/>
    <w:rsid w:val="1CE374F2"/>
    <w:rsid w:val="1CE407F6"/>
    <w:rsid w:val="1CE529F5"/>
    <w:rsid w:val="1CE57D5A"/>
    <w:rsid w:val="1CE63CF9"/>
    <w:rsid w:val="1CE7177B"/>
    <w:rsid w:val="1CE871FD"/>
    <w:rsid w:val="1CE94C7E"/>
    <w:rsid w:val="1CEA2700"/>
    <w:rsid w:val="1CEA33EA"/>
    <w:rsid w:val="1CEA6E7C"/>
    <w:rsid w:val="1CEB48FE"/>
    <w:rsid w:val="1CEC5502"/>
    <w:rsid w:val="1CED3684"/>
    <w:rsid w:val="1CED5883"/>
    <w:rsid w:val="1CEE3304"/>
    <w:rsid w:val="1CEF0D86"/>
    <w:rsid w:val="1CEF6B87"/>
    <w:rsid w:val="1CEF7A17"/>
    <w:rsid w:val="1CF001B8"/>
    <w:rsid w:val="1CF04609"/>
    <w:rsid w:val="1CF06807"/>
    <w:rsid w:val="1CF10D56"/>
    <w:rsid w:val="1CF218F5"/>
    <w:rsid w:val="1CF21D0A"/>
    <w:rsid w:val="1CF27B0C"/>
    <w:rsid w:val="1CF3558E"/>
    <w:rsid w:val="1CF3778C"/>
    <w:rsid w:val="1CF42CA9"/>
    <w:rsid w:val="1CF52C8F"/>
    <w:rsid w:val="1CF60711"/>
    <w:rsid w:val="1CF71A15"/>
    <w:rsid w:val="1CF76192"/>
    <w:rsid w:val="1CF83C14"/>
    <w:rsid w:val="1CFA299A"/>
    <w:rsid w:val="1CFA7117"/>
    <w:rsid w:val="1CFB4B98"/>
    <w:rsid w:val="1CFC261A"/>
    <w:rsid w:val="1CFC5E9D"/>
    <w:rsid w:val="1CFD070F"/>
    <w:rsid w:val="1CFD391F"/>
    <w:rsid w:val="1CFE13A0"/>
    <w:rsid w:val="1CFE1B1D"/>
    <w:rsid w:val="1CFF32CC"/>
    <w:rsid w:val="1CFF6E22"/>
    <w:rsid w:val="1D001020"/>
    <w:rsid w:val="1D012325"/>
    <w:rsid w:val="1D024523"/>
    <w:rsid w:val="1D02521F"/>
    <w:rsid w:val="1D027DA6"/>
    <w:rsid w:val="1D031FA5"/>
    <w:rsid w:val="1D0454A8"/>
    <w:rsid w:val="1D046798"/>
    <w:rsid w:val="1D047A26"/>
    <w:rsid w:val="1D07422E"/>
    <w:rsid w:val="1D07642C"/>
    <w:rsid w:val="1D081E29"/>
    <w:rsid w:val="1D081FED"/>
    <w:rsid w:val="1D0A51B3"/>
    <w:rsid w:val="1D0B4E33"/>
    <w:rsid w:val="1D0B577E"/>
    <w:rsid w:val="1D0C28B4"/>
    <w:rsid w:val="1D0C4666"/>
    <w:rsid w:val="1D0C6137"/>
    <w:rsid w:val="1D0D0336"/>
    <w:rsid w:val="1D0D3BB9"/>
    <w:rsid w:val="1D0D54B9"/>
    <w:rsid w:val="1D0E163B"/>
    <w:rsid w:val="1D0E5DB7"/>
    <w:rsid w:val="1D0F3839"/>
    <w:rsid w:val="1D104B3E"/>
    <w:rsid w:val="1D1125BF"/>
    <w:rsid w:val="1D120041"/>
    <w:rsid w:val="1D1316E8"/>
    <w:rsid w:val="1D13244B"/>
    <w:rsid w:val="1D135AC2"/>
    <w:rsid w:val="1D147CC1"/>
    <w:rsid w:val="1D150FC5"/>
    <w:rsid w:val="1D1631C4"/>
    <w:rsid w:val="1D170C45"/>
    <w:rsid w:val="1D1744C9"/>
    <w:rsid w:val="1D185ADC"/>
    <w:rsid w:val="1D19047B"/>
    <w:rsid w:val="1D190856"/>
    <w:rsid w:val="1D1979CC"/>
    <w:rsid w:val="1D1A1BCA"/>
    <w:rsid w:val="1D1C05CD"/>
    <w:rsid w:val="1D1C0950"/>
    <w:rsid w:val="1D1C5EE0"/>
    <w:rsid w:val="1D1D63D2"/>
    <w:rsid w:val="1D1E3E53"/>
    <w:rsid w:val="1D1E6052"/>
    <w:rsid w:val="1D1F18D5"/>
    <w:rsid w:val="1D1F3284"/>
    <w:rsid w:val="1D201555"/>
    <w:rsid w:val="1D207356"/>
    <w:rsid w:val="1D2147FC"/>
    <w:rsid w:val="1D214DD8"/>
    <w:rsid w:val="1D22285A"/>
    <w:rsid w:val="1D22539B"/>
    <w:rsid w:val="1D2302DB"/>
    <w:rsid w:val="1D2437DE"/>
    <w:rsid w:val="1D245D5D"/>
    <w:rsid w:val="1D246914"/>
    <w:rsid w:val="1D251260"/>
    <w:rsid w:val="1D270867"/>
    <w:rsid w:val="1D274763"/>
    <w:rsid w:val="1D2823CD"/>
    <w:rsid w:val="1D291FA4"/>
    <w:rsid w:val="1D297C66"/>
    <w:rsid w:val="1D2A0873"/>
    <w:rsid w:val="1D2B0C25"/>
    <w:rsid w:val="1D2B3169"/>
    <w:rsid w:val="1D2C0BEB"/>
    <w:rsid w:val="1D2D4C5B"/>
    <w:rsid w:val="1D2D666C"/>
    <w:rsid w:val="1D2E61D3"/>
    <w:rsid w:val="1D2F6D72"/>
    <w:rsid w:val="1D3075F1"/>
    <w:rsid w:val="1D345FF7"/>
    <w:rsid w:val="1D353A79"/>
    <w:rsid w:val="1D3614FA"/>
    <w:rsid w:val="1D374356"/>
    <w:rsid w:val="1D376F7C"/>
    <w:rsid w:val="1D383726"/>
    <w:rsid w:val="1D39247F"/>
    <w:rsid w:val="1D39424F"/>
    <w:rsid w:val="1D3A19B0"/>
    <w:rsid w:val="1D3A646D"/>
    <w:rsid w:val="1D3A7F00"/>
    <w:rsid w:val="1D3B1205"/>
    <w:rsid w:val="1D3B5982"/>
    <w:rsid w:val="1D3C0E85"/>
    <w:rsid w:val="1D3C6C87"/>
    <w:rsid w:val="1D3E1AFE"/>
    <w:rsid w:val="1D3E218A"/>
    <w:rsid w:val="1D3F1E0A"/>
    <w:rsid w:val="1D422D87"/>
    <w:rsid w:val="1D422D8E"/>
    <w:rsid w:val="1D430810"/>
    <w:rsid w:val="1D436612"/>
    <w:rsid w:val="1D441B15"/>
    <w:rsid w:val="1D453D13"/>
    <w:rsid w:val="1D4568CB"/>
    <w:rsid w:val="1D457596"/>
    <w:rsid w:val="1D461794"/>
    <w:rsid w:val="1D465018"/>
    <w:rsid w:val="1D4672A6"/>
    <w:rsid w:val="1D472A99"/>
    <w:rsid w:val="1D477E44"/>
    <w:rsid w:val="1D48051B"/>
    <w:rsid w:val="1D484C98"/>
    <w:rsid w:val="1D492719"/>
    <w:rsid w:val="1D4B149F"/>
    <w:rsid w:val="1D4B34D5"/>
    <w:rsid w:val="1D4C369E"/>
    <w:rsid w:val="1D4C6F21"/>
    <w:rsid w:val="1D4D111F"/>
    <w:rsid w:val="1D4D49A3"/>
    <w:rsid w:val="1D4D4A4E"/>
    <w:rsid w:val="1D4E2424"/>
    <w:rsid w:val="1D4E6BA1"/>
    <w:rsid w:val="1D4F7EA6"/>
    <w:rsid w:val="1D5030CD"/>
    <w:rsid w:val="1D506D2A"/>
    <w:rsid w:val="1D517B25"/>
    <w:rsid w:val="1D5368AC"/>
    <w:rsid w:val="1D540AAA"/>
    <w:rsid w:val="1D54148D"/>
    <w:rsid w:val="1D54652C"/>
    <w:rsid w:val="1D5523BA"/>
    <w:rsid w:val="1D553FAD"/>
    <w:rsid w:val="1D557934"/>
    <w:rsid w:val="1D557E55"/>
    <w:rsid w:val="1D562D94"/>
    <w:rsid w:val="1D562F59"/>
    <w:rsid w:val="1D567831"/>
    <w:rsid w:val="1D5752B2"/>
    <w:rsid w:val="1D582D34"/>
    <w:rsid w:val="1D58430D"/>
    <w:rsid w:val="1D5A0435"/>
    <w:rsid w:val="1D5A6237"/>
    <w:rsid w:val="1D5B6FC3"/>
    <w:rsid w:val="1D5C173A"/>
    <w:rsid w:val="1D5C3938"/>
    <w:rsid w:val="1D5C71BB"/>
    <w:rsid w:val="1D5C7B62"/>
    <w:rsid w:val="1D5D053C"/>
    <w:rsid w:val="1D5D13BA"/>
    <w:rsid w:val="1D5E26BE"/>
    <w:rsid w:val="1D5F0140"/>
    <w:rsid w:val="1D5F48BD"/>
    <w:rsid w:val="1D5F6196"/>
    <w:rsid w:val="1D60233E"/>
    <w:rsid w:val="1D605BC2"/>
    <w:rsid w:val="1D6132A5"/>
    <w:rsid w:val="1D613643"/>
    <w:rsid w:val="1D6210C5"/>
    <w:rsid w:val="1D623C6A"/>
    <w:rsid w:val="1D6332C3"/>
    <w:rsid w:val="1D63476B"/>
    <w:rsid w:val="1D636B46"/>
    <w:rsid w:val="1D640D44"/>
    <w:rsid w:val="1D6445C8"/>
    <w:rsid w:val="1D652049"/>
    <w:rsid w:val="1D655CE4"/>
    <w:rsid w:val="1D664248"/>
    <w:rsid w:val="1D67554C"/>
    <w:rsid w:val="1D6829C2"/>
    <w:rsid w:val="1D68774B"/>
    <w:rsid w:val="1D690A4F"/>
    <w:rsid w:val="1D691539"/>
    <w:rsid w:val="1D6951CC"/>
    <w:rsid w:val="1D6A1F13"/>
    <w:rsid w:val="1D6A20D8"/>
    <w:rsid w:val="1D6B3F53"/>
    <w:rsid w:val="1D6C19D4"/>
    <w:rsid w:val="1D6C6151"/>
    <w:rsid w:val="1D6D3BD2"/>
    <w:rsid w:val="1D6D402B"/>
    <w:rsid w:val="1D6D41EF"/>
    <w:rsid w:val="1D6E70D6"/>
    <w:rsid w:val="1D6F2959"/>
    <w:rsid w:val="1D6F55A4"/>
    <w:rsid w:val="1D7003DA"/>
    <w:rsid w:val="1D7025D9"/>
    <w:rsid w:val="1D715E5C"/>
    <w:rsid w:val="1D72025A"/>
    <w:rsid w:val="1D7238DD"/>
    <w:rsid w:val="1D7276BB"/>
    <w:rsid w:val="1D73135F"/>
    <w:rsid w:val="1D73355D"/>
    <w:rsid w:val="1D754862"/>
    <w:rsid w:val="1D767D65"/>
    <w:rsid w:val="1D771F63"/>
    <w:rsid w:val="1D7757E7"/>
    <w:rsid w:val="1D7842C5"/>
    <w:rsid w:val="1D784489"/>
    <w:rsid w:val="1D794E63"/>
    <w:rsid w:val="1D795028"/>
    <w:rsid w:val="1D795467"/>
    <w:rsid w:val="1D7A2EE8"/>
    <w:rsid w:val="1D7A676B"/>
    <w:rsid w:val="1D7B65A1"/>
    <w:rsid w:val="1D7C141A"/>
    <w:rsid w:val="1D7C1C6E"/>
    <w:rsid w:val="1D7D3E6D"/>
    <w:rsid w:val="1D7D7D3F"/>
    <w:rsid w:val="1D7E5172"/>
    <w:rsid w:val="1D800675"/>
    <w:rsid w:val="1D807CC2"/>
    <w:rsid w:val="1D812873"/>
    <w:rsid w:val="1D8131AA"/>
    <w:rsid w:val="1D8160F6"/>
    <w:rsid w:val="1D81631E"/>
    <w:rsid w:val="1D816BAA"/>
    <w:rsid w:val="1D823B78"/>
    <w:rsid w:val="1D823B84"/>
    <w:rsid w:val="1D8315F9"/>
    <w:rsid w:val="1D835D76"/>
    <w:rsid w:val="1D84707B"/>
    <w:rsid w:val="1D8475BB"/>
    <w:rsid w:val="1D8548D9"/>
    <w:rsid w:val="1D854AFC"/>
    <w:rsid w:val="1D856CFB"/>
    <w:rsid w:val="1D86257E"/>
    <w:rsid w:val="1D86477C"/>
    <w:rsid w:val="1D893503"/>
    <w:rsid w:val="1D8A0F84"/>
    <w:rsid w:val="1D8B1ECB"/>
    <w:rsid w:val="1D8B6A06"/>
    <w:rsid w:val="1D8C27D5"/>
    <w:rsid w:val="1D8C2A69"/>
    <w:rsid w:val="1D8C4487"/>
    <w:rsid w:val="1D8D1F09"/>
    <w:rsid w:val="1D8D798A"/>
    <w:rsid w:val="1D8E56D5"/>
    <w:rsid w:val="1D8F1387"/>
    <w:rsid w:val="1D8F2E8D"/>
    <w:rsid w:val="1D923E12"/>
    <w:rsid w:val="1D927673"/>
    <w:rsid w:val="1D936F09"/>
    <w:rsid w:val="1D940DB0"/>
    <w:rsid w:val="1D954D97"/>
    <w:rsid w:val="1D97029A"/>
    <w:rsid w:val="1D972D03"/>
    <w:rsid w:val="1D98335A"/>
    <w:rsid w:val="1D99379D"/>
    <w:rsid w:val="1D9A4FDF"/>
    <w:rsid w:val="1D9C4722"/>
    <w:rsid w:val="1D9E3644"/>
    <w:rsid w:val="1DA03128"/>
    <w:rsid w:val="1DA069AB"/>
    <w:rsid w:val="1DA10BA9"/>
    <w:rsid w:val="1DA1442D"/>
    <w:rsid w:val="1DA173CE"/>
    <w:rsid w:val="1DA21EAE"/>
    <w:rsid w:val="1DA23326"/>
    <w:rsid w:val="1DA4489F"/>
    <w:rsid w:val="1DA52E33"/>
    <w:rsid w:val="1DA55031"/>
    <w:rsid w:val="1DA575B0"/>
    <w:rsid w:val="1DA62AB3"/>
    <w:rsid w:val="1DA64B3D"/>
    <w:rsid w:val="1DA65E17"/>
    <w:rsid w:val="1DA76336"/>
    <w:rsid w:val="1DA767F2"/>
    <w:rsid w:val="1DA83DB7"/>
    <w:rsid w:val="1DA85FB6"/>
    <w:rsid w:val="1DA87555"/>
    <w:rsid w:val="1DA91839"/>
    <w:rsid w:val="1DA93A37"/>
    <w:rsid w:val="1DA97F2F"/>
    <w:rsid w:val="1DAB6F3A"/>
    <w:rsid w:val="1DAC27BE"/>
    <w:rsid w:val="1DAC2BE5"/>
    <w:rsid w:val="1DAD023F"/>
    <w:rsid w:val="1DAD243E"/>
    <w:rsid w:val="1DAD5CC1"/>
    <w:rsid w:val="1DAE3742"/>
    <w:rsid w:val="1DAE3F9A"/>
    <w:rsid w:val="1DAE7EBF"/>
    <w:rsid w:val="1DAF5941"/>
    <w:rsid w:val="1DB06C45"/>
    <w:rsid w:val="1DB10E44"/>
    <w:rsid w:val="1DB268C5"/>
    <w:rsid w:val="1DB3762A"/>
    <w:rsid w:val="1DB4038D"/>
    <w:rsid w:val="1DB530CD"/>
    <w:rsid w:val="1DB5784A"/>
    <w:rsid w:val="1DB60B4F"/>
    <w:rsid w:val="1DB624A5"/>
    <w:rsid w:val="1DB72D4D"/>
    <w:rsid w:val="1DB807CF"/>
    <w:rsid w:val="1DB84052"/>
    <w:rsid w:val="1DB961F1"/>
    <w:rsid w:val="1DBA7555"/>
    <w:rsid w:val="1DBB4FD6"/>
    <w:rsid w:val="1DBC2A58"/>
    <w:rsid w:val="1DBC650F"/>
    <w:rsid w:val="1DBC71D5"/>
    <w:rsid w:val="1DBD26D8"/>
    <w:rsid w:val="1DBD70AE"/>
    <w:rsid w:val="1DBE0159"/>
    <w:rsid w:val="1DBE5F5B"/>
    <w:rsid w:val="1DBE7A88"/>
    <w:rsid w:val="1DBF0627"/>
    <w:rsid w:val="1DBF5A6D"/>
    <w:rsid w:val="1DC11BA0"/>
    <w:rsid w:val="1DC323E3"/>
    <w:rsid w:val="1DC345E1"/>
    <w:rsid w:val="1DC36BA4"/>
    <w:rsid w:val="1DC42063"/>
    <w:rsid w:val="1DC47E64"/>
    <w:rsid w:val="1DC53368"/>
    <w:rsid w:val="1DC553F5"/>
    <w:rsid w:val="1DC558E6"/>
    <w:rsid w:val="1DC65566"/>
    <w:rsid w:val="1DC65F93"/>
    <w:rsid w:val="1DC80A69"/>
    <w:rsid w:val="1DC964EA"/>
    <w:rsid w:val="1DCA1E79"/>
    <w:rsid w:val="1DCA254F"/>
    <w:rsid w:val="1DCA3F6C"/>
    <w:rsid w:val="1DCA77EF"/>
    <w:rsid w:val="1DCB145F"/>
    <w:rsid w:val="1DCB19EE"/>
    <w:rsid w:val="1DCC2CF2"/>
    <w:rsid w:val="1DCD0774"/>
    <w:rsid w:val="1DCD2B9D"/>
    <w:rsid w:val="1DCE2972"/>
    <w:rsid w:val="1DCE4983"/>
    <w:rsid w:val="1DCF03F4"/>
    <w:rsid w:val="1DD05E75"/>
    <w:rsid w:val="1DD138F7"/>
    <w:rsid w:val="1DD15853"/>
    <w:rsid w:val="1DD24BFC"/>
    <w:rsid w:val="1DD36C07"/>
    <w:rsid w:val="1DD36DFA"/>
    <w:rsid w:val="1DD40180"/>
    <w:rsid w:val="1DD40345"/>
    <w:rsid w:val="1DD4487C"/>
    <w:rsid w:val="1DD522FD"/>
    <w:rsid w:val="1DD55B80"/>
    <w:rsid w:val="1DD57D7F"/>
    <w:rsid w:val="1DD618BD"/>
    <w:rsid w:val="1DD65800"/>
    <w:rsid w:val="1DD71083"/>
    <w:rsid w:val="1DD73282"/>
    <w:rsid w:val="1DD80D03"/>
    <w:rsid w:val="1DDA2008"/>
    <w:rsid w:val="1DDA4206"/>
    <w:rsid w:val="1DDB1C88"/>
    <w:rsid w:val="1DDC550B"/>
    <w:rsid w:val="1DDE2C0D"/>
    <w:rsid w:val="1DDE6490"/>
    <w:rsid w:val="1DDF068E"/>
    <w:rsid w:val="1DDF3F11"/>
    <w:rsid w:val="1DDF7A40"/>
    <w:rsid w:val="1DE01993"/>
    <w:rsid w:val="1DE06110"/>
    <w:rsid w:val="1DE11B57"/>
    <w:rsid w:val="1DE17414"/>
    <w:rsid w:val="1DE21613"/>
    <w:rsid w:val="1DE228BA"/>
    <w:rsid w:val="1DE24E96"/>
    <w:rsid w:val="1DE37094"/>
    <w:rsid w:val="1DE40399"/>
    <w:rsid w:val="1DE41A3B"/>
    <w:rsid w:val="1DE502B6"/>
    <w:rsid w:val="1DE5098C"/>
    <w:rsid w:val="1DE52597"/>
    <w:rsid w:val="1DE55E1B"/>
    <w:rsid w:val="1DE67354"/>
    <w:rsid w:val="1DE75D86"/>
    <w:rsid w:val="1DE75F4B"/>
    <w:rsid w:val="1DE7675C"/>
    <w:rsid w:val="1DE76FE8"/>
    <w:rsid w:val="1DE8351C"/>
    <w:rsid w:val="1DE90F9E"/>
    <w:rsid w:val="1DE94821"/>
    <w:rsid w:val="1DEA22A2"/>
    <w:rsid w:val="1DEB44A1"/>
    <w:rsid w:val="1DED3227"/>
    <w:rsid w:val="1DED79A4"/>
    <w:rsid w:val="1DEE0CA9"/>
    <w:rsid w:val="1DEE4E27"/>
    <w:rsid w:val="1DEE6320"/>
    <w:rsid w:val="1DEF672A"/>
    <w:rsid w:val="1DF041AC"/>
    <w:rsid w:val="1DF04B92"/>
    <w:rsid w:val="1DF04C6C"/>
    <w:rsid w:val="1DF11C2D"/>
    <w:rsid w:val="1DF15646"/>
    <w:rsid w:val="1DF1580A"/>
    <w:rsid w:val="1DF35130"/>
    <w:rsid w:val="1DF36BBF"/>
    <w:rsid w:val="1DF42BB2"/>
    <w:rsid w:val="1DF502FC"/>
    <w:rsid w:val="1DF50633"/>
    <w:rsid w:val="1DF5197B"/>
    <w:rsid w:val="1DF51E9C"/>
    <w:rsid w:val="1DF60CD6"/>
    <w:rsid w:val="1DF60E9B"/>
    <w:rsid w:val="1DF660B5"/>
    <w:rsid w:val="1DF8703A"/>
    <w:rsid w:val="1DF94ABB"/>
    <w:rsid w:val="1DFA253D"/>
    <w:rsid w:val="1DFB7FBE"/>
    <w:rsid w:val="1DFC5A40"/>
    <w:rsid w:val="1DFD34C1"/>
    <w:rsid w:val="1DFE701D"/>
    <w:rsid w:val="1DFE71E1"/>
    <w:rsid w:val="1DFF69C5"/>
    <w:rsid w:val="1E011EC8"/>
    <w:rsid w:val="1E0508CE"/>
    <w:rsid w:val="1E053C26"/>
    <w:rsid w:val="1E061BD3"/>
    <w:rsid w:val="1E073016"/>
    <w:rsid w:val="1E085D3E"/>
    <w:rsid w:val="1E0972D4"/>
    <w:rsid w:val="1E0A05D9"/>
    <w:rsid w:val="1E0A4D56"/>
    <w:rsid w:val="1E0B605A"/>
    <w:rsid w:val="1E0C1593"/>
    <w:rsid w:val="1E0D155D"/>
    <w:rsid w:val="1E0D1F6D"/>
    <w:rsid w:val="1E0D5CDA"/>
    <w:rsid w:val="1E0E11DD"/>
    <w:rsid w:val="1E0E375C"/>
    <w:rsid w:val="1E0E6FDF"/>
    <w:rsid w:val="1E0F26B0"/>
    <w:rsid w:val="1E0F6C5F"/>
    <w:rsid w:val="1E1024E2"/>
    <w:rsid w:val="1E1046E0"/>
    <w:rsid w:val="1E112162"/>
    <w:rsid w:val="1E116E56"/>
    <w:rsid w:val="1E11700C"/>
    <w:rsid w:val="1E117F64"/>
    <w:rsid w:val="1E1259E5"/>
    <w:rsid w:val="1E133467"/>
    <w:rsid w:val="1E135665"/>
    <w:rsid w:val="1E140C14"/>
    <w:rsid w:val="1E1430E7"/>
    <w:rsid w:val="1E150B68"/>
    <w:rsid w:val="1E161E6D"/>
    <w:rsid w:val="1E1643EB"/>
    <w:rsid w:val="1E1665EA"/>
    <w:rsid w:val="1E1778EF"/>
    <w:rsid w:val="1E181AED"/>
    <w:rsid w:val="1E185370"/>
    <w:rsid w:val="1E192F6A"/>
    <w:rsid w:val="1E1B62F5"/>
    <w:rsid w:val="1E1C3D76"/>
    <w:rsid w:val="1E1C5081"/>
    <w:rsid w:val="1E1D17F8"/>
    <w:rsid w:val="1E1D5F75"/>
    <w:rsid w:val="1E1E39F6"/>
    <w:rsid w:val="1E1E7279"/>
    <w:rsid w:val="1E1F1D09"/>
    <w:rsid w:val="1E1F6FD4"/>
    <w:rsid w:val="1E207D37"/>
    <w:rsid w:val="1E2101FE"/>
    <w:rsid w:val="1E233701"/>
    <w:rsid w:val="1E237E7E"/>
    <w:rsid w:val="1E241183"/>
    <w:rsid w:val="1E2458FF"/>
    <w:rsid w:val="1E253381"/>
    <w:rsid w:val="1E256CA4"/>
    <w:rsid w:val="1E260E02"/>
    <w:rsid w:val="1E264686"/>
    <w:rsid w:val="1E26477C"/>
    <w:rsid w:val="1E274306"/>
    <w:rsid w:val="1E287B89"/>
    <w:rsid w:val="1E296894"/>
    <w:rsid w:val="1E2A7432"/>
    <w:rsid w:val="1E2B30F8"/>
    <w:rsid w:val="1E2C078D"/>
    <w:rsid w:val="1E2C658F"/>
    <w:rsid w:val="1E2D4011"/>
    <w:rsid w:val="1E2D4A07"/>
    <w:rsid w:val="1E2E3C90"/>
    <w:rsid w:val="1E2E7514"/>
    <w:rsid w:val="1E2F4F95"/>
    <w:rsid w:val="1E2F5728"/>
    <w:rsid w:val="1E302A17"/>
    <w:rsid w:val="1E310498"/>
    <w:rsid w:val="1E314C15"/>
    <w:rsid w:val="1E322697"/>
    <w:rsid w:val="1E325F1A"/>
    <w:rsid w:val="1E330118"/>
    <w:rsid w:val="1E33399B"/>
    <w:rsid w:val="1E35361B"/>
    <w:rsid w:val="1E356E9F"/>
    <w:rsid w:val="1E3576CC"/>
    <w:rsid w:val="1E357891"/>
    <w:rsid w:val="1E364920"/>
    <w:rsid w:val="1E3845A0"/>
    <w:rsid w:val="1E387E23"/>
    <w:rsid w:val="1E392021"/>
    <w:rsid w:val="1E3958A5"/>
    <w:rsid w:val="1E3A3326"/>
    <w:rsid w:val="1E3B0DA8"/>
    <w:rsid w:val="1E3B3AC0"/>
    <w:rsid w:val="1E3B5525"/>
    <w:rsid w:val="1E3C6829"/>
    <w:rsid w:val="1E3D0A28"/>
    <w:rsid w:val="1E3D42AB"/>
    <w:rsid w:val="1E3E1D2D"/>
    <w:rsid w:val="1E3E48DE"/>
    <w:rsid w:val="1E3E5BD7"/>
    <w:rsid w:val="1E3F77AE"/>
    <w:rsid w:val="1E40742E"/>
    <w:rsid w:val="1E407CEF"/>
    <w:rsid w:val="1E414EAF"/>
    <w:rsid w:val="1E4210A3"/>
    <w:rsid w:val="1E4303B3"/>
    <w:rsid w:val="1E431C42"/>
    <w:rsid w:val="1E4412E6"/>
    <w:rsid w:val="1E4427E1"/>
    <w:rsid w:val="1E4516B7"/>
    <w:rsid w:val="1E4538B6"/>
    <w:rsid w:val="1E461337"/>
    <w:rsid w:val="1E464BBA"/>
    <w:rsid w:val="1E467139"/>
    <w:rsid w:val="1E47263C"/>
    <w:rsid w:val="1E4800BE"/>
    <w:rsid w:val="1E4922BC"/>
    <w:rsid w:val="1E495B3F"/>
    <w:rsid w:val="1E4A35C1"/>
    <w:rsid w:val="1E4A6A10"/>
    <w:rsid w:val="1E4A7D3D"/>
    <w:rsid w:val="1E4B0389"/>
    <w:rsid w:val="1E4B0DCA"/>
    <w:rsid w:val="1E4B1042"/>
    <w:rsid w:val="1E4B75AE"/>
    <w:rsid w:val="1E4C6AC4"/>
    <w:rsid w:val="1E4C7947"/>
    <w:rsid w:val="1E4D0CC2"/>
    <w:rsid w:val="1E4D16C6"/>
    <w:rsid w:val="1E4D4545"/>
    <w:rsid w:val="1E4D6F06"/>
    <w:rsid w:val="1E4E6744"/>
    <w:rsid w:val="1E4F7A48"/>
    <w:rsid w:val="1E501C47"/>
    <w:rsid w:val="1E503619"/>
    <w:rsid w:val="1E5054CA"/>
    <w:rsid w:val="1E512F4B"/>
    <w:rsid w:val="1E513FF3"/>
    <w:rsid w:val="1E5209CD"/>
    <w:rsid w:val="1E532BCB"/>
    <w:rsid w:val="1E5344AE"/>
    <w:rsid w:val="1E535731"/>
    <w:rsid w:val="1E53644F"/>
    <w:rsid w:val="1E543ED0"/>
    <w:rsid w:val="1E551952"/>
    <w:rsid w:val="1E5673D3"/>
    <w:rsid w:val="1E570222"/>
    <w:rsid w:val="1E5828D6"/>
    <w:rsid w:val="1E590358"/>
    <w:rsid w:val="1E5A2124"/>
    <w:rsid w:val="1E5A233A"/>
    <w:rsid w:val="1E5B309D"/>
    <w:rsid w:val="1E5C12DD"/>
    <w:rsid w:val="1E5D6D5E"/>
    <w:rsid w:val="1E5E47E0"/>
    <w:rsid w:val="1E5F2261"/>
    <w:rsid w:val="1E605764"/>
    <w:rsid w:val="1E607108"/>
    <w:rsid w:val="1E620C67"/>
    <w:rsid w:val="1E6366E9"/>
    <w:rsid w:val="1E64416A"/>
    <w:rsid w:val="1E651BEC"/>
    <w:rsid w:val="1E663172"/>
    <w:rsid w:val="1E66766E"/>
    <w:rsid w:val="1E6750EF"/>
    <w:rsid w:val="1E685BCF"/>
    <w:rsid w:val="1E69528A"/>
    <w:rsid w:val="1E69544E"/>
    <w:rsid w:val="1E695FED"/>
    <w:rsid w:val="1E6A5E28"/>
    <w:rsid w:val="1E6A6074"/>
    <w:rsid w:val="1E6B3AF5"/>
    <w:rsid w:val="1E6C1577"/>
    <w:rsid w:val="1E6D287C"/>
    <w:rsid w:val="1E6E02FD"/>
    <w:rsid w:val="1E6E14B9"/>
    <w:rsid w:val="1E6F5D7F"/>
    <w:rsid w:val="1E707F7D"/>
    <w:rsid w:val="1E711282"/>
    <w:rsid w:val="1E713795"/>
    <w:rsid w:val="1E72416F"/>
    <w:rsid w:val="1E730F02"/>
    <w:rsid w:val="1E734785"/>
    <w:rsid w:val="1E742207"/>
    <w:rsid w:val="1E754405"/>
    <w:rsid w:val="1E756FC6"/>
    <w:rsid w:val="1E761E86"/>
    <w:rsid w:val="1E766C61"/>
    <w:rsid w:val="1E77744A"/>
    <w:rsid w:val="1E777908"/>
    <w:rsid w:val="1E780C0D"/>
    <w:rsid w:val="1E786332"/>
    <w:rsid w:val="1E79088D"/>
    <w:rsid w:val="1E7A22F1"/>
    <w:rsid w:val="1E7A24B6"/>
    <w:rsid w:val="1E7A4110"/>
    <w:rsid w:val="1E7A43DA"/>
    <w:rsid w:val="1E7B1B91"/>
    <w:rsid w:val="1E7C7613"/>
    <w:rsid w:val="1E7D7B5A"/>
    <w:rsid w:val="1E7E4D14"/>
    <w:rsid w:val="1E7F0598"/>
    <w:rsid w:val="1E7F6019"/>
    <w:rsid w:val="1E800217"/>
    <w:rsid w:val="1E80030A"/>
    <w:rsid w:val="1E803A9B"/>
    <w:rsid w:val="1E806520"/>
    <w:rsid w:val="1E815C99"/>
    <w:rsid w:val="1E82371B"/>
    <w:rsid w:val="1E8307FC"/>
    <w:rsid w:val="1E83119C"/>
    <w:rsid w:val="1E8373D6"/>
    <w:rsid w:val="1E8411D7"/>
    <w:rsid w:val="1E8424A1"/>
    <w:rsid w:val="1E846C1E"/>
    <w:rsid w:val="1E85469F"/>
    <w:rsid w:val="1E857F22"/>
    <w:rsid w:val="1E8611E5"/>
    <w:rsid w:val="1E880EA7"/>
    <w:rsid w:val="1E884867"/>
    <w:rsid w:val="1E8930A5"/>
    <w:rsid w:val="1E895406"/>
    <w:rsid w:val="1E8B1E2C"/>
    <w:rsid w:val="1E8B65A8"/>
    <w:rsid w:val="1E8B6B43"/>
    <w:rsid w:val="1E8C78AD"/>
    <w:rsid w:val="1E8D00BC"/>
    <w:rsid w:val="1E8D1AAC"/>
    <w:rsid w:val="1E8D532F"/>
    <w:rsid w:val="1E8E2DB0"/>
    <w:rsid w:val="1E8E752D"/>
    <w:rsid w:val="1E8F0832"/>
    <w:rsid w:val="1E8F2A30"/>
    <w:rsid w:val="1E913D35"/>
    <w:rsid w:val="1E914AFD"/>
    <w:rsid w:val="1E915F33"/>
    <w:rsid w:val="1E9217B7"/>
    <w:rsid w:val="1E923588"/>
    <w:rsid w:val="1E92670F"/>
    <w:rsid w:val="1E931436"/>
    <w:rsid w:val="1E934127"/>
    <w:rsid w:val="1E934C90"/>
    <w:rsid w:val="1E937238"/>
    <w:rsid w:val="1E944CBA"/>
    <w:rsid w:val="1E946EB8"/>
    <w:rsid w:val="1E952A60"/>
    <w:rsid w:val="1E952C15"/>
    <w:rsid w:val="1E953657"/>
    <w:rsid w:val="1E95493A"/>
    <w:rsid w:val="1E9601BD"/>
    <w:rsid w:val="1E9623BB"/>
    <w:rsid w:val="1E966DDD"/>
    <w:rsid w:val="1E977E3D"/>
    <w:rsid w:val="1E9858BE"/>
    <w:rsid w:val="1E993340"/>
    <w:rsid w:val="1E996BC3"/>
    <w:rsid w:val="1E9A0DC1"/>
    <w:rsid w:val="1E9B20C6"/>
    <w:rsid w:val="1E9B7C19"/>
    <w:rsid w:val="1E9D3BAA"/>
    <w:rsid w:val="1E9D55C9"/>
    <w:rsid w:val="1E9E304B"/>
    <w:rsid w:val="1E9E77C7"/>
    <w:rsid w:val="1E9F0ACC"/>
    <w:rsid w:val="1E9F4F5F"/>
    <w:rsid w:val="1EA02CCB"/>
    <w:rsid w:val="1EA0654E"/>
    <w:rsid w:val="1EA21A51"/>
    <w:rsid w:val="1EA261CE"/>
    <w:rsid w:val="1EA26BE1"/>
    <w:rsid w:val="1EA305EF"/>
    <w:rsid w:val="1EA307B4"/>
    <w:rsid w:val="1EA33C4F"/>
    <w:rsid w:val="1EA4118E"/>
    <w:rsid w:val="1EA416D1"/>
    <w:rsid w:val="1EA447FB"/>
    <w:rsid w:val="1EA455A8"/>
    <w:rsid w:val="1EA57152"/>
    <w:rsid w:val="1EA628CB"/>
    <w:rsid w:val="1EA64BD4"/>
    <w:rsid w:val="1EA72655"/>
    <w:rsid w:val="1EA85B59"/>
    <w:rsid w:val="1EA913DC"/>
    <w:rsid w:val="1EA949E3"/>
    <w:rsid w:val="1EAA6E5D"/>
    <w:rsid w:val="1EAB48DF"/>
    <w:rsid w:val="1EAC455F"/>
    <w:rsid w:val="1EAD1FE0"/>
    <w:rsid w:val="1EAE7A62"/>
    <w:rsid w:val="1EAE7EAF"/>
    <w:rsid w:val="1EAF0A4E"/>
    <w:rsid w:val="1EAF0D67"/>
    <w:rsid w:val="1EB01FC6"/>
    <w:rsid w:val="1EB02F65"/>
    <w:rsid w:val="1EB067E8"/>
    <w:rsid w:val="1EB109E6"/>
    <w:rsid w:val="1EB1426A"/>
    <w:rsid w:val="1EB21CEB"/>
    <w:rsid w:val="1EB25297"/>
    <w:rsid w:val="1EB26468"/>
    <w:rsid w:val="1EB27A1A"/>
    <w:rsid w:val="1EB33EEA"/>
    <w:rsid w:val="1EB342A2"/>
    <w:rsid w:val="1EB3718E"/>
    <w:rsid w:val="1EB4196B"/>
    <w:rsid w:val="1EB451EE"/>
    <w:rsid w:val="1EB573ED"/>
    <w:rsid w:val="1EB64E6E"/>
    <w:rsid w:val="1EB76173"/>
    <w:rsid w:val="1EB8776E"/>
    <w:rsid w:val="1EB87933"/>
    <w:rsid w:val="1EB904D1"/>
    <w:rsid w:val="1EB91676"/>
    <w:rsid w:val="1EB95DF3"/>
    <w:rsid w:val="1EBA5E2B"/>
    <w:rsid w:val="1EBA70F8"/>
    <w:rsid w:val="1EBB1A4A"/>
    <w:rsid w:val="1EBB25E9"/>
    <w:rsid w:val="1EBB4B79"/>
    <w:rsid w:val="1EBC25FB"/>
    <w:rsid w:val="1EBC2FC3"/>
    <w:rsid w:val="1EBE5AFE"/>
    <w:rsid w:val="1EC01001"/>
    <w:rsid w:val="1EC16A83"/>
    <w:rsid w:val="1EC271F2"/>
    <w:rsid w:val="1EC37D91"/>
    <w:rsid w:val="1EC47A07"/>
    <w:rsid w:val="1EC55103"/>
    <w:rsid w:val="1EC55489"/>
    <w:rsid w:val="1EC62F0A"/>
    <w:rsid w:val="1EC726BE"/>
    <w:rsid w:val="1EC74F22"/>
    <w:rsid w:val="1EC91910"/>
    <w:rsid w:val="1ECA7392"/>
    <w:rsid w:val="1ECB4E14"/>
    <w:rsid w:val="1ECD0317"/>
    <w:rsid w:val="1ECF381A"/>
    <w:rsid w:val="1ECF49D4"/>
    <w:rsid w:val="1ED0129B"/>
    <w:rsid w:val="1ED11F7E"/>
    <w:rsid w:val="1ED20022"/>
    <w:rsid w:val="1ED22B1C"/>
    <w:rsid w:val="1ED44095"/>
    <w:rsid w:val="1ED4425A"/>
    <w:rsid w:val="1ED47CA2"/>
    <w:rsid w:val="1ED657D3"/>
    <w:rsid w:val="1ED67D6B"/>
    <w:rsid w:val="1ED81F2B"/>
    <w:rsid w:val="1ED866A8"/>
    <w:rsid w:val="1ED86D4C"/>
    <w:rsid w:val="1ED90489"/>
    <w:rsid w:val="1EDA0E63"/>
    <w:rsid w:val="1EDA1BAB"/>
    <w:rsid w:val="1EDB2EB0"/>
    <w:rsid w:val="1EDD2B2F"/>
    <w:rsid w:val="1EDD63B3"/>
    <w:rsid w:val="1EDD7888"/>
    <w:rsid w:val="1EDE3E34"/>
    <w:rsid w:val="1EDF18B6"/>
    <w:rsid w:val="1EDF46B8"/>
    <w:rsid w:val="1EE01536"/>
    <w:rsid w:val="1EE03AB4"/>
    <w:rsid w:val="1EE07337"/>
    <w:rsid w:val="1EE24A39"/>
    <w:rsid w:val="1EE267D0"/>
    <w:rsid w:val="1EE302BC"/>
    <w:rsid w:val="1EE61C9C"/>
    <w:rsid w:val="1EE61E60"/>
    <w:rsid w:val="1EE70EC1"/>
    <w:rsid w:val="1EE76CC2"/>
    <w:rsid w:val="1EE821C5"/>
    <w:rsid w:val="1EE833D9"/>
    <w:rsid w:val="1EE84744"/>
    <w:rsid w:val="1EE86942"/>
    <w:rsid w:val="1EE943C4"/>
    <w:rsid w:val="1EEA1E45"/>
    <w:rsid w:val="1EEA56C8"/>
    <w:rsid w:val="1EEB2065"/>
    <w:rsid w:val="1EEB221A"/>
    <w:rsid w:val="1EEB23D0"/>
    <w:rsid w:val="1EEB2585"/>
    <w:rsid w:val="1EEB28F1"/>
    <w:rsid w:val="1EEB78C7"/>
    <w:rsid w:val="1EEC1102"/>
    <w:rsid w:val="1EEC5348"/>
    <w:rsid w:val="1EED2DCA"/>
    <w:rsid w:val="1EED6A69"/>
    <w:rsid w:val="1EEF62CD"/>
    <w:rsid w:val="1EF009BC"/>
    <w:rsid w:val="1EF03D4E"/>
    <w:rsid w:val="1EF15053"/>
    <w:rsid w:val="1EF32C98"/>
    <w:rsid w:val="1EF33837"/>
    <w:rsid w:val="1EF34CD3"/>
    <w:rsid w:val="1EF42755"/>
    <w:rsid w:val="1EF45FD8"/>
    <w:rsid w:val="1EF501D6"/>
    <w:rsid w:val="1EF50A5B"/>
    <w:rsid w:val="1EF54DB0"/>
    <w:rsid w:val="1EF65C58"/>
    <w:rsid w:val="1EF80F77"/>
    <w:rsid w:val="1EF849DE"/>
    <w:rsid w:val="1EFB2B33"/>
    <w:rsid w:val="1EFB2E9E"/>
    <w:rsid w:val="1EFB38DF"/>
    <w:rsid w:val="1EFB5963"/>
    <w:rsid w:val="1EFB7B61"/>
    <w:rsid w:val="1EFC33E4"/>
    <w:rsid w:val="1EFC55E3"/>
    <w:rsid w:val="1EFD2393"/>
    <w:rsid w:val="1EFD2558"/>
    <w:rsid w:val="1EFE30F7"/>
    <w:rsid w:val="1F001DEB"/>
    <w:rsid w:val="1F003FE9"/>
    <w:rsid w:val="1F0044AB"/>
    <w:rsid w:val="1F011A6A"/>
    <w:rsid w:val="1F01504A"/>
    <w:rsid w:val="1F0152EE"/>
    <w:rsid w:val="1F015BE8"/>
    <w:rsid w:val="1F022D6F"/>
    <w:rsid w:val="1F043215"/>
    <w:rsid w:val="1F046272"/>
    <w:rsid w:val="1F047B3B"/>
    <w:rsid w:val="1F047D00"/>
    <w:rsid w:val="1F050471"/>
    <w:rsid w:val="1F0506DA"/>
    <w:rsid w:val="1F053CF4"/>
    <w:rsid w:val="1F061279"/>
    <w:rsid w:val="1F061775"/>
    <w:rsid w:val="1F073974"/>
    <w:rsid w:val="1F0771F7"/>
    <w:rsid w:val="1F0776F5"/>
    <w:rsid w:val="1F0926FA"/>
    <w:rsid w:val="1F0A017C"/>
    <w:rsid w:val="1F0B4909"/>
    <w:rsid w:val="1F0B5BFD"/>
    <w:rsid w:val="1F0B69A1"/>
    <w:rsid w:val="1F0C52E3"/>
    <w:rsid w:val="1F0D1100"/>
    <w:rsid w:val="1F0D587D"/>
    <w:rsid w:val="1F0D5E82"/>
    <w:rsid w:val="1F0E32FE"/>
    <w:rsid w:val="1F106802"/>
    <w:rsid w:val="1F111512"/>
    <w:rsid w:val="1F1116D7"/>
    <w:rsid w:val="1F117B06"/>
    <w:rsid w:val="1F122276"/>
    <w:rsid w:val="1F125588"/>
    <w:rsid w:val="1F127786"/>
    <w:rsid w:val="1F130A2F"/>
    <w:rsid w:val="1F13300A"/>
    <w:rsid w:val="1F140A8B"/>
    <w:rsid w:val="1F142C89"/>
    <w:rsid w:val="1F15070B"/>
    <w:rsid w:val="1F15650D"/>
    <w:rsid w:val="1F163F8E"/>
    <w:rsid w:val="1F16618C"/>
    <w:rsid w:val="1F171A10"/>
    <w:rsid w:val="1F181690"/>
    <w:rsid w:val="1F187491"/>
    <w:rsid w:val="1F187AED"/>
    <w:rsid w:val="1F197111"/>
    <w:rsid w:val="1F1A7A1E"/>
    <w:rsid w:val="1F1B2614"/>
    <w:rsid w:val="1F1B5E97"/>
    <w:rsid w:val="1F1C0096"/>
    <w:rsid w:val="1F1C1B35"/>
    <w:rsid w:val="1F1C3919"/>
    <w:rsid w:val="1F1D139B"/>
    <w:rsid w:val="1F1D1971"/>
    <w:rsid w:val="1F1D5B17"/>
    <w:rsid w:val="1F1E3599"/>
    <w:rsid w:val="1F1E3E1B"/>
    <w:rsid w:val="1F20231F"/>
    <w:rsid w:val="1F204462"/>
    <w:rsid w:val="1F215001"/>
    <w:rsid w:val="1F217DA1"/>
    <w:rsid w:val="1F225BA0"/>
    <w:rsid w:val="1F23657A"/>
    <w:rsid w:val="1F25322C"/>
    <w:rsid w:val="1F262B56"/>
    <w:rsid w:val="1F262D0B"/>
    <w:rsid w:val="1F271230"/>
    <w:rsid w:val="1F271CAA"/>
    <w:rsid w:val="1F272114"/>
    <w:rsid w:val="1F281DCF"/>
    <w:rsid w:val="1F29350C"/>
    <w:rsid w:val="1F2951AD"/>
    <w:rsid w:val="1F2A2C2F"/>
    <w:rsid w:val="1F2A3EE6"/>
    <w:rsid w:val="1F2B06B0"/>
    <w:rsid w:val="1F2C6132"/>
    <w:rsid w:val="1F2D3BB3"/>
    <w:rsid w:val="1F2E1635"/>
    <w:rsid w:val="1F300115"/>
    <w:rsid w:val="1F307F51"/>
    <w:rsid w:val="1F310AF0"/>
    <w:rsid w:val="1F3644C3"/>
    <w:rsid w:val="1F3758BD"/>
    <w:rsid w:val="1F383249"/>
    <w:rsid w:val="1F3856F9"/>
    <w:rsid w:val="1F386298"/>
    <w:rsid w:val="1F3879C6"/>
    <w:rsid w:val="1F396E36"/>
    <w:rsid w:val="1F3A2EC9"/>
    <w:rsid w:val="1F3A7811"/>
    <w:rsid w:val="1F3B094B"/>
    <w:rsid w:val="1F3C1C4F"/>
    <w:rsid w:val="1F3C63CC"/>
    <w:rsid w:val="1F3D76D1"/>
    <w:rsid w:val="1F3F2BD4"/>
    <w:rsid w:val="1F3F7351"/>
    <w:rsid w:val="1F404DD2"/>
    <w:rsid w:val="1F412854"/>
    <w:rsid w:val="1F4202D5"/>
    <w:rsid w:val="1F423B59"/>
    <w:rsid w:val="1F4315DA"/>
    <w:rsid w:val="1F435D57"/>
    <w:rsid w:val="1F4437D9"/>
    <w:rsid w:val="1F4466F6"/>
    <w:rsid w:val="1F446BAE"/>
    <w:rsid w:val="1F446D63"/>
    <w:rsid w:val="1F44705C"/>
    <w:rsid w:val="1F45125A"/>
    <w:rsid w:val="1F454ADD"/>
    <w:rsid w:val="1F457E33"/>
    <w:rsid w:val="1F46255F"/>
    <w:rsid w:val="1F467C6F"/>
    <w:rsid w:val="1F4713AC"/>
    <w:rsid w:val="1F47475D"/>
    <w:rsid w:val="1F492925"/>
    <w:rsid w:val="1F4934E4"/>
    <w:rsid w:val="1F4956E2"/>
    <w:rsid w:val="1F4A0F65"/>
    <w:rsid w:val="1F4A32FF"/>
    <w:rsid w:val="1F4B0BE5"/>
    <w:rsid w:val="1F4B69E7"/>
    <w:rsid w:val="1F4C6666"/>
    <w:rsid w:val="1F4D1EEA"/>
    <w:rsid w:val="1F4D1FBA"/>
    <w:rsid w:val="1F4D40E8"/>
    <w:rsid w:val="1F4E796B"/>
    <w:rsid w:val="1F4F53ED"/>
    <w:rsid w:val="1F4F6990"/>
    <w:rsid w:val="1F5008F0"/>
    <w:rsid w:val="1F502E6E"/>
    <w:rsid w:val="1F50506D"/>
    <w:rsid w:val="1F520570"/>
    <w:rsid w:val="1F520C6C"/>
    <w:rsid w:val="1F542D83"/>
    <w:rsid w:val="1F543A73"/>
    <w:rsid w:val="1F5627F9"/>
    <w:rsid w:val="1F564138"/>
    <w:rsid w:val="1F566F76"/>
    <w:rsid w:val="1F57027B"/>
    <w:rsid w:val="1F5749F8"/>
    <w:rsid w:val="1F574E9B"/>
    <w:rsid w:val="1F585875"/>
    <w:rsid w:val="1F585CFC"/>
    <w:rsid w:val="1F59377E"/>
    <w:rsid w:val="1F596413"/>
    <w:rsid w:val="1F5B33FE"/>
    <w:rsid w:val="1F5B6C81"/>
    <w:rsid w:val="1F5C4703"/>
    <w:rsid w:val="1F5D2184"/>
    <w:rsid w:val="1F5E18DF"/>
    <w:rsid w:val="1F5E4382"/>
    <w:rsid w:val="1F5E7C06"/>
    <w:rsid w:val="1F5F247E"/>
    <w:rsid w:val="1F5F4E35"/>
    <w:rsid w:val="1F5F550C"/>
    <w:rsid w:val="1F5F56C1"/>
    <w:rsid w:val="1F6043F4"/>
    <w:rsid w:val="1F607885"/>
    <w:rsid w:val="1F612D89"/>
    <w:rsid w:val="1F613BBB"/>
    <w:rsid w:val="1F615307"/>
    <w:rsid w:val="1F62080A"/>
    <w:rsid w:val="1F62660C"/>
    <w:rsid w:val="1F63628C"/>
    <w:rsid w:val="1F641B0F"/>
    <w:rsid w:val="1F643D0D"/>
    <w:rsid w:val="1F657590"/>
    <w:rsid w:val="1F665012"/>
    <w:rsid w:val="1F667210"/>
    <w:rsid w:val="1F674C92"/>
    <w:rsid w:val="1F681363"/>
    <w:rsid w:val="1F682713"/>
    <w:rsid w:val="1F690195"/>
    <w:rsid w:val="1F693A18"/>
    <w:rsid w:val="1F6A149A"/>
    <w:rsid w:val="1F6A5C17"/>
    <w:rsid w:val="1F6B347B"/>
    <w:rsid w:val="1F6B3698"/>
    <w:rsid w:val="1F6C111A"/>
    <w:rsid w:val="1F6C3E55"/>
    <w:rsid w:val="1F6C401A"/>
    <w:rsid w:val="1F6D241E"/>
    <w:rsid w:val="1F6E461D"/>
    <w:rsid w:val="1F6E7EA0"/>
    <w:rsid w:val="1F6F209E"/>
    <w:rsid w:val="1F6F5922"/>
    <w:rsid w:val="1F7033A3"/>
    <w:rsid w:val="1F705077"/>
    <w:rsid w:val="1F70522D"/>
    <w:rsid w:val="1F7074E6"/>
    <w:rsid w:val="1F707B20"/>
    <w:rsid w:val="1F7155A1"/>
    <w:rsid w:val="1F720A5F"/>
    <w:rsid w:val="1F723023"/>
    <w:rsid w:val="1F730AA4"/>
    <w:rsid w:val="1F7317C2"/>
    <w:rsid w:val="1F734328"/>
    <w:rsid w:val="1F753FA8"/>
    <w:rsid w:val="1F75782B"/>
    <w:rsid w:val="1F7638D9"/>
    <w:rsid w:val="1F7774AB"/>
    <w:rsid w:val="1F796231"/>
    <w:rsid w:val="1F7A5163"/>
    <w:rsid w:val="1F7A5EB1"/>
    <w:rsid w:val="1F7A63CB"/>
    <w:rsid w:val="1F7B3932"/>
    <w:rsid w:val="1F7C71B6"/>
    <w:rsid w:val="1F7D031E"/>
    <w:rsid w:val="1F7D0EBD"/>
    <w:rsid w:val="1F7D4C37"/>
    <w:rsid w:val="1F7D6E36"/>
    <w:rsid w:val="1F7E1A5B"/>
    <w:rsid w:val="1F7E26B9"/>
    <w:rsid w:val="1F7E7F2B"/>
    <w:rsid w:val="1F7F013A"/>
    <w:rsid w:val="1F7F2436"/>
    <w:rsid w:val="1F803199"/>
    <w:rsid w:val="1F805BBC"/>
    <w:rsid w:val="1F8110BF"/>
    <w:rsid w:val="1F8232BD"/>
    <w:rsid w:val="1F8350EC"/>
    <w:rsid w:val="1F8352B0"/>
    <w:rsid w:val="1F842044"/>
    <w:rsid w:val="1F845C8A"/>
    <w:rsid w:val="1F857AC5"/>
    <w:rsid w:val="1F867203"/>
    <w:rsid w:val="1F877BDE"/>
    <w:rsid w:val="1F880A4A"/>
    <w:rsid w:val="1F89574A"/>
    <w:rsid w:val="1F8A3F4D"/>
    <w:rsid w:val="1F8B2894"/>
    <w:rsid w:val="1F8B34B5"/>
    <w:rsid w:val="1F8C2708"/>
    <w:rsid w:val="1F8C3E0D"/>
    <w:rsid w:val="1F8C7450"/>
    <w:rsid w:val="1F8D1B11"/>
    <w:rsid w:val="1F8D4ED2"/>
    <w:rsid w:val="1F8E2953"/>
    <w:rsid w:val="1F8F03D5"/>
    <w:rsid w:val="1F905E56"/>
    <w:rsid w:val="1F91749D"/>
    <w:rsid w:val="1F92003C"/>
    <w:rsid w:val="1F920200"/>
    <w:rsid w:val="1F921359"/>
    <w:rsid w:val="1F936DDB"/>
    <w:rsid w:val="1F94485C"/>
    <w:rsid w:val="1F962B2D"/>
    <w:rsid w:val="1F962CF2"/>
    <w:rsid w:val="1F967D60"/>
    <w:rsid w:val="1F990CE4"/>
    <w:rsid w:val="1F996766"/>
    <w:rsid w:val="1F996A3F"/>
    <w:rsid w:val="1F9A0B31"/>
    <w:rsid w:val="1F9A41E7"/>
    <w:rsid w:val="1F9B4659"/>
    <w:rsid w:val="1F9B4B7A"/>
    <w:rsid w:val="1F9B4EE5"/>
    <w:rsid w:val="1F9C76EA"/>
    <w:rsid w:val="1F9D516C"/>
    <w:rsid w:val="1F9F6471"/>
    <w:rsid w:val="1FA03EF2"/>
    <w:rsid w:val="1FA060F1"/>
    <w:rsid w:val="1FA11974"/>
    <w:rsid w:val="1FA13150"/>
    <w:rsid w:val="1FA173F5"/>
    <w:rsid w:val="1FA20D6F"/>
    <w:rsid w:val="1FA328F8"/>
    <w:rsid w:val="1FA37075"/>
    <w:rsid w:val="1FA67FFA"/>
    <w:rsid w:val="1FA712FF"/>
    <w:rsid w:val="1FA75A7B"/>
    <w:rsid w:val="1FA802B9"/>
    <w:rsid w:val="1FA807DA"/>
    <w:rsid w:val="1FA834FD"/>
    <w:rsid w:val="1FA971A1"/>
    <w:rsid w:val="1FAA2283"/>
    <w:rsid w:val="1FAA65AA"/>
    <w:rsid w:val="1FAA6A00"/>
    <w:rsid w:val="1FAB284B"/>
    <w:rsid w:val="1FAB2A10"/>
    <w:rsid w:val="1FAB4482"/>
    <w:rsid w:val="1FAC5786"/>
    <w:rsid w:val="1FAD3208"/>
    <w:rsid w:val="1FAE0C8A"/>
    <w:rsid w:val="1FAF5501"/>
    <w:rsid w:val="1FB00909"/>
    <w:rsid w:val="1FB060A0"/>
    <w:rsid w:val="1FB11C0E"/>
    <w:rsid w:val="1FB13E0C"/>
    <w:rsid w:val="1FB1638B"/>
    <w:rsid w:val="1FB2188E"/>
    <w:rsid w:val="1FB35111"/>
    <w:rsid w:val="1FB37FF3"/>
    <w:rsid w:val="1FB50614"/>
    <w:rsid w:val="1FB52813"/>
    <w:rsid w:val="1FB60294"/>
    <w:rsid w:val="1FB66096"/>
    <w:rsid w:val="1FB810F2"/>
    <w:rsid w:val="1FB83797"/>
    <w:rsid w:val="1FB91219"/>
    <w:rsid w:val="1FB94A9C"/>
    <w:rsid w:val="1FB94DC1"/>
    <w:rsid w:val="1FBB471C"/>
    <w:rsid w:val="1FBB7F9F"/>
    <w:rsid w:val="1FBC09B0"/>
    <w:rsid w:val="1FBC1997"/>
    <w:rsid w:val="1FBD34A2"/>
    <w:rsid w:val="1FBD78B3"/>
    <w:rsid w:val="1FBD7C1F"/>
    <w:rsid w:val="1FBE56A1"/>
    <w:rsid w:val="1FBF0FF0"/>
    <w:rsid w:val="1FBF3122"/>
    <w:rsid w:val="1FC04427"/>
    <w:rsid w:val="1FC22F43"/>
    <w:rsid w:val="1FC240A7"/>
    <w:rsid w:val="1FC508AF"/>
    <w:rsid w:val="1FC5502B"/>
    <w:rsid w:val="1FC62AAD"/>
    <w:rsid w:val="1FC644C7"/>
    <w:rsid w:val="1FC7052F"/>
    <w:rsid w:val="1FC73564"/>
    <w:rsid w:val="1FC73662"/>
    <w:rsid w:val="1FC77337"/>
    <w:rsid w:val="1FC85FB0"/>
    <w:rsid w:val="1FC908AF"/>
    <w:rsid w:val="1FC93A32"/>
    <w:rsid w:val="1FC972B5"/>
    <w:rsid w:val="1FCA144E"/>
    <w:rsid w:val="1FCB27B8"/>
    <w:rsid w:val="1FCC023A"/>
    <w:rsid w:val="1FCC2438"/>
    <w:rsid w:val="1FCD5CBB"/>
    <w:rsid w:val="1FCE3F40"/>
    <w:rsid w:val="1FCE593B"/>
    <w:rsid w:val="1FCF33BD"/>
    <w:rsid w:val="1FCF4ADF"/>
    <w:rsid w:val="1FCF567D"/>
    <w:rsid w:val="1FD00E3E"/>
    <w:rsid w:val="1FD06C40"/>
    <w:rsid w:val="1FD16A32"/>
    <w:rsid w:val="1FD22143"/>
    <w:rsid w:val="1FD37C06"/>
    <w:rsid w:val="1FD40D0E"/>
    <w:rsid w:val="1FD430C8"/>
    <w:rsid w:val="1FD50B49"/>
    <w:rsid w:val="1FD516E8"/>
    <w:rsid w:val="1FD60AE9"/>
    <w:rsid w:val="1FD620C2"/>
    <w:rsid w:val="1FD62287"/>
    <w:rsid w:val="1FD62D47"/>
    <w:rsid w:val="1FD665CB"/>
    <w:rsid w:val="1FD81ACE"/>
    <w:rsid w:val="1FD8624A"/>
    <w:rsid w:val="1FD93CCC"/>
    <w:rsid w:val="1FDA4F3D"/>
    <w:rsid w:val="1FDB71CF"/>
    <w:rsid w:val="1FDC4C51"/>
    <w:rsid w:val="1FDC64B6"/>
    <w:rsid w:val="1FDD26D2"/>
    <w:rsid w:val="1FDD5F55"/>
    <w:rsid w:val="1FDF1459"/>
    <w:rsid w:val="1FE03657"/>
    <w:rsid w:val="1FE06EDA"/>
    <w:rsid w:val="1FE1428B"/>
    <w:rsid w:val="1FE1495C"/>
    <w:rsid w:val="1FE30A3F"/>
    <w:rsid w:val="1FE37E5F"/>
    <w:rsid w:val="1FE44638"/>
    <w:rsid w:val="1FE47ADF"/>
    <w:rsid w:val="1FE526F9"/>
    <w:rsid w:val="1FE53362"/>
    <w:rsid w:val="1FE55560"/>
    <w:rsid w:val="1FE60DE3"/>
    <w:rsid w:val="1FE65BB1"/>
    <w:rsid w:val="1FE7539E"/>
    <w:rsid w:val="1FE842E7"/>
    <w:rsid w:val="1FE864E5"/>
    <w:rsid w:val="1FE91D68"/>
    <w:rsid w:val="1FE93F66"/>
    <w:rsid w:val="1FE97CC8"/>
    <w:rsid w:val="1FEA526B"/>
    <w:rsid w:val="1FEA77EA"/>
    <w:rsid w:val="1FEC076E"/>
    <w:rsid w:val="1FEC297E"/>
    <w:rsid w:val="1FED3359"/>
    <w:rsid w:val="1FED4BA9"/>
    <w:rsid w:val="1FED61F0"/>
    <w:rsid w:val="1FEE3C71"/>
    <w:rsid w:val="1FEE3EF7"/>
    <w:rsid w:val="1FEF48D2"/>
    <w:rsid w:val="1FF07174"/>
    <w:rsid w:val="1FF11AC7"/>
    <w:rsid w:val="1FF269E9"/>
    <w:rsid w:val="1FF342D8"/>
    <w:rsid w:val="1FF45B7B"/>
    <w:rsid w:val="1FF535FC"/>
    <w:rsid w:val="1FF76AFF"/>
    <w:rsid w:val="1FF8283C"/>
    <w:rsid w:val="1FF92002"/>
    <w:rsid w:val="1FF94191"/>
    <w:rsid w:val="1FF94356"/>
    <w:rsid w:val="1FFA4EF4"/>
    <w:rsid w:val="1FFA7A84"/>
    <w:rsid w:val="1FFB5506"/>
    <w:rsid w:val="1FFC2F87"/>
    <w:rsid w:val="1FFC62A9"/>
    <w:rsid w:val="1FFC646D"/>
    <w:rsid w:val="1FFD6E47"/>
    <w:rsid w:val="1FFE648A"/>
    <w:rsid w:val="1FFE76C5"/>
    <w:rsid w:val="1FFE79E6"/>
    <w:rsid w:val="2000198D"/>
    <w:rsid w:val="20005323"/>
    <w:rsid w:val="200059F9"/>
    <w:rsid w:val="20011AFD"/>
    <w:rsid w:val="20022912"/>
    <w:rsid w:val="20030393"/>
    <w:rsid w:val="20033076"/>
    <w:rsid w:val="20053897"/>
    <w:rsid w:val="20076707"/>
    <w:rsid w:val="20076D9A"/>
    <w:rsid w:val="2008261D"/>
    <w:rsid w:val="200854A4"/>
    <w:rsid w:val="2009009E"/>
    <w:rsid w:val="2009229D"/>
    <w:rsid w:val="20097E44"/>
    <w:rsid w:val="200A35A2"/>
    <w:rsid w:val="200A5B20"/>
    <w:rsid w:val="200A7D1E"/>
    <w:rsid w:val="200B1023"/>
    <w:rsid w:val="200C6CE6"/>
    <w:rsid w:val="200D0CA3"/>
    <w:rsid w:val="200D4526"/>
    <w:rsid w:val="200E0542"/>
    <w:rsid w:val="200E0DCE"/>
    <w:rsid w:val="200E1FA8"/>
    <w:rsid w:val="200E34D5"/>
    <w:rsid w:val="200F7274"/>
    <w:rsid w:val="200F7A29"/>
    <w:rsid w:val="20101C28"/>
    <w:rsid w:val="201054AB"/>
    <w:rsid w:val="201155EC"/>
    <w:rsid w:val="201176A9"/>
    <w:rsid w:val="201209AE"/>
    <w:rsid w:val="20136430"/>
    <w:rsid w:val="20136B65"/>
    <w:rsid w:val="2014062E"/>
    <w:rsid w:val="20151933"/>
    <w:rsid w:val="20163B31"/>
    <w:rsid w:val="201673B4"/>
    <w:rsid w:val="201715B2"/>
    <w:rsid w:val="20174E36"/>
    <w:rsid w:val="20177779"/>
    <w:rsid w:val="201828B7"/>
    <w:rsid w:val="20187034"/>
    <w:rsid w:val="201A2537"/>
    <w:rsid w:val="201B4EAC"/>
    <w:rsid w:val="201B5A3A"/>
    <w:rsid w:val="201C3E17"/>
    <w:rsid w:val="201C5886"/>
    <w:rsid w:val="201D0F3D"/>
    <w:rsid w:val="201E47C1"/>
    <w:rsid w:val="201E69BF"/>
    <w:rsid w:val="201F2242"/>
    <w:rsid w:val="201F4F4E"/>
    <w:rsid w:val="201F799D"/>
    <w:rsid w:val="201F7B62"/>
    <w:rsid w:val="20215745"/>
    <w:rsid w:val="20217943"/>
    <w:rsid w:val="20220C48"/>
    <w:rsid w:val="202231C7"/>
    <w:rsid w:val="202366CA"/>
    <w:rsid w:val="20243BCC"/>
    <w:rsid w:val="2025634A"/>
    <w:rsid w:val="20263DCB"/>
    <w:rsid w:val="202872CE"/>
    <w:rsid w:val="20294D50"/>
    <w:rsid w:val="202A27D1"/>
    <w:rsid w:val="202A5D88"/>
    <w:rsid w:val="202B3AD6"/>
    <w:rsid w:val="202B54FC"/>
    <w:rsid w:val="202C5CD5"/>
    <w:rsid w:val="202D1D4F"/>
    <w:rsid w:val="202D3756"/>
    <w:rsid w:val="202D6FD9"/>
    <w:rsid w:val="202E28ED"/>
    <w:rsid w:val="202E4A5B"/>
    <w:rsid w:val="202F24DC"/>
    <w:rsid w:val="202F6C59"/>
    <w:rsid w:val="20303E66"/>
    <w:rsid w:val="203046DB"/>
    <w:rsid w:val="20307F5E"/>
    <w:rsid w:val="203155A4"/>
    <w:rsid w:val="20323461"/>
    <w:rsid w:val="20325F7E"/>
    <w:rsid w:val="20327BDE"/>
    <w:rsid w:val="203330E1"/>
    <w:rsid w:val="20340B62"/>
    <w:rsid w:val="20346964"/>
    <w:rsid w:val="203474F7"/>
    <w:rsid w:val="203565E4"/>
    <w:rsid w:val="203778E9"/>
    <w:rsid w:val="203821AD"/>
    <w:rsid w:val="20382371"/>
    <w:rsid w:val="20387569"/>
    <w:rsid w:val="203903AF"/>
    <w:rsid w:val="20394FEA"/>
    <w:rsid w:val="203A2A6C"/>
    <w:rsid w:val="203A3726"/>
    <w:rsid w:val="203A62EF"/>
    <w:rsid w:val="203B3D71"/>
    <w:rsid w:val="203B4489"/>
    <w:rsid w:val="203C17F2"/>
    <w:rsid w:val="203C5F6F"/>
    <w:rsid w:val="203D39F0"/>
    <w:rsid w:val="203D583D"/>
    <w:rsid w:val="203E1472"/>
    <w:rsid w:val="203E4CF5"/>
    <w:rsid w:val="203E6F7B"/>
    <w:rsid w:val="203F6EF4"/>
    <w:rsid w:val="204001F8"/>
    <w:rsid w:val="20415C7A"/>
    <w:rsid w:val="2043117D"/>
    <w:rsid w:val="204358FA"/>
    <w:rsid w:val="20446BFF"/>
    <w:rsid w:val="20454680"/>
    <w:rsid w:val="20462102"/>
    <w:rsid w:val="20464723"/>
    <w:rsid w:val="2046687E"/>
    <w:rsid w:val="20474300"/>
    <w:rsid w:val="20477B83"/>
    <w:rsid w:val="2049683A"/>
    <w:rsid w:val="20497803"/>
    <w:rsid w:val="204A0B08"/>
    <w:rsid w:val="204B0952"/>
    <w:rsid w:val="204B2D06"/>
    <w:rsid w:val="204C6209"/>
    <w:rsid w:val="204D1A8C"/>
    <w:rsid w:val="204E750E"/>
    <w:rsid w:val="204F4F90"/>
    <w:rsid w:val="204F718E"/>
    <w:rsid w:val="20502A11"/>
    <w:rsid w:val="20503FE2"/>
    <w:rsid w:val="20510493"/>
    <w:rsid w:val="20525F14"/>
    <w:rsid w:val="20531417"/>
    <w:rsid w:val="20533996"/>
    <w:rsid w:val="20533D65"/>
    <w:rsid w:val="205360FA"/>
    <w:rsid w:val="20546AD4"/>
    <w:rsid w:val="20546CE1"/>
    <w:rsid w:val="20546E99"/>
    <w:rsid w:val="2056239C"/>
    <w:rsid w:val="20570DB0"/>
    <w:rsid w:val="20577E1E"/>
    <w:rsid w:val="205920E7"/>
    <w:rsid w:val="20592D03"/>
    <w:rsid w:val="20592EC7"/>
    <w:rsid w:val="20593321"/>
    <w:rsid w:val="205A0DA2"/>
    <w:rsid w:val="205B4440"/>
    <w:rsid w:val="205B6824"/>
    <w:rsid w:val="205C42A5"/>
    <w:rsid w:val="205D1D27"/>
    <w:rsid w:val="205E6393"/>
    <w:rsid w:val="205E77A8"/>
    <w:rsid w:val="205F522A"/>
    <w:rsid w:val="20602CAB"/>
    <w:rsid w:val="206104AB"/>
    <w:rsid w:val="2061072D"/>
    <w:rsid w:val="20620D45"/>
    <w:rsid w:val="206261AF"/>
    <w:rsid w:val="20631A24"/>
    <w:rsid w:val="20642787"/>
    <w:rsid w:val="20653161"/>
    <w:rsid w:val="20656F2E"/>
    <w:rsid w:val="20657133"/>
    <w:rsid w:val="206646DA"/>
    <w:rsid w:val="20671BE0"/>
    <w:rsid w:val="206800B8"/>
    <w:rsid w:val="20685E17"/>
    <w:rsid w:val="20695B39"/>
    <w:rsid w:val="206A35BB"/>
    <w:rsid w:val="206A7390"/>
    <w:rsid w:val="206B103D"/>
    <w:rsid w:val="206B48C0"/>
    <w:rsid w:val="206C2341"/>
    <w:rsid w:val="206C4540"/>
    <w:rsid w:val="206D1FC1"/>
    <w:rsid w:val="206D7DC3"/>
    <w:rsid w:val="206E2046"/>
    <w:rsid w:val="206E5844"/>
    <w:rsid w:val="206E7A43"/>
    <w:rsid w:val="206F32C6"/>
    <w:rsid w:val="207033FB"/>
    <w:rsid w:val="207167C9"/>
    <w:rsid w:val="2072424B"/>
    <w:rsid w:val="20726449"/>
    <w:rsid w:val="20731CCC"/>
    <w:rsid w:val="20733ECA"/>
    <w:rsid w:val="20734209"/>
    <w:rsid w:val="207356D7"/>
    <w:rsid w:val="207402A9"/>
    <w:rsid w:val="20740980"/>
    <w:rsid w:val="207500F4"/>
    <w:rsid w:val="20752C51"/>
    <w:rsid w:val="207573CE"/>
    <w:rsid w:val="207574FD"/>
    <w:rsid w:val="207577EE"/>
    <w:rsid w:val="207606D2"/>
    <w:rsid w:val="20764E4F"/>
    <w:rsid w:val="20766FDC"/>
    <w:rsid w:val="207728D1"/>
    <w:rsid w:val="20776154"/>
    <w:rsid w:val="20780352"/>
    <w:rsid w:val="207922E0"/>
    <w:rsid w:val="20795DD4"/>
    <w:rsid w:val="207A3855"/>
    <w:rsid w:val="207A70D9"/>
    <w:rsid w:val="207B12D7"/>
    <w:rsid w:val="207B4B5A"/>
    <w:rsid w:val="207C6D58"/>
    <w:rsid w:val="207D47DA"/>
    <w:rsid w:val="207E225C"/>
    <w:rsid w:val="207E5971"/>
    <w:rsid w:val="207F7CDD"/>
    <w:rsid w:val="20800FE2"/>
    <w:rsid w:val="2080575F"/>
    <w:rsid w:val="20821001"/>
    <w:rsid w:val="208211C5"/>
    <w:rsid w:val="20822FA7"/>
    <w:rsid w:val="208244E5"/>
    <w:rsid w:val="20831F67"/>
    <w:rsid w:val="20832566"/>
    <w:rsid w:val="20841BE6"/>
    <w:rsid w:val="2084257A"/>
    <w:rsid w:val="208479E8"/>
    <w:rsid w:val="20857668"/>
    <w:rsid w:val="20862EEB"/>
    <w:rsid w:val="20863AF3"/>
    <w:rsid w:val="20863CB7"/>
    <w:rsid w:val="2087096D"/>
    <w:rsid w:val="20872B6B"/>
    <w:rsid w:val="20874856"/>
    <w:rsid w:val="20876F6E"/>
    <w:rsid w:val="208805ED"/>
    <w:rsid w:val="208A696D"/>
    <w:rsid w:val="208B1571"/>
    <w:rsid w:val="208B4DF4"/>
    <w:rsid w:val="208B7373"/>
    <w:rsid w:val="208C7D22"/>
    <w:rsid w:val="208D0A85"/>
    <w:rsid w:val="208D4A74"/>
    <w:rsid w:val="208E24F6"/>
    <w:rsid w:val="208E5D79"/>
    <w:rsid w:val="208F37FB"/>
    <w:rsid w:val="2090127C"/>
    <w:rsid w:val="2090637B"/>
    <w:rsid w:val="2091347B"/>
    <w:rsid w:val="20920EFC"/>
    <w:rsid w:val="20924AF0"/>
    <w:rsid w:val="2093697E"/>
    <w:rsid w:val="20951E81"/>
    <w:rsid w:val="20955704"/>
    <w:rsid w:val="20956C07"/>
    <w:rsid w:val="20963186"/>
    <w:rsid w:val="20963CB8"/>
    <w:rsid w:val="20967902"/>
    <w:rsid w:val="20970180"/>
    <w:rsid w:val="20970C07"/>
    <w:rsid w:val="20975384"/>
    <w:rsid w:val="20980D1F"/>
    <w:rsid w:val="20982E05"/>
    <w:rsid w:val="2099410A"/>
    <w:rsid w:val="209A2298"/>
    <w:rsid w:val="209A6308"/>
    <w:rsid w:val="209B180C"/>
    <w:rsid w:val="209B3D8A"/>
    <w:rsid w:val="209C508F"/>
    <w:rsid w:val="209C728D"/>
    <w:rsid w:val="209D4F4E"/>
    <w:rsid w:val="209E0592"/>
    <w:rsid w:val="209E4D89"/>
    <w:rsid w:val="209F07ED"/>
    <w:rsid w:val="209F6013"/>
    <w:rsid w:val="209F64C7"/>
    <w:rsid w:val="20A05C93"/>
    <w:rsid w:val="20A06EA1"/>
    <w:rsid w:val="20A13715"/>
    <w:rsid w:val="20A15D31"/>
    <w:rsid w:val="20A17A40"/>
    <w:rsid w:val="20A2041A"/>
    <w:rsid w:val="20A21196"/>
    <w:rsid w:val="20A3117D"/>
    <w:rsid w:val="20A34A1A"/>
    <w:rsid w:val="20A36C18"/>
    <w:rsid w:val="20A41B57"/>
    <w:rsid w:val="20A5211B"/>
    <w:rsid w:val="20A63420"/>
    <w:rsid w:val="20A70EA1"/>
    <w:rsid w:val="20A81A1B"/>
    <w:rsid w:val="20A830A0"/>
    <w:rsid w:val="20A8480D"/>
    <w:rsid w:val="20A90B21"/>
    <w:rsid w:val="20A943A5"/>
    <w:rsid w:val="20A951E7"/>
    <w:rsid w:val="20AA5D86"/>
    <w:rsid w:val="20AB4024"/>
    <w:rsid w:val="20AB78A8"/>
    <w:rsid w:val="20AC1AA6"/>
    <w:rsid w:val="20AC5329"/>
    <w:rsid w:val="20AC7E9E"/>
    <w:rsid w:val="20AD0878"/>
    <w:rsid w:val="20AD2DAB"/>
    <w:rsid w:val="20AF0D9B"/>
    <w:rsid w:val="20AF1DF1"/>
    <w:rsid w:val="20AF2A2B"/>
    <w:rsid w:val="20B03D2F"/>
    <w:rsid w:val="20B07FB6"/>
    <w:rsid w:val="20B117B1"/>
    <w:rsid w:val="20B1352E"/>
    <w:rsid w:val="20B15F2E"/>
    <w:rsid w:val="20B214F5"/>
    <w:rsid w:val="20B239AF"/>
    <w:rsid w:val="20B27232"/>
    <w:rsid w:val="20B31431"/>
    <w:rsid w:val="20B34CB4"/>
    <w:rsid w:val="20B46EB2"/>
    <w:rsid w:val="20B501B7"/>
    <w:rsid w:val="20B561E4"/>
    <w:rsid w:val="20B646FB"/>
    <w:rsid w:val="20B65C39"/>
    <w:rsid w:val="20B66BBF"/>
    <w:rsid w:val="20B736BA"/>
    <w:rsid w:val="20B758B9"/>
    <w:rsid w:val="20B8113C"/>
    <w:rsid w:val="20B90CD6"/>
    <w:rsid w:val="20B96BBD"/>
    <w:rsid w:val="20BA1993"/>
    <w:rsid w:val="20BA463F"/>
    <w:rsid w:val="20BC4690"/>
    <w:rsid w:val="20BC55C4"/>
    <w:rsid w:val="20BC7B42"/>
    <w:rsid w:val="20BD3045"/>
    <w:rsid w:val="20BD38E3"/>
    <w:rsid w:val="20BD4367"/>
    <w:rsid w:val="20BE0AC7"/>
    <w:rsid w:val="20BE4F05"/>
    <w:rsid w:val="20BF2615"/>
    <w:rsid w:val="20BF6548"/>
    <w:rsid w:val="20C0056A"/>
    <w:rsid w:val="20C03FCA"/>
    <w:rsid w:val="20C40F70"/>
    <w:rsid w:val="20C41134"/>
    <w:rsid w:val="20C429D0"/>
    <w:rsid w:val="20C626AD"/>
    <w:rsid w:val="20C65ED3"/>
    <w:rsid w:val="20C71F84"/>
    <w:rsid w:val="20C73C26"/>
    <w:rsid w:val="20C813D6"/>
    <w:rsid w:val="20C96E58"/>
    <w:rsid w:val="20CB6E6D"/>
    <w:rsid w:val="20CC60C0"/>
    <w:rsid w:val="20CD585E"/>
    <w:rsid w:val="20CE32DF"/>
    <w:rsid w:val="20CF0D61"/>
    <w:rsid w:val="20CF13CE"/>
    <w:rsid w:val="20CF1592"/>
    <w:rsid w:val="20D01F6D"/>
    <w:rsid w:val="20D067E3"/>
    <w:rsid w:val="20D07F44"/>
    <w:rsid w:val="20D17AE7"/>
    <w:rsid w:val="20D25569"/>
    <w:rsid w:val="20D32FEA"/>
    <w:rsid w:val="20D37767"/>
    <w:rsid w:val="20D37B82"/>
    <w:rsid w:val="20D40A6C"/>
    <w:rsid w:val="20D42C6A"/>
    <w:rsid w:val="20D44A5E"/>
    <w:rsid w:val="20D5619C"/>
    <w:rsid w:val="20D719F1"/>
    <w:rsid w:val="20D919B5"/>
    <w:rsid w:val="20D970F2"/>
    <w:rsid w:val="20DA2975"/>
    <w:rsid w:val="20DA4B74"/>
    <w:rsid w:val="20DB01C7"/>
    <w:rsid w:val="20DB03F7"/>
    <w:rsid w:val="20DB793B"/>
    <w:rsid w:val="20DC0077"/>
    <w:rsid w:val="20DC5E78"/>
    <w:rsid w:val="20DD137B"/>
    <w:rsid w:val="20DE44E2"/>
    <w:rsid w:val="20DE6DFD"/>
    <w:rsid w:val="20DF0FFB"/>
    <w:rsid w:val="20E02300"/>
    <w:rsid w:val="20E25803"/>
    <w:rsid w:val="20E26FD4"/>
    <w:rsid w:val="20E30711"/>
    <w:rsid w:val="20E33285"/>
    <w:rsid w:val="20E37A02"/>
    <w:rsid w:val="20E51C8A"/>
    <w:rsid w:val="20E56788"/>
    <w:rsid w:val="20E833E5"/>
    <w:rsid w:val="20E83E27"/>
    <w:rsid w:val="20E8770D"/>
    <w:rsid w:val="20E9190B"/>
    <w:rsid w:val="20E92EC4"/>
    <w:rsid w:val="20E9518E"/>
    <w:rsid w:val="20EA1F62"/>
    <w:rsid w:val="20EA2C10"/>
    <w:rsid w:val="20EB0691"/>
    <w:rsid w:val="20EB4E0E"/>
    <w:rsid w:val="20EB5CF5"/>
    <w:rsid w:val="20EC288F"/>
    <w:rsid w:val="20ED5D93"/>
    <w:rsid w:val="20EE1616"/>
    <w:rsid w:val="20EE3814"/>
    <w:rsid w:val="20EF7097"/>
    <w:rsid w:val="20F06D17"/>
    <w:rsid w:val="20F1259A"/>
    <w:rsid w:val="20F14799"/>
    <w:rsid w:val="20F2221A"/>
    <w:rsid w:val="20F358C8"/>
    <w:rsid w:val="20F4351F"/>
    <w:rsid w:val="20F44BDA"/>
    <w:rsid w:val="20F4571D"/>
    <w:rsid w:val="20F5319F"/>
    <w:rsid w:val="20F60C21"/>
    <w:rsid w:val="20F766A2"/>
    <w:rsid w:val="20F84069"/>
    <w:rsid w:val="20F848F5"/>
    <w:rsid w:val="20F879A7"/>
    <w:rsid w:val="20FA0C45"/>
    <w:rsid w:val="20FB092C"/>
    <w:rsid w:val="20FB50A8"/>
    <w:rsid w:val="20FC2B2A"/>
    <w:rsid w:val="20FD05AB"/>
    <w:rsid w:val="20FD38FB"/>
    <w:rsid w:val="20FD3E2F"/>
    <w:rsid w:val="20FE3A5D"/>
    <w:rsid w:val="20FF3AAE"/>
    <w:rsid w:val="20FF5038"/>
    <w:rsid w:val="20FF72FE"/>
    <w:rsid w:val="20FF7332"/>
    <w:rsid w:val="21004DB3"/>
    <w:rsid w:val="21012835"/>
    <w:rsid w:val="210163ED"/>
    <w:rsid w:val="21016FB2"/>
    <w:rsid w:val="210202B6"/>
    <w:rsid w:val="21024A33"/>
    <w:rsid w:val="21027150"/>
    <w:rsid w:val="21035D38"/>
    <w:rsid w:val="21040504"/>
    <w:rsid w:val="21040C2B"/>
    <w:rsid w:val="210459B8"/>
    <w:rsid w:val="21047F36"/>
    <w:rsid w:val="210508C0"/>
    <w:rsid w:val="21060EBB"/>
    <w:rsid w:val="21061C42"/>
    <w:rsid w:val="2107261C"/>
    <w:rsid w:val="210950DE"/>
    <w:rsid w:val="21097C41"/>
    <w:rsid w:val="210A48F8"/>
    <w:rsid w:val="210A56C3"/>
    <w:rsid w:val="210A78C1"/>
    <w:rsid w:val="210B3144"/>
    <w:rsid w:val="210C6647"/>
    <w:rsid w:val="210C6A10"/>
    <w:rsid w:val="210D40C9"/>
    <w:rsid w:val="210E1B4B"/>
    <w:rsid w:val="210F0963"/>
    <w:rsid w:val="21101501"/>
    <w:rsid w:val="2110504E"/>
    <w:rsid w:val="21120551"/>
    <w:rsid w:val="21122A7A"/>
    <w:rsid w:val="21124CCD"/>
    <w:rsid w:val="2113274F"/>
    <w:rsid w:val="2113309D"/>
    <w:rsid w:val="21133619"/>
    <w:rsid w:val="21143A54"/>
    <w:rsid w:val="211514D5"/>
    <w:rsid w:val="21155C52"/>
    <w:rsid w:val="211636D4"/>
    <w:rsid w:val="21166F57"/>
    <w:rsid w:val="2118245A"/>
    <w:rsid w:val="21186BD7"/>
    <w:rsid w:val="21186CA9"/>
    <w:rsid w:val="21187848"/>
    <w:rsid w:val="21194658"/>
    <w:rsid w:val="21197683"/>
    <w:rsid w:val="211A20DA"/>
    <w:rsid w:val="211B195F"/>
    <w:rsid w:val="211B33DF"/>
    <w:rsid w:val="211B7B5B"/>
    <w:rsid w:val="211C0E60"/>
    <w:rsid w:val="211C55DD"/>
    <w:rsid w:val="211D2D14"/>
    <w:rsid w:val="211E4363"/>
    <w:rsid w:val="211F1DE5"/>
    <w:rsid w:val="21207866"/>
    <w:rsid w:val="212152E8"/>
    <w:rsid w:val="2122535A"/>
    <w:rsid w:val="21226569"/>
    <w:rsid w:val="212432DF"/>
    <w:rsid w:val="21243CEE"/>
    <w:rsid w:val="212504BC"/>
    <w:rsid w:val="21251770"/>
    <w:rsid w:val="2126121F"/>
    <w:rsid w:val="212733E0"/>
    <w:rsid w:val="21290176"/>
    <w:rsid w:val="212B3679"/>
    <w:rsid w:val="212C10FB"/>
    <w:rsid w:val="212D6B7C"/>
    <w:rsid w:val="212E45FE"/>
    <w:rsid w:val="21307B01"/>
    <w:rsid w:val="21323004"/>
    <w:rsid w:val="213264FE"/>
    <w:rsid w:val="21327919"/>
    <w:rsid w:val="21330A85"/>
    <w:rsid w:val="21332BF6"/>
    <w:rsid w:val="21346507"/>
    <w:rsid w:val="21353FAA"/>
    <w:rsid w:val="213656E8"/>
    <w:rsid w:val="21396212"/>
    <w:rsid w:val="2139763B"/>
    <w:rsid w:val="213977FF"/>
    <w:rsid w:val="213A0410"/>
    <w:rsid w:val="213B74B1"/>
    <w:rsid w:val="213C7197"/>
    <w:rsid w:val="213D22F1"/>
    <w:rsid w:val="213D24B6"/>
    <w:rsid w:val="213D4C18"/>
    <w:rsid w:val="213D6E16"/>
    <w:rsid w:val="213E2781"/>
    <w:rsid w:val="213E2CCB"/>
    <w:rsid w:val="213E2E90"/>
    <w:rsid w:val="213E4898"/>
    <w:rsid w:val="213F011B"/>
    <w:rsid w:val="213F386A"/>
    <w:rsid w:val="21400605"/>
    <w:rsid w:val="21400970"/>
    <w:rsid w:val="21405B9D"/>
    <w:rsid w:val="21407D9B"/>
    <w:rsid w:val="2141361E"/>
    <w:rsid w:val="21414DE3"/>
    <w:rsid w:val="214152F7"/>
    <w:rsid w:val="2141581D"/>
    <w:rsid w:val="214210A0"/>
    <w:rsid w:val="2142329E"/>
    <w:rsid w:val="21426520"/>
    <w:rsid w:val="21430D20"/>
    <w:rsid w:val="214467A1"/>
    <w:rsid w:val="21454223"/>
    <w:rsid w:val="21454B5C"/>
    <w:rsid w:val="21457AA6"/>
    <w:rsid w:val="21461012"/>
    <w:rsid w:val="214611D6"/>
    <w:rsid w:val="21461CA4"/>
    <w:rsid w:val="21465528"/>
    <w:rsid w:val="21472FA9"/>
    <w:rsid w:val="21477726"/>
    <w:rsid w:val="21480A2B"/>
    <w:rsid w:val="214851A7"/>
    <w:rsid w:val="21491AF3"/>
    <w:rsid w:val="21492C29"/>
    <w:rsid w:val="2149312A"/>
    <w:rsid w:val="214A3F2E"/>
    <w:rsid w:val="214B612C"/>
    <w:rsid w:val="214C3BAE"/>
    <w:rsid w:val="214C7431"/>
    <w:rsid w:val="214D4265"/>
    <w:rsid w:val="214D4EB3"/>
    <w:rsid w:val="214E2934"/>
    <w:rsid w:val="214E3302"/>
    <w:rsid w:val="214E67BA"/>
    <w:rsid w:val="214E70B1"/>
    <w:rsid w:val="215018EE"/>
    <w:rsid w:val="21502035"/>
    <w:rsid w:val="215025B4"/>
    <w:rsid w:val="21505E37"/>
    <w:rsid w:val="21510035"/>
    <w:rsid w:val="21525AB7"/>
    <w:rsid w:val="21533539"/>
    <w:rsid w:val="21540FBA"/>
    <w:rsid w:val="215522BF"/>
    <w:rsid w:val="21554126"/>
    <w:rsid w:val="21561F3F"/>
    <w:rsid w:val="21564CC5"/>
    <w:rsid w:val="21567D40"/>
    <w:rsid w:val="215779C0"/>
    <w:rsid w:val="21583244"/>
    <w:rsid w:val="21585442"/>
    <w:rsid w:val="2158623E"/>
    <w:rsid w:val="21596C18"/>
    <w:rsid w:val="215A2310"/>
    <w:rsid w:val="215B63C6"/>
    <w:rsid w:val="215C0EF4"/>
    <w:rsid w:val="215C1C4A"/>
    <w:rsid w:val="215D18CA"/>
    <w:rsid w:val="215D246D"/>
    <w:rsid w:val="215D514D"/>
    <w:rsid w:val="215E2E47"/>
    <w:rsid w:val="215E4812"/>
    <w:rsid w:val="215E680E"/>
    <w:rsid w:val="215E734B"/>
    <w:rsid w:val="215F4DCD"/>
    <w:rsid w:val="2160284E"/>
    <w:rsid w:val="216060D1"/>
    <w:rsid w:val="216102D0"/>
    <w:rsid w:val="21613B53"/>
    <w:rsid w:val="21614F5F"/>
    <w:rsid w:val="21625939"/>
    <w:rsid w:val="21625D51"/>
    <w:rsid w:val="216337D3"/>
    <w:rsid w:val="2163669C"/>
    <w:rsid w:val="21637056"/>
    <w:rsid w:val="21647076"/>
    <w:rsid w:val="21652559"/>
    <w:rsid w:val="21656CD6"/>
    <w:rsid w:val="21664758"/>
    <w:rsid w:val="21681B68"/>
    <w:rsid w:val="21687C5B"/>
    <w:rsid w:val="216956DC"/>
    <w:rsid w:val="216A315E"/>
    <w:rsid w:val="216A32A5"/>
    <w:rsid w:val="216A69E1"/>
    <w:rsid w:val="216B0BDF"/>
    <w:rsid w:val="216B4463"/>
    <w:rsid w:val="216C1EE4"/>
    <w:rsid w:val="216C6661"/>
    <w:rsid w:val="216C7510"/>
    <w:rsid w:val="216D5D97"/>
    <w:rsid w:val="216D6C84"/>
    <w:rsid w:val="216E53E7"/>
    <w:rsid w:val="216F2E69"/>
    <w:rsid w:val="216F5067"/>
    <w:rsid w:val="216F74D4"/>
    <w:rsid w:val="2171056A"/>
    <w:rsid w:val="21723DED"/>
    <w:rsid w:val="21733A6D"/>
    <w:rsid w:val="217414EF"/>
    <w:rsid w:val="217429A0"/>
    <w:rsid w:val="217472F0"/>
    <w:rsid w:val="2175353F"/>
    <w:rsid w:val="21753704"/>
    <w:rsid w:val="21754D72"/>
    <w:rsid w:val="21756F70"/>
    <w:rsid w:val="21760275"/>
    <w:rsid w:val="21772473"/>
    <w:rsid w:val="21775CF7"/>
    <w:rsid w:val="21783778"/>
    <w:rsid w:val="217911FA"/>
    <w:rsid w:val="21796D94"/>
    <w:rsid w:val="217C68FB"/>
    <w:rsid w:val="217D1886"/>
    <w:rsid w:val="217E1DFE"/>
    <w:rsid w:val="217E2424"/>
    <w:rsid w:val="217E5682"/>
    <w:rsid w:val="217F2DFF"/>
    <w:rsid w:val="217F3103"/>
    <w:rsid w:val="21800B85"/>
    <w:rsid w:val="21812D83"/>
    <w:rsid w:val="21820804"/>
    <w:rsid w:val="21824088"/>
    <w:rsid w:val="21824F16"/>
    <w:rsid w:val="218250DB"/>
    <w:rsid w:val="21831B09"/>
    <w:rsid w:val="21836286"/>
    <w:rsid w:val="21843D08"/>
    <w:rsid w:val="2184648F"/>
    <w:rsid w:val="2185500C"/>
    <w:rsid w:val="21862A8E"/>
    <w:rsid w:val="218705A7"/>
    <w:rsid w:val="21871145"/>
    <w:rsid w:val="21884F0C"/>
    <w:rsid w:val="21892883"/>
    <w:rsid w:val="2189415F"/>
    <w:rsid w:val="21894835"/>
    <w:rsid w:val="218A1494"/>
    <w:rsid w:val="218A2E91"/>
    <w:rsid w:val="218B3C37"/>
    <w:rsid w:val="218E591C"/>
    <w:rsid w:val="218F339D"/>
    <w:rsid w:val="219074C2"/>
    <w:rsid w:val="2192613E"/>
    <w:rsid w:val="21931DA4"/>
    <w:rsid w:val="21947825"/>
    <w:rsid w:val="219552A7"/>
    <w:rsid w:val="21962D28"/>
    <w:rsid w:val="21964095"/>
    <w:rsid w:val="2196425A"/>
    <w:rsid w:val="21967DBF"/>
    <w:rsid w:val="21974A6F"/>
    <w:rsid w:val="21976AF2"/>
    <w:rsid w:val="2197737E"/>
    <w:rsid w:val="219857D3"/>
    <w:rsid w:val="219860B0"/>
    <w:rsid w:val="2198622B"/>
    <w:rsid w:val="21993CAD"/>
    <w:rsid w:val="219A6B87"/>
    <w:rsid w:val="219B71B0"/>
    <w:rsid w:val="219B7726"/>
    <w:rsid w:val="219B78EA"/>
    <w:rsid w:val="219C02C4"/>
    <w:rsid w:val="219C4C32"/>
    <w:rsid w:val="219D0C9F"/>
    <w:rsid w:val="219D26B3"/>
    <w:rsid w:val="219D5F36"/>
    <w:rsid w:val="219D6374"/>
    <w:rsid w:val="219E1A02"/>
    <w:rsid w:val="219E39B8"/>
    <w:rsid w:val="219F5BB6"/>
    <w:rsid w:val="21A03638"/>
    <w:rsid w:val="21A04AB9"/>
    <w:rsid w:val="21A06EBB"/>
    <w:rsid w:val="21A110B9"/>
    <w:rsid w:val="21A13B19"/>
    <w:rsid w:val="21A1493D"/>
    <w:rsid w:val="21A25092"/>
    <w:rsid w:val="21A26B3B"/>
    <w:rsid w:val="21A35A6C"/>
    <w:rsid w:val="21A37E40"/>
    <w:rsid w:val="21A4259C"/>
    <w:rsid w:val="21A458C1"/>
    <w:rsid w:val="21A52231"/>
    <w:rsid w:val="21A57AC0"/>
    <w:rsid w:val="21A60A43"/>
    <w:rsid w:val="21A62FC3"/>
    <w:rsid w:val="21A65541"/>
    <w:rsid w:val="21A70722"/>
    <w:rsid w:val="21A76846"/>
    <w:rsid w:val="21A842C7"/>
    <w:rsid w:val="21A864C6"/>
    <w:rsid w:val="21A93F47"/>
    <w:rsid w:val="21AA19C9"/>
    <w:rsid w:val="21AA283A"/>
    <w:rsid w:val="21AB3214"/>
    <w:rsid w:val="21AB524C"/>
    <w:rsid w:val="21AC3BEE"/>
    <w:rsid w:val="21AC4ECC"/>
    <w:rsid w:val="21AC54A9"/>
    <w:rsid w:val="21AD074F"/>
    <w:rsid w:val="21AD294D"/>
    <w:rsid w:val="21AD61D1"/>
    <w:rsid w:val="21AE03CF"/>
    <w:rsid w:val="21AE3C52"/>
    <w:rsid w:val="21AF16D4"/>
    <w:rsid w:val="21AF5E51"/>
    <w:rsid w:val="21B02F8D"/>
    <w:rsid w:val="21B07155"/>
    <w:rsid w:val="21B14BD7"/>
    <w:rsid w:val="21B20B81"/>
    <w:rsid w:val="21B300DA"/>
    <w:rsid w:val="21B52994"/>
    <w:rsid w:val="21B52B49"/>
    <w:rsid w:val="21B6105F"/>
    <w:rsid w:val="21B657DB"/>
    <w:rsid w:val="21B7325D"/>
    <w:rsid w:val="21B76AE0"/>
    <w:rsid w:val="21B84562"/>
    <w:rsid w:val="21B84BEB"/>
    <w:rsid w:val="21B955C6"/>
    <w:rsid w:val="21BA41E2"/>
    <w:rsid w:val="21BA7A65"/>
    <w:rsid w:val="21BB1C63"/>
    <w:rsid w:val="21BC76E5"/>
    <w:rsid w:val="21BD09EA"/>
    <w:rsid w:val="21BE0669"/>
    <w:rsid w:val="21BE0E1A"/>
    <w:rsid w:val="21BE2BE8"/>
    <w:rsid w:val="21BF17F5"/>
    <w:rsid w:val="21BF2393"/>
    <w:rsid w:val="21C02F32"/>
    <w:rsid w:val="21C244AB"/>
    <w:rsid w:val="21C24E71"/>
    <w:rsid w:val="21C27070"/>
    <w:rsid w:val="21C328F3"/>
    <w:rsid w:val="21C34AF1"/>
    <w:rsid w:val="21C34E85"/>
    <w:rsid w:val="21C354DC"/>
    <w:rsid w:val="21C40374"/>
    <w:rsid w:val="21C55DF6"/>
    <w:rsid w:val="21C57FF4"/>
    <w:rsid w:val="21C6111D"/>
    <w:rsid w:val="21C612F9"/>
    <w:rsid w:val="21C65A76"/>
    <w:rsid w:val="21C734F7"/>
    <w:rsid w:val="21C75CD2"/>
    <w:rsid w:val="21C76D7B"/>
    <w:rsid w:val="21C77D00"/>
    <w:rsid w:val="21C80F79"/>
    <w:rsid w:val="21C847FC"/>
    <w:rsid w:val="21C9227E"/>
    <w:rsid w:val="21CA7CFF"/>
    <w:rsid w:val="21CB3390"/>
    <w:rsid w:val="21CC3D6A"/>
    <w:rsid w:val="21CC797F"/>
    <w:rsid w:val="21CD0C84"/>
    <w:rsid w:val="21CD5401"/>
    <w:rsid w:val="21CE2E82"/>
    <w:rsid w:val="21CF4187"/>
    <w:rsid w:val="21D01C09"/>
    <w:rsid w:val="21D03C92"/>
    <w:rsid w:val="21D06385"/>
    <w:rsid w:val="21D13E07"/>
    <w:rsid w:val="21D1768A"/>
    <w:rsid w:val="21D20555"/>
    <w:rsid w:val="21D21888"/>
    <w:rsid w:val="21D2510C"/>
    <w:rsid w:val="21D270C2"/>
    <w:rsid w:val="21D27DD5"/>
    <w:rsid w:val="21D32B8D"/>
    <w:rsid w:val="21D36836"/>
    <w:rsid w:val="21D4060F"/>
    <w:rsid w:val="21D56090"/>
    <w:rsid w:val="21D6028F"/>
    <w:rsid w:val="21D63B12"/>
    <w:rsid w:val="21D65D10"/>
    <w:rsid w:val="21D71593"/>
    <w:rsid w:val="21D7362A"/>
    <w:rsid w:val="21D73792"/>
    <w:rsid w:val="21D841C9"/>
    <w:rsid w:val="21D94A96"/>
    <w:rsid w:val="21D94BA3"/>
    <w:rsid w:val="21DA2518"/>
    <w:rsid w:val="21DB1A71"/>
    <w:rsid w:val="21DB2198"/>
    <w:rsid w:val="21DB6CBA"/>
    <w:rsid w:val="21DB7F9A"/>
    <w:rsid w:val="21DC5A1B"/>
    <w:rsid w:val="21DC7C19"/>
    <w:rsid w:val="21DD03F8"/>
    <w:rsid w:val="21DD349D"/>
    <w:rsid w:val="21DD569B"/>
    <w:rsid w:val="21DE318A"/>
    <w:rsid w:val="21DE69A0"/>
    <w:rsid w:val="21DF4421"/>
    <w:rsid w:val="21E0264C"/>
    <w:rsid w:val="21E02801"/>
    <w:rsid w:val="21E06620"/>
    <w:rsid w:val="21E17924"/>
    <w:rsid w:val="21E238C4"/>
    <w:rsid w:val="21E253A6"/>
    <w:rsid w:val="21E408A9"/>
    <w:rsid w:val="21E45026"/>
    <w:rsid w:val="21E55BA0"/>
    <w:rsid w:val="21E60529"/>
    <w:rsid w:val="21E6657A"/>
    <w:rsid w:val="21E6673E"/>
    <w:rsid w:val="21E75FAA"/>
    <w:rsid w:val="21E76F54"/>
    <w:rsid w:val="21E77CB7"/>
    <w:rsid w:val="21E872AF"/>
    <w:rsid w:val="21E91230"/>
    <w:rsid w:val="21EA27B2"/>
    <w:rsid w:val="21EA6F2F"/>
    <w:rsid w:val="21EC5CB5"/>
    <w:rsid w:val="21ED3737"/>
    <w:rsid w:val="21EE4E29"/>
    <w:rsid w:val="21EF5B80"/>
    <w:rsid w:val="21EF6C3A"/>
    <w:rsid w:val="21F16814"/>
    <w:rsid w:val="21F35640"/>
    <w:rsid w:val="21F430C2"/>
    <w:rsid w:val="21F50B43"/>
    <w:rsid w:val="21F64047"/>
    <w:rsid w:val="21F71AC8"/>
    <w:rsid w:val="21F94FCB"/>
    <w:rsid w:val="21F96E93"/>
    <w:rsid w:val="21FB04CE"/>
    <w:rsid w:val="21FC01FD"/>
    <w:rsid w:val="21FC61B9"/>
    <w:rsid w:val="21FC77BC"/>
    <w:rsid w:val="21FD7606"/>
    <w:rsid w:val="21FE66A4"/>
    <w:rsid w:val="21FF0F4E"/>
    <w:rsid w:val="21FF6ED4"/>
    <w:rsid w:val="22012302"/>
    <w:rsid w:val="2203115E"/>
    <w:rsid w:val="220358DB"/>
    <w:rsid w:val="2204335C"/>
    <w:rsid w:val="22050DDE"/>
    <w:rsid w:val="22055993"/>
    <w:rsid w:val="220620E3"/>
    <w:rsid w:val="220650F2"/>
    <w:rsid w:val="22066531"/>
    <w:rsid w:val="220666F6"/>
    <w:rsid w:val="2206685F"/>
    <w:rsid w:val="220742E1"/>
    <w:rsid w:val="22077B64"/>
    <w:rsid w:val="220855E6"/>
    <w:rsid w:val="2209080D"/>
    <w:rsid w:val="220A0AE9"/>
    <w:rsid w:val="220A5266"/>
    <w:rsid w:val="220B1F99"/>
    <w:rsid w:val="220B2CE7"/>
    <w:rsid w:val="220C0769"/>
    <w:rsid w:val="220C3FEC"/>
    <w:rsid w:val="220D1A6D"/>
    <w:rsid w:val="220E16ED"/>
    <w:rsid w:val="220E3C6C"/>
    <w:rsid w:val="220F716F"/>
    <w:rsid w:val="221029F2"/>
    <w:rsid w:val="2210316A"/>
    <w:rsid w:val="22104BF0"/>
    <w:rsid w:val="22110474"/>
    <w:rsid w:val="2212752E"/>
    <w:rsid w:val="22135B75"/>
    <w:rsid w:val="22137F08"/>
    <w:rsid w:val="221435F7"/>
    <w:rsid w:val="22151078"/>
    <w:rsid w:val="221648FB"/>
    <w:rsid w:val="221729FA"/>
    <w:rsid w:val="2217457B"/>
    <w:rsid w:val="22177DFE"/>
    <w:rsid w:val="22185880"/>
    <w:rsid w:val="22193302"/>
    <w:rsid w:val="221A0D83"/>
    <w:rsid w:val="221A34A8"/>
    <w:rsid w:val="221A3B7F"/>
    <w:rsid w:val="221A5500"/>
    <w:rsid w:val="221B2F81"/>
    <w:rsid w:val="221B56B0"/>
    <w:rsid w:val="221B6805"/>
    <w:rsid w:val="221C2372"/>
    <w:rsid w:val="221D1D08"/>
    <w:rsid w:val="221D6484"/>
    <w:rsid w:val="221D6C29"/>
    <w:rsid w:val="221E0366"/>
    <w:rsid w:val="221E7789"/>
    <w:rsid w:val="22202C8C"/>
    <w:rsid w:val="22207409"/>
    <w:rsid w:val="2221070E"/>
    <w:rsid w:val="222122BA"/>
    <w:rsid w:val="22214E8B"/>
    <w:rsid w:val="2222290C"/>
    <w:rsid w:val="22222E58"/>
    <w:rsid w:val="2222301D"/>
    <w:rsid w:val="22226190"/>
    <w:rsid w:val="2223038E"/>
    <w:rsid w:val="22241693"/>
    <w:rsid w:val="22254F70"/>
    <w:rsid w:val="22257114"/>
    <w:rsid w:val="222608A0"/>
    <w:rsid w:val="22261312"/>
    <w:rsid w:val="22272617"/>
    <w:rsid w:val="22274816"/>
    <w:rsid w:val="22276D94"/>
    <w:rsid w:val="22280099"/>
    <w:rsid w:val="22295B1A"/>
    <w:rsid w:val="222A359C"/>
    <w:rsid w:val="222A579A"/>
    <w:rsid w:val="222B321C"/>
    <w:rsid w:val="222B51BB"/>
    <w:rsid w:val="222C0C9D"/>
    <w:rsid w:val="222C1B79"/>
    <w:rsid w:val="222C2718"/>
    <w:rsid w:val="222D32B6"/>
    <w:rsid w:val="222D671F"/>
    <w:rsid w:val="222D79CD"/>
    <w:rsid w:val="222E41A0"/>
    <w:rsid w:val="222F7A24"/>
    <w:rsid w:val="22302F27"/>
    <w:rsid w:val="223076A3"/>
    <w:rsid w:val="22315DA8"/>
    <w:rsid w:val="22315F6D"/>
    <w:rsid w:val="22340084"/>
    <w:rsid w:val="2234192D"/>
    <w:rsid w:val="223460AA"/>
    <w:rsid w:val="22351DE9"/>
    <w:rsid w:val="22360EA4"/>
    <w:rsid w:val="22364E30"/>
    <w:rsid w:val="2237702E"/>
    <w:rsid w:val="22384AB0"/>
    <w:rsid w:val="22392531"/>
    <w:rsid w:val="22393715"/>
    <w:rsid w:val="223A3836"/>
    <w:rsid w:val="223A4C8D"/>
    <w:rsid w:val="223B12B8"/>
    <w:rsid w:val="223B5668"/>
    <w:rsid w:val="223C6D39"/>
    <w:rsid w:val="223D0F38"/>
    <w:rsid w:val="223D47BB"/>
    <w:rsid w:val="223E69B9"/>
    <w:rsid w:val="223F1EBC"/>
    <w:rsid w:val="22400EBD"/>
    <w:rsid w:val="22405740"/>
    <w:rsid w:val="22411897"/>
    <w:rsid w:val="224131C1"/>
    <w:rsid w:val="22422E41"/>
    <w:rsid w:val="224308C2"/>
    <w:rsid w:val="22432FD4"/>
    <w:rsid w:val="22443B73"/>
    <w:rsid w:val="22443D57"/>
    <w:rsid w:val="22444146"/>
    <w:rsid w:val="22461847"/>
    <w:rsid w:val="22464F27"/>
    <w:rsid w:val="224650EC"/>
    <w:rsid w:val="22467649"/>
    <w:rsid w:val="22471607"/>
    <w:rsid w:val="22472B4C"/>
    <w:rsid w:val="224805CD"/>
    <w:rsid w:val="224927CC"/>
    <w:rsid w:val="22497BDD"/>
    <w:rsid w:val="224B131B"/>
    <w:rsid w:val="224C154B"/>
    <w:rsid w:val="224C3750"/>
    <w:rsid w:val="224D11D2"/>
    <w:rsid w:val="224D4A55"/>
    <w:rsid w:val="224E24D7"/>
    <w:rsid w:val="224E326E"/>
    <w:rsid w:val="224F46D5"/>
    <w:rsid w:val="224F7C90"/>
    <w:rsid w:val="224F7F58"/>
    <w:rsid w:val="225047E7"/>
    <w:rsid w:val="225059DA"/>
    <w:rsid w:val="22535E5E"/>
    <w:rsid w:val="2253695F"/>
    <w:rsid w:val="2255750B"/>
    <w:rsid w:val="225615B4"/>
    <w:rsid w:val="225678E3"/>
    <w:rsid w:val="22572153"/>
    <w:rsid w:val="22576990"/>
    <w:rsid w:val="22590868"/>
    <w:rsid w:val="225936CC"/>
    <w:rsid w:val="225A426B"/>
    <w:rsid w:val="225A62E9"/>
    <w:rsid w:val="225B3D6B"/>
    <w:rsid w:val="225C17EC"/>
    <w:rsid w:val="225D56AD"/>
    <w:rsid w:val="225E4CF0"/>
    <w:rsid w:val="225F01F3"/>
    <w:rsid w:val="225F2771"/>
    <w:rsid w:val="22605C74"/>
    <w:rsid w:val="22621177"/>
    <w:rsid w:val="226225B1"/>
    <w:rsid w:val="226323ED"/>
    <w:rsid w:val="2264467A"/>
    <w:rsid w:val="22646256"/>
    <w:rsid w:val="2264640B"/>
    <w:rsid w:val="226520FC"/>
    <w:rsid w:val="226546C9"/>
    <w:rsid w:val="226650A3"/>
    <w:rsid w:val="22667B7E"/>
    <w:rsid w:val="226755FF"/>
    <w:rsid w:val="22675A7D"/>
    <w:rsid w:val="22694385"/>
    <w:rsid w:val="226A1E07"/>
    <w:rsid w:val="226A7D59"/>
    <w:rsid w:val="226C110E"/>
    <w:rsid w:val="226C1A87"/>
    <w:rsid w:val="226D1CAC"/>
    <w:rsid w:val="226D1E71"/>
    <w:rsid w:val="226D2D8C"/>
    <w:rsid w:val="226F2A0B"/>
    <w:rsid w:val="226F628F"/>
    <w:rsid w:val="2270048D"/>
    <w:rsid w:val="22711995"/>
    <w:rsid w:val="22723990"/>
    <w:rsid w:val="22727213"/>
    <w:rsid w:val="22730512"/>
    <w:rsid w:val="22731412"/>
    <w:rsid w:val="22734C95"/>
    <w:rsid w:val="22742716"/>
    <w:rsid w:val="22747454"/>
    <w:rsid w:val="22747619"/>
    <w:rsid w:val="22754915"/>
    <w:rsid w:val="22760B92"/>
    <w:rsid w:val="22762396"/>
    <w:rsid w:val="22765C1A"/>
    <w:rsid w:val="22775899"/>
    <w:rsid w:val="22777E18"/>
    <w:rsid w:val="2278111D"/>
    <w:rsid w:val="2278331B"/>
    <w:rsid w:val="2279434C"/>
    <w:rsid w:val="22796B9E"/>
    <w:rsid w:val="227A4620"/>
    <w:rsid w:val="227A681E"/>
    <w:rsid w:val="227C1D21"/>
    <w:rsid w:val="227C7B23"/>
    <w:rsid w:val="227D579B"/>
    <w:rsid w:val="227D77A3"/>
    <w:rsid w:val="227E3026"/>
    <w:rsid w:val="227E633A"/>
    <w:rsid w:val="227E6ED8"/>
    <w:rsid w:val="227E704A"/>
    <w:rsid w:val="227F2CA6"/>
    <w:rsid w:val="227F528A"/>
    <w:rsid w:val="22803FAB"/>
    <w:rsid w:val="22810FF0"/>
    <w:rsid w:val="2281305A"/>
    <w:rsid w:val="228161A9"/>
    <w:rsid w:val="22823C2A"/>
    <w:rsid w:val="22826AA7"/>
    <w:rsid w:val="228274AE"/>
    <w:rsid w:val="228323A4"/>
    <w:rsid w:val="22832569"/>
    <w:rsid w:val="22834F2F"/>
    <w:rsid w:val="2284712E"/>
    <w:rsid w:val="22850432"/>
    <w:rsid w:val="22862631"/>
    <w:rsid w:val="228700B2"/>
    <w:rsid w:val="228813B7"/>
    <w:rsid w:val="22885B34"/>
    <w:rsid w:val="22896798"/>
    <w:rsid w:val="22896E39"/>
    <w:rsid w:val="228A48BA"/>
    <w:rsid w:val="228A7172"/>
    <w:rsid w:val="228B233C"/>
    <w:rsid w:val="228B7B4C"/>
    <w:rsid w:val="228B7D11"/>
    <w:rsid w:val="228C7DBD"/>
    <w:rsid w:val="228D1FBC"/>
    <w:rsid w:val="228D7391"/>
    <w:rsid w:val="228E65E4"/>
    <w:rsid w:val="228E6AB8"/>
    <w:rsid w:val="228E6CBA"/>
    <w:rsid w:val="228E7026"/>
    <w:rsid w:val="228F0D42"/>
    <w:rsid w:val="228F5837"/>
    <w:rsid w:val="228F5BA2"/>
    <w:rsid w:val="22916443"/>
    <w:rsid w:val="22921CC7"/>
    <w:rsid w:val="22931946"/>
    <w:rsid w:val="22937748"/>
    <w:rsid w:val="229451CA"/>
    <w:rsid w:val="22952C4B"/>
    <w:rsid w:val="22954E49"/>
    <w:rsid w:val="2295740C"/>
    <w:rsid w:val="229606CD"/>
    <w:rsid w:val="22967FAA"/>
    <w:rsid w:val="229816E8"/>
    <w:rsid w:val="229920C2"/>
    <w:rsid w:val="22992C61"/>
    <w:rsid w:val="22993850"/>
    <w:rsid w:val="22995058"/>
    <w:rsid w:val="229A4B54"/>
    <w:rsid w:val="229B25D6"/>
    <w:rsid w:val="229B6D53"/>
    <w:rsid w:val="229C0058"/>
    <w:rsid w:val="229C09CA"/>
    <w:rsid w:val="229C112C"/>
    <w:rsid w:val="229C47D4"/>
    <w:rsid w:val="229D2256"/>
    <w:rsid w:val="229D5752"/>
    <w:rsid w:val="229D5AD9"/>
    <w:rsid w:val="229E0014"/>
    <w:rsid w:val="229F0FDC"/>
    <w:rsid w:val="229F48D3"/>
    <w:rsid w:val="229F5759"/>
    <w:rsid w:val="229F6E90"/>
    <w:rsid w:val="22A0786A"/>
    <w:rsid w:val="22A07A2E"/>
    <w:rsid w:val="22A10409"/>
    <w:rsid w:val="22A10C5C"/>
    <w:rsid w:val="22A21F61"/>
    <w:rsid w:val="22A379E2"/>
    <w:rsid w:val="22A45464"/>
    <w:rsid w:val="22A52EE6"/>
    <w:rsid w:val="22A63A99"/>
    <w:rsid w:val="22A650E4"/>
    <w:rsid w:val="22A74638"/>
    <w:rsid w:val="22A918EC"/>
    <w:rsid w:val="22A9674F"/>
    <w:rsid w:val="22AA156C"/>
    <w:rsid w:val="22AA736D"/>
    <w:rsid w:val="22AB4DEF"/>
    <w:rsid w:val="22AB6FED"/>
    <w:rsid w:val="22AC06A2"/>
    <w:rsid w:val="22AC2870"/>
    <w:rsid w:val="22AC2B5D"/>
    <w:rsid w:val="22AD02F2"/>
    <w:rsid w:val="22AD188F"/>
    <w:rsid w:val="22AD1BFA"/>
    <w:rsid w:val="22AE5D73"/>
    <w:rsid w:val="22AE7F72"/>
    <w:rsid w:val="22AF37F5"/>
    <w:rsid w:val="22B03359"/>
    <w:rsid w:val="22B03475"/>
    <w:rsid w:val="22B06CF8"/>
    <w:rsid w:val="22B10EF6"/>
    <w:rsid w:val="22B221FB"/>
    <w:rsid w:val="22B26978"/>
    <w:rsid w:val="22B35470"/>
    <w:rsid w:val="22B41E7B"/>
    <w:rsid w:val="22B456FE"/>
    <w:rsid w:val="22B4600F"/>
    <w:rsid w:val="22B578FD"/>
    <w:rsid w:val="22B60901"/>
    <w:rsid w:val="22B6537E"/>
    <w:rsid w:val="22B67F62"/>
    <w:rsid w:val="22B91B86"/>
    <w:rsid w:val="22B95BC6"/>
    <w:rsid w:val="22B96607"/>
    <w:rsid w:val="22BA4FCF"/>
    <w:rsid w:val="22BA7608"/>
    <w:rsid w:val="22BB548D"/>
    <w:rsid w:val="22BD058C"/>
    <w:rsid w:val="22BF3A8F"/>
    <w:rsid w:val="22C01511"/>
    <w:rsid w:val="22C16F92"/>
    <w:rsid w:val="22C24A14"/>
    <w:rsid w:val="22C30D9A"/>
    <w:rsid w:val="22C53076"/>
    <w:rsid w:val="22C55999"/>
    <w:rsid w:val="22C6341A"/>
    <w:rsid w:val="22C70E9C"/>
    <w:rsid w:val="22C8439F"/>
    <w:rsid w:val="22C8691D"/>
    <w:rsid w:val="22C91E20"/>
    <w:rsid w:val="22C95B68"/>
    <w:rsid w:val="22C95D2C"/>
    <w:rsid w:val="22C96D6A"/>
    <w:rsid w:val="22CA6849"/>
    <w:rsid w:val="22CA78A2"/>
    <w:rsid w:val="22CB5324"/>
    <w:rsid w:val="22CD081E"/>
    <w:rsid w:val="22CD0827"/>
    <w:rsid w:val="22CF3D2A"/>
    <w:rsid w:val="22D017AB"/>
    <w:rsid w:val="22D02936"/>
    <w:rsid w:val="22D034D4"/>
    <w:rsid w:val="22D0502F"/>
    <w:rsid w:val="22D12AB0"/>
    <w:rsid w:val="22D1722D"/>
    <w:rsid w:val="22D20532"/>
    <w:rsid w:val="22D24CAE"/>
    <w:rsid w:val="22D401B1"/>
    <w:rsid w:val="22D636B5"/>
    <w:rsid w:val="22D66F38"/>
    <w:rsid w:val="22D71136"/>
    <w:rsid w:val="22D80C7C"/>
    <w:rsid w:val="22D8243B"/>
    <w:rsid w:val="22D94639"/>
    <w:rsid w:val="22D97EBC"/>
    <w:rsid w:val="22DA20BB"/>
    <w:rsid w:val="22DA593E"/>
    <w:rsid w:val="22DB33C0"/>
    <w:rsid w:val="22DD32B4"/>
    <w:rsid w:val="22DD4148"/>
    <w:rsid w:val="22DE4C21"/>
    <w:rsid w:val="22DE5886"/>
    <w:rsid w:val="22DF1DC6"/>
    <w:rsid w:val="22E01A46"/>
    <w:rsid w:val="22E06DFF"/>
    <w:rsid w:val="22E12601"/>
    <w:rsid w:val="22E152C9"/>
    <w:rsid w:val="22E174C7"/>
    <w:rsid w:val="22E1799D"/>
    <w:rsid w:val="22E22D4A"/>
    <w:rsid w:val="22E24F49"/>
    <w:rsid w:val="22E307CC"/>
    <w:rsid w:val="22E329CA"/>
    <w:rsid w:val="22E418F0"/>
    <w:rsid w:val="22E5248F"/>
    <w:rsid w:val="22E6364E"/>
    <w:rsid w:val="22E64245"/>
    <w:rsid w:val="22E643FB"/>
    <w:rsid w:val="22E72A57"/>
    <w:rsid w:val="22E73498"/>
    <w:rsid w:val="22E826D5"/>
    <w:rsid w:val="22E84C54"/>
    <w:rsid w:val="22E85DAF"/>
    <w:rsid w:val="22EA2355"/>
    <w:rsid w:val="22EB66BE"/>
    <w:rsid w:val="22EB7DD7"/>
    <w:rsid w:val="22EC03E0"/>
    <w:rsid w:val="22EC5858"/>
    <w:rsid w:val="22EC725D"/>
    <w:rsid w:val="22EC7DFB"/>
    <w:rsid w:val="22ED32DA"/>
    <w:rsid w:val="22EE0D5B"/>
    <w:rsid w:val="22EE1374"/>
    <w:rsid w:val="22EE45DF"/>
    <w:rsid w:val="22EF1D4E"/>
    <w:rsid w:val="22EF67DD"/>
    <w:rsid w:val="22F028ED"/>
    <w:rsid w:val="22F0425E"/>
    <w:rsid w:val="22F15563"/>
    <w:rsid w:val="22F34840"/>
    <w:rsid w:val="22F34A05"/>
    <w:rsid w:val="22F37619"/>
    <w:rsid w:val="22F464E8"/>
    <w:rsid w:val="22F47480"/>
    <w:rsid w:val="22F506E6"/>
    <w:rsid w:val="22F53F69"/>
    <w:rsid w:val="22F619EB"/>
    <w:rsid w:val="22F66168"/>
    <w:rsid w:val="22F80095"/>
    <w:rsid w:val="22F8166B"/>
    <w:rsid w:val="22F870EC"/>
    <w:rsid w:val="22F917D2"/>
    <w:rsid w:val="22F92970"/>
    <w:rsid w:val="22FA4903"/>
    <w:rsid w:val="22FC38F4"/>
    <w:rsid w:val="22FD1376"/>
    <w:rsid w:val="22FD3574"/>
    <w:rsid w:val="22FD42C4"/>
    <w:rsid w:val="22FE0FF6"/>
    <w:rsid w:val="22FE6DF7"/>
    <w:rsid w:val="22FF4879"/>
    <w:rsid w:val="22FF6A77"/>
    <w:rsid w:val="230022FA"/>
    <w:rsid w:val="23011F7A"/>
    <w:rsid w:val="23016DB6"/>
    <w:rsid w:val="23016F7A"/>
    <w:rsid w:val="2302156A"/>
    <w:rsid w:val="23027955"/>
    <w:rsid w:val="230304F3"/>
    <w:rsid w:val="23030D01"/>
    <w:rsid w:val="23040ECE"/>
    <w:rsid w:val="23042EFF"/>
    <w:rsid w:val="23050980"/>
    <w:rsid w:val="23051A6C"/>
    <w:rsid w:val="23054204"/>
    <w:rsid w:val="23062446"/>
    <w:rsid w:val="23073E84"/>
    <w:rsid w:val="23084722"/>
    <w:rsid w:val="23085188"/>
    <w:rsid w:val="23092C0A"/>
    <w:rsid w:val="230A068C"/>
    <w:rsid w:val="230A4E08"/>
    <w:rsid w:val="230A5AD7"/>
    <w:rsid w:val="230B1F5E"/>
    <w:rsid w:val="230B288A"/>
    <w:rsid w:val="230C030B"/>
    <w:rsid w:val="230D1610"/>
    <w:rsid w:val="230D5D8D"/>
    <w:rsid w:val="230D7DB3"/>
    <w:rsid w:val="230E380E"/>
    <w:rsid w:val="230E7092"/>
    <w:rsid w:val="230F1290"/>
    <w:rsid w:val="230F4B13"/>
    <w:rsid w:val="23102595"/>
    <w:rsid w:val="23106D12"/>
    <w:rsid w:val="23112215"/>
    <w:rsid w:val="23113306"/>
    <w:rsid w:val="23114793"/>
    <w:rsid w:val="2312327F"/>
    <w:rsid w:val="23125A98"/>
    <w:rsid w:val="23127C96"/>
    <w:rsid w:val="23133FE2"/>
    <w:rsid w:val="23135718"/>
    <w:rsid w:val="23143199"/>
    <w:rsid w:val="23150C1B"/>
    <w:rsid w:val="2315326E"/>
    <w:rsid w:val="23156A1D"/>
    <w:rsid w:val="2316669C"/>
    <w:rsid w:val="23181B9F"/>
    <w:rsid w:val="231879A1"/>
    <w:rsid w:val="23190A27"/>
    <w:rsid w:val="23197621"/>
    <w:rsid w:val="231A0926"/>
    <w:rsid w:val="231B2B24"/>
    <w:rsid w:val="231C3E29"/>
    <w:rsid w:val="231D18AB"/>
    <w:rsid w:val="231D38A1"/>
    <w:rsid w:val="231E732C"/>
    <w:rsid w:val="231F6524"/>
    <w:rsid w:val="2320282F"/>
    <w:rsid w:val="232304AB"/>
    <w:rsid w:val="2323790C"/>
    <w:rsid w:val="23240E85"/>
    <w:rsid w:val="23241235"/>
    <w:rsid w:val="23251A24"/>
    <w:rsid w:val="23266A73"/>
    <w:rsid w:val="232956BD"/>
    <w:rsid w:val="232A50B4"/>
    <w:rsid w:val="232B0BC0"/>
    <w:rsid w:val="232B5C53"/>
    <w:rsid w:val="232C6642"/>
    <w:rsid w:val="232E1B45"/>
    <w:rsid w:val="232F735E"/>
    <w:rsid w:val="23305048"/>
    <w:rsid w:val="2331054B"/>
    <w:rsid w:val="23311CBD"/>
    <w:rsid w:val="23311E82"/>
    <w:rsid w:val="2331285C"/>
    <w:rsid w:val="23312AC9"/>
    <w:rsid w:val="233233FB"/>
    <w:rsid w:val="23333F99"/>
    <w:rsid w:val="23344B38"/>
    <w:rsid w:val="2335534E"/>
    <w:rsid w:val="233649D3"/>
    <w:rsid w:val="23370256"/>
    <w:rsid w:val="23372454"/>
    <w:rsid w:val="23385CD8"/>
    <w:rsid w:val="23387ED6"/>
    <w:rsid w:val="233901C8"/>
    <w:rsid w:val="233911DB"/>
    <w:rsid w:val="233A33D9"/>
    <w:rsid w:val="233A6C5C"/>
    <w:rsid w:val="233C215F"/>
    <w:rsid w:val="233C68DC"/>
    <w:rsid w:val="233D435E"/>
    <w:rsid w:val="233D7BE1"/>
    <w:rsid w:val="233E0D32"/>
    <w:rsid w:val="233E0D75"/>
    <w:rsid w:val="233E12AF"/>
    <w:rsid w:val="233F7861"/>
    <w:rsid w:val="23405970"/>
    <w:rsid w:val="2341634B"/>
    <w:rsid w:val="234165E7"/>
    <w:rsid w:val="234207E5"/>
    <w:rsid w:val="23424069"/>
    <w:rsid w:val="23431AEA"/>
    <w:rsid w:val="23437A88"/>
    <w:rsid w:val="23443CE8"/>
    <w:rsid w:val="2344756C"/>
    <w:rsid w:val="23450E3C"/>
    <w:rsid w:val="23461B9F"/>
    <w:rsid w:val="2347257A"/>
    <w:rsid w:val="23474C6D"/>
    <w:rsid w:val="234826EF"/>
    <w:rsid w:val="23482F54"/>
    <w:rsid w:val="23485F72"/>
    <w:rsid w:val="234939F4"/>
    <w:rsid w:val="23495BF2"/>
    <w:rsid w:val="234A1475"/>
    <w:rsid w:val="234A3673"/>
    <w:rsid w:val="234B10F5"/>
    <w:rsid w:val="234B506B"/>
    <w:rsid w:val="234B6EF7"/>
    <w:rsid w:val="234D23FA"/>
    <w:rsid w:val="234D304A"/>
    <w:rsid w:val="234D33B5"/>
    <w:rsid w:val="234D45F8"/>
    <w:rsid w:val="234D7347"/>
    <w:rsid w:val="234F7AFB"/>
    <w:rsid w:val="2350145F"/>
    <w:rsid w:val="2350337E"/>
    <w:rsid w:val="2350557D"/>
    <w:rsid w:val="235063D0"/>
    <w:rsid w:val="23512FFE"/>
    <w:rsid w:val="23516881"/>
    <w:rsid w:val="23520A80"/>
    <w:rsid w:val="23524303"/>
    <w:rsid w:val="23531D85"/>
    <w:rsid w:val="23536501"/>
    <w:rsid w:val="23543D8C"/>
    <w:rsid w:val="23543F83"/>
    <w:rsid w:val="2355492B"/>
    <w:rsid w:val="23555288"/>
    <w:rsid w:val="23562D09"/>
    <w:rsid w:val="23574571"/>
    <w:rsid w:val="23574F07"/>
    <w:rsid w:val="2358620C"/>
    <w:rsid w:val="2359040B"/>
    <w:rsid w:val="23593C8E"/>
    <w:rsid w:val="23597A57"/>
    <w:rsid w:val="235A170F"/>
    <w:rsid w:val="235A5E8C"/>
    <w:rsid w:val="235A7381"/>
    <w:rsid w:val="235A7FBB"/>
    <w:rsid w:val="235B0B5A"/>
    <w:rsid w:val="235B16F9"/>
    <w:rsid w:val="235B390E"/>
    <w:rsid w:val="235B6269"/>
    <w:rsid w:val="235C138F"/>
    <w:rsid w:val="235C4C12"/>
    <w:rsid w:val="235D2C72"/>
    <w:rsid w:val="235D6E11"/>
    <w:rsid w:val="235E3810"/>
    <w:rsid w:val="235F2314"/>
    <w:rsid w:val="235F3C0C"/>
    <w:rsid w:val="23603619"/>
    <w:rsid w:val="23607D95"/>
    <w:rsid w:val="2361109A"/>
    <w:rsid w:val="23613299"/>
    <w:rsid w:val="23615817"/>
    <w:rsid w:val="23615928"/>
    <w:rsid w:val="23626302"/>
    <w:rsid w:val="23626B1C"/>
    <w:rsid w:val="2363459D"/>
    <w:rsid w:val="2363679C"/>
    <w:rsid w:val="2364201F"/>
    <w:rsid w:val="23647A3F"/>
    <w:rsid w:val="23651C9F"/>
    <w:rsid w:val="23660FB8"/>
    <w:rsid w:val="23667720"/>
    <w:rsid w:val="23672FA4"/>
    <w:rsid w:val="236751A2"/>
    <w:rsid w:val="23680A25"/>
    <w:rsid w:val="23682C23"/>
    <w:rsid w:val="236906A5"/>
    <w:rsid w:val="23690A46"/>
    <w:rsid w:val="23693C6E"/>
    <w:rsid w:val="236964A7"/>
    <w:rsid w:val="236B3BA8"/>
    <w:rsid w:val="236B51E7"/>
    <w:rsid w:val="236B742B"/>
    <w:rsid w:val="236C162A"/>
    <w:rsid w:val="236C5D86"/>
    <w:rsid w:val="236D292E"/>
    <w:rsid w:val="236D70AB"/>
    <w:rsid w:val="236E03B0"/>
    <w:rsid w:val="236E2B22"/>
    <w:rsid w:val="236E4B2D"/>
    <w:rsid w:val="23700030"/>
    <w:rsid w:val="23711252"/>
    <w:rsid w:val="23715AB1"/>
    <w:rsid w:val="23726DB6"/>
    <w:rsid w:val="237327CB"/>
    <w:rsid w:val="23746A36"/>
    <w:rsid w:val="23776020"/>
    <w:rsid w:val="237779BB"/>
    <w:rsid w:val="23780CBF"/>
    <w:rsid w:val="23782D02"/>
    <w:rsid w:val="23792EBE"/>
    <w:rsid w:val="237C10C0"/>
    <w:rsid w:val="237C18C4"/>
    <w:rsid w:val="237D7345"/>
    <w:rsid w:val="237E2BC9"/>
    <w:rsid w:val="237E4DC7"/>
    <w:rsid w:val="237F064A"/>
    <w:rsid w:val="237F2849"/>
    <w:rsid w:val="238002CA"/>
    <w:rsid w:val="23804366"/>
    <w:rsid w:val="238060CC"/>
    <w:rsid w:val="23813B4D"/>
    <w:rsid w:val="23814D41"/>
    <w:rsid w:val="238237CD"/>
    <w:rsid w:val="23827050"/>
    <w:rsid w:val="23834AD2"/>
    <w:rsid w:val="23846E58"/>
    <w:rsid w:val="23850595"/>
    <w:rsid w:val="23857832"/>
    <w:rsid w:val="23857FD5"/>
    <w:rsid w:val="238734D8"/>
    <w:rsid w:val="238743C7"/>
    <w:rsid w:val="238824E9"/>
    <w:rsid w:val="238826AD"/>
    <w:rsid w:val="23893087"/>
    <w:rsid w:val="238A3A61"/>
    <w:rsid w:val="238B1EDE"/>
    <w:rsid w:val="238D53E2"/>
    <w:rsid w:val="238F08E5"/>
    <w:rsid w:val="238F72B6"/>
    <w:rsid w:val="23907C91"/>
    <w:rsid w:val="2391082F"/>
    <w:rsid w:val="23921869"/>
    <w:rsid w:val="239406FE"/>
    <w:rsid w:val="23944D6C"/>
    <w:rsid w:val="23947E72"/>
    <w:rsid w:val="23953EC0"/>
    <w:rsid w:val="239575E6"/>
    <w:rsid w:val="23983773"/>
    <w:rsid w:val="239B00EF"/>
    <w:rsid w:val="239C7BFA"/>
    <w:rsid w:val="239D182C"/>
    <w:rsid w:val="239D567C"/>
    <w:rsid w:val="239E0EFF"/>
    <w:rsid w:val="239F0B7F"/>
    <w:rsid w:val="239F3944"/>
    <w:rsid w:val="23A04402"/>
    <w:rsid w:val="23A06601"/>
    <w:rsid w:val="23A11E84"/>
    <w:rsid w:val="23A14082"/>
    <w:rsid w:val="23A21B04"/>
    <w:rsid w:val="23A25897"/>
    <w:rsid w:val="23A3249A"/>
    <w:rsid w:val="23A3264F"/>
    <w:rsid w:val="23A32E08"/>
    <w:rsid w:val="23A36435"/>
    <w:rsid w:val="23A4088A"/>
    <w:rsid w:val="23A52A88"/>
    <w:rsid w:val="23A5630C"/>
    <w:rsid w:val="23A6050A"/>
    <w:rsid w:val="23A7180F"/>
    <w:rsid w:val="23A83A0D"/>
    <w:rsid w:val="23A87290"/>
    <w:rsid w:val="23A9148E"/>
    <w:rsid w:val="23AA3203"/>
    <w:rsid w:val="23AA6F10"/>
    <w:rsid w:val="23AB4992"/>
    <w:rsid w:val="23AC2413"/>
    <w:rsid w:val="23AC45B8"/>
    <w:rsid w:val="23AC477C"/>
    <w:rsid w:val="23AD3718"/>
    <w:rsid w:val="23AD7E95"/>
    <w:rsid w:val="23AE66CF"/>
    <w:rsid w:val="23B0586E"/>
    <w:rsid w:val="23B14AC1"/>
    <w:rsid w:val="23B15197"/>
    <w:rsid w:val="23B21D9E"/>
    <w:rsid w:val="23B24235"/>
    <w:rsid w:val="23B2431C"/>
    <w:rsid w:val="23B243EB"/>
    <w:rsid w:val="23B25BC6"/>
    <w:rsid w:val="23B35621"/>
    <w:rsid w:val="23B37820"/>
    <w:rsid w:val="23B430A3"/>
    <w:rsid w:val="23B50B24"/>
    <w:rsid w:val="23B52D23"/>
    <w:rsid w:val="23B607A4"/>
    <w:rsid w:val="23B63E77"/>
    <w:rsid w:val="23B665A6"/>
    <w:rsid w:val="23B76226"/>
    <w:rsid w:val="23B9752B"/>
    <w:rsid w:val="23BA2A2E"/>
    <w:rsid w:val="23BA71AA"/>
    <w:rsid w:val="23BB00A6"/>
    <w:rsid w:val="23BC26AD"/>
    <w:rsid w:val="23BD161F"/>
    <w:rsid w:val="23BE2382"/>
    <w:rsid w:val="23BE5BB1"/>
    <w:rsid w:val="23BF3699"/>
    <w:rsid w:val="23BF6EB5"/>
    <w:rsid w:val="23BF77BF"/>
    <w:rsid w:val="23BF7974"/>
    <w:rsid w:val="23C04937"/>
    <w:rsid w:val="23C123B8"/>
    <w:rsid w:val="23C358BC"/>
    <w:rsid w:val="23C4333D"/>
    <w:rsid w:val="23C50DBF"/>
    <w:rsid w:val="23C5553B"/>
    <w:rsid w:val="23C70A3F"/>
    <w:rsid w:val="23C742C2"/>
    <w:rsid w:val="23C93F42"/>
    <w:rsid w:val="23CA2FF6"/>
    <w:rsid w:val="23CC2948"/>
    <w:rsid w:val="23CD61CB"/>
    <w:rsid w:val="23CE18C6"/>
    <w:rsid w:val="23CE5E4B"/>
    <w:rsid w:val="23CF16CE"/>
    <w:rsid w:val="23CF38CC"/>
    <w:rsid w:val="23CF684B"/>
    <w:rsid w:val="23D0134E"/>
    <w:rsid w:val="23D03DA0"/>
    <w:rsid w:val="23D07150"/>
    <w:rsid w:val="23D16DD0"/>
    <w:rsid w:val="23D200D4"/>
    <w:rsid w:val="23D22653"/>
    <w:rsid w:val="23D3133D"/>
    <w:rsid w:val="23D322D3"/>
    <w:rsid w:val="23D435D7"/>
    <w:rsid w:val="23D47D54"/>
    <w:rsid w:val="23D51059"/>
    <w:rsid w:val="23D557D6"/>
    <w:rsid w:val="23D81FDE"/>
    <w:rsid w:val="23D8556C"/>
    <w:rsid w:val="23D9610A"/>
    <w:rsid w:val="23DA1C5E"/>
    <w:rsid w:val="23DA54E1"/>
    <w:rsid w:val="23DB2F62"/>
    <w:rsid w:val="23DC09E4"/>
    <w:rsid w:val="23DC4779"/>
    <w:rsid w:val="23DC5161"/>
    <w:rsid w:val="23DD2BE2"/>
    <w:rsid w:val="23DD6465"/>
    <w:rsid w:val="23DE15D6"/>
    <w:rsid w:val="23DE1C48"/>
    <w:rsid w:val="23DE26FF"/>
    <w:rsid w:val="23DE3EE7"/>
    <w:rsid w:val="23DF60E5"/>
    <w:rsid w:val="23E073EA"/>
    <w:rsid w:val="23E115E8"/>
    <w:rsid w:val="23E2428D"/>
    <w:rsid w:val="23E24AEB"/>
    <w:rsid w:val="23E2706A"/>
    <w:rsid w:val="23E46569"/>
    <w:rsid w:val="23E55A70"/>
    <w:rsid w:val="23E56F43"/>
    <w:rsid w:val="23E612F3"/>
    <w:rsid w:val="23E634F2"/>
    <w:rsid w:val="23E728C6"/>
    <w:rsid w:val="23E76D75"/>
    <w:rsid w:val="23E847F6"/>
    <w:rsid w:val="23E8755B"/>
    <w:rsid w:val="23E92278"/>
    <w:rsid w:val="23EA7CFA"/>
    <w:rsid w:val="23EB2FAD"/>
    <w:rsid w:val="23EB31FD"/>
    <w:rsid w:val="23EC0C7E"/>
    <w:rsid w:val="23EC5768"/>
    <w:rsid w:val="23EC5E3E"/>
    <w:rsid w:val="23ED1755"/>
    <w:rsid w:val="23ED49BB"/>
    <w:rsid w:val="23EE50C5"/>
    <w:rsid w:val="23EF1C03"/>
    <w:rsid w:val="23F06802"/>
    <w:rsid w:val="23F07684"/>
    <w:rsid w:val="23F15106"/>
    <w:rsid w:val="23F173A1"/>
    <w:rsid w:val="23F2091A"/>
    <w:rsid w:val="23F22B88"/>
    <w:rsid w:val="23F27D7B"/>
    <w:rsid w:val="23F53B0C"/>
    <w:rsid w:val="23F6158E"/>
    <w:rsid w:val="23F7700F"/>
    <w:rsid w:val="23F84A91"/>
    <w:rsid w:val="23F92512"/>
    <w:rsid w:val="23FA7F94"/>
    <w:rsid w:val="23FB6C61"/>
    <w:rsid w:val="23FD0015"/>
    <w:rsid w:val="23FD01D9"/>
    <w:rsid w:val="23FE699A"/>
    <w:rsid w:val="23FF22F1"/>
    <w:rsid w:val="23FF441C"/>
    <w:rsid w:val="24020C24"/>
    <w:rsid w:val="240210CD"/>
    <w:rsid w:val="240366A5"/>
    <w:rsid w:val="24037600"/>
    <w:rsid w:val="24044127"/>
    <w:rsid w:val="24046325"/>
    <w:rsid w:val="24051BA8"/>
    <w:rsid w:val="24053DA7"/>
    <w:rsid w:val="24066EFA"/>
    <w:rsid w:val="240750AB"/>
    <w:rsid w:val="240772AA"/>
    <w:rsid w:val="24082B2D"/>
    <w:rsid w:val="24084D2B"/>
    <w:rsid w:val="240905AE"/>
    <w:rsid w:val="24090A61"/>
    <w:rsid w:val="240923B7"/>
    <w:rsid w:val="240927AD"/>
    <w:rsid w:val="240A022E"/>
    <w:rsid w:val="240B1533"/>
    <w:rsid w:val="240B5CB0"/>
    <w:rsid w:val="240C3731"/>
    <w:rsid w:val="240C3CC8"/>
    <w:rsid w:val="240D3B04"/>
    <w:rsid w:val="240D46A2"/>
    <w:rsid w:val="240D4A36"/>
    <w:rsid w:val="240E507C"/>
    <w:rsid w:val="240E6C34"/>
    <w:rsid w:val="240F46B6"/>
    <w:rsid w:val="240F5DE0"/>
    <w:rsid w:val="240F7F39"/>
    <w:rsid w:val="241059BB"/>
    <w:rsid w:val="241067BA"/>
    <w:rsid w:val="2411343C"/>
    <w:rsid w:val="24120EBE"/>
    <w:rsid w:val="24140B3E"/>
    <w:rsid w:val="24141470"/>
    <w:rsid w:val="241443C1"/>
    <w:rsid w:val="241565BF"/>
    <w:rsid w:val="241629E9"/>
    <w:rsid w:val="241678C4"/>
    <w:rsid w:val="241749DE"/>
    <w:rsid w:val="24174B94"/>
    <w:rsid w:val="24174EFF"/>
    <w:rsid w:val="24175420"/>
    <w:rsid w:val="24182DC7"/>
    <w:rsid w:val="24183A7C"/>
    <w:rsid w:val="24183F62"/>
    <w:rsid w:val="24187544"/>
    <w:rsid w:val="24190849"/>
    <w:rsid w:val="2419493C"/>
    <w:rsid w:val="241A2A47"/>
    <w:rsid w:val="241A569F"/>
    <w:rsid w:val="241A62CA"/>
    <w:rsid w:val="241B6C18"/>
    <w:rsid w:val="241C17CD"/>
    <w:rsid w:val="241D144D"/>
    <w:rsid w:val="241E4CD1"/>
    <w:rsid w:val="241E6ECF"/>
    <w:rsid w:val="241F170A"/>
    <w:rsid w:val="241F2752"/>
    <w:rsid w:val="242001D4"/>
    <w:rsid w:val="24217E53"/>
    <w:rsid w:val="242239E6"/>
    <w:rsid w:val="24233357"/>
    <w:rsid w:val="24240DD8"/>
    <w:rsid w:val="24244F5F"/>
    <w:rsid w:val="242520DD"/>
    <w:rsid w:val="2425685A"/>
    <w:rsid w:val="242642DB"/>
    <w:rsid w:val="24267527"/>
    <w:rsid w:val="24271D5D"/>
    <w:rsid w:val="242755E0"/>
    <w:rsid w:val="24277076"/>
    <w:rsid w:val="242805EF"/>
    <w:rsid w:val="242877DE"/>
    <w:rsid w:val="2429042B"/>
    <w:rsid w:val="24290AE3"/>
    <w:rsid w:val="24295260"/>
    <w:rsid w:val="242A6565"/>
    <w:rsid w:val="242E4F6B"/>
    <w:rsid w:val="242F29EC"/>
    <w:rsid w:val="24304BEB"/>
    <w:rsid w:val="24316936"/>
    <w:rsid w:val="243200EE"/>
    <w:rsid w:val="24323971"/>
    <w:rsid w:val="243313F3"/>
    <w:rsid w:val="24332AB0"/>
    <w:rsid w:val="243335F1"/>
    <w:rsid w:val="24337CEA"/>
    <w:rsid w:val="2434206F"/>
    <w:rsid w:val="24346E74"/>
    <w:rsid w:val="2435110C"/>
    <w:rsid w:val="24356AF4"/>
    <w:rsid w:val="24357C0A"/>
    <w:rsid w:val="24360360"/>
    <w:rsid w:val="24362377"/>
    <w:rsid w:val="24371FF7"/>
    <w:rsid w:val="24387A79"/>
    <w:rsid w:val="243932FC"/>
    <w:rsid w:val="24394AB8"/>
    <w:rsid w:val="243954FA"/>
    <w:rsid w:val="243A0633"/>
    <w:rsid w:val="243A0D7D"/>
    <w:rsid w:val="243A2F7C"/>
    <w:rsid w:val="243B09FD"/>
    <w:rsid w:val="243B4281"/>
    <w:rsid w:val="243B67FF"/>
    <w:rsid w:val="243D776E"/>
    <w:rsid w:val="243E030D"/>
    <w:rsid w:val="243E1982"/>
    <w:rsid w:val="243F2C87"/>
    <w:rsid w:val="24400708"/>
    <w:rsid w:val="24401886"/>
    <w:rsid w:val="24412907"/>
    <w:rsid w:val="2441618A"/>
    <w:rsid w:val="24420388"/>
    <w:rsid w:val="244244E1"/>
    <w:rsid w:val="24424BB7"/>
    <w:rsid w:val="2444388B"/>
    <w:rsid w:val="24444377"/>
    <w:rsid w:val="2445130D"/>
    <w:rsid w:val="24462612"/>
    <w:rsid w:val="2446648F"/>
    <w:rsid w:val="24466D8E"/>
    <w:rsid w:val="2447702E"/>
    <w:rsid w:val="24482291"/>
    <w:rsid w:val="24485B15"/>
    <w:rsid w:val="24487BCC"/>
    <w:rsid w:val="244903E2"/>
    <w:rsid w:val="244B0C98"/>
    <w:rsid w:val="244B1B1F"/>
    <w:rsid w:val="244B3216"/>
    <w:rsid w:val="244B6A99"/>
    <w:rsid w:val="244C451B"/>
    <w:rsid w:val="244D1F9C"/>
    <w:rsid w:val="244D325D"/>
    <w:rsid w:val="244E1C1C"/>
    <w:rsid w:val="244E7A1E"/>
    <w:rsid w:val="244F54A0"/>
    <w:rsid w:val="24502F21"/>
    <w:rsid w:val="245109A3"/>
    <w:rsid w:val="24515D4E"/>
    <w:rsid w:val="24525F11"/>
    <w:rsid w:val="24526424"/>
    <w:rsid w:val="24531927"/>
    <w:rsid w:val="24533EA6"/>
    <w:rsid w:val="245473A9"/>
    <w:rsid w:val="24561DB9"/>
    <w:rsid w:val="245834F6"/>
    <w:rsid w:val="24593831"/>
    <w:rsid w:val="24594095"/>
    <w:rsid w:val="245B6D34"/>
    <w:rsid w:val="245C5FE8"/>
    <w:rsid w:val="245C61AD"/>
    <w:rsid w:val="245E7CB8"/>
    <w:rsid w:val="245F0100"/>
    <w:rsid w:val="245F0F7A"/>
    <w:rsid w:val="245F12E5"/>
    <w:rsid w:val="245F1650"/>
    <w:rsid w:val="245F1B71"/>
    <w:rsid w:val="245F573A"/>
    <w:rsid w:val="2460183D"/>
    <w:rsid w:val="246031BB"/>
    <w:rsid w:val="24610C3D"/>
    <w:rsid w:val="24633790"/>
    <w:rsid w:val="2464432F"/>
    <w:rsid w:val="246456B0"/>
    <w:rsid w:val="24657643"/>
    <w:rsid w:val="246650C5"/>
    <w:rsid w:val="24672B46"/>
    <w:rsid w:val="246762B0"/>
    <w:rsid w:val="246805C8"/>
    <w:rsid w:val="24683E4B"/>
    <w:rsid w:val="246918CD"/>
    <w:rsid w:val="246979BF"/>
    <w:rsid w:val="246A3ACB"/>
    <w:rsid w:val="246A734E"/>
    <w:rsid w:val="246B10FD"/>
    <w:rsid w:val="246B4DD0"/>
    <w:rsid w:val="246B6FCE"/>
    <w:rsid w:val="246C2851"/>
    <w:rsid w:val="246C4A50"/>
    <w:rsid w:val="246D02D3"/>
    <w:rsid w:val="246D24D1"/>
    <w:rsid w:val="246D3214"/>
    <w:rsid w:val="246E390D"/>
    <w:rsid w:val="246E7F53"/>
    <w:rsid w:val="246F211E"/>
    <w:rsid w:val="246F37D6"/>
    <w:rsid w:val="246F478D"/>
    <w:rsid w:val="246F59D4"/>
    <w:rsid w:val="24701257"/>
    <w:rsid w:val="24705167"/>
    <w:rsid w:val="24716CD9"/>
    <w:rsid w:val="2472475B"/>
    <w:rsid w:val="247321DC"/>
    <w:rsid w:val="2473727F"/>
    <w:rsid w:val="24737C5E"/>
    <w:rsid w:val="24741E5C"/>
    <w:rsid w:val="247507F8"/>
    <w:rsid w:val="247509BC"/>
    <w:rsid w:val="24753161"/>
    <w:rsid w:val="247578DE"/>
    <w:rsid w:val="24771F35"/>
    <w:rsid w:val="24772DE1"/>
    <w:rsid w:val="24782AD4"/>
    <w:rsid w:val="247840E5"/>
    <w:rsid w:val="24791B67"/>
    <w:rsid w:val="247A698A"/>
    <w:rsid w:val="247A75E9"/>
    <w:rsid w:val="247B506A"/>
    <w:rsid w:val="247C0C4C"/>
    <w:rsid w:val="247C2AEC"/>
    <w:rsid w:val="247C7268"/>
    <w:rsid w:val="247D056D"/>
    <w:rsid w:val="247E5FEF"/>
    <w:rsid w:val="247E76DD"/>
    <w:rsid w:val="247F01ED"/>
    <w:rsid w:val="247F027C"/>
    <w:rsid w:val="248117F4"/>
    <w:rsid w:val="24821172"/>
    <w:rsid w:val="248249F5"/>
    <w:rsid w:val="24832F32"/>
    <w:rsid w:val="24836BF3"/>
    <w:rsid w:val="248420F6"/>
    <w:rsid w:val="248544AB"/>
    <w:rsid w:val="2485597A"/>
    <w:rsid w:val="24857B00"/>
    <w:rsid w:val="24857B78"/>
    <w:rsid w:val="24870E7D"/>
    <w:rsid w:val="2487307B"/>
    <w:rsid w:val="24880AFD"/>
    <w:rsid w:val="24894380"/>
    <w:rsid w:val="2489657E"/>
    <w:rsid w:val="24897977"/>
    <w:rsid w:val="248A06DA"/>
    <w:rsid w:val="248B1A81"/>
    <w:rsid w:val="248B469D"/>
    <w:rsid w:val="248B77AF"/>
    <w:rsid w:val="248B7965"/>
    <w:rsid w:val="248C2D86"/>
    <w:rsid w:val="248C5304"/>
    <w:rsid w:val="248D4F84"/>
    <w:rsid w:val="248D5FC1"/>
    <w:rsid w:val="248D632C"/>
    <w:rsid w:val="248D6697"/>
    <w:rsid w:val="248E42DA"/>
    <w:rsid w:val="248E6289"/>
    <w:rsid w:val="248F3D0B"/>
    <w:rsid w:val="248F3D6A"/>
    <w:rsid w:val="24905F09"/>
    <w:rsid w:val="249152E3"/>
    <w:rsid w:val="24924C8F"/>
    <w:rsid w:val="24925E82"/>
    <w:rsid w:val="2494490F"/>
    <w:rsid w:val="24952391"/>
    <w:rsid w:val="24957DD5"/>
    <w:rsid w:val="24960973"/>
    <w:rsid w:val="24961512"/>
    <w:rsid w:val="24964E81"/>
    <w:rsid w:val="24967E12"/>
    <w:rsid w:val="24971117"/>
    <w:rsid w:val="24975894"/>
    <w:rsid w:val="24983315"/>
    <w:rsid w:val="24990D97"/>
    <w:rsid w:val="2499461A"/>
    <w:rsid w:val="249A09DF"/>
    <w:rsid w:val="249A1C21"/>
    <w:rsid w:val="249A4004"/>
    <w:rsid w:val="249B429A"/>
    <w:rsid w:val="249B7B1D"/>
    <w:rsid w:val="249C559F"/>
    <w:rsid w:val="249E0AA2"/>
    <w:rsid w:val="24A11A27"/>
    <w:rsid w:val="24A13C25"/>
    <w:rsid w:val="24A216A6"/>
    <w:rsid w:val="24A32186"/>
    <w:rsid w:val="24A32EE9"/>
    <w:rsid w:val="24A4042D"/>
    <w:rsid w:val="24A44BA9"/>
    <w:rsid w:val="24A5262B"/>
    <w:rsid w:val="24A61F54"/>
    <w:rsid w:val="24A63930"/>
    <w:rsid w:val="24A713B1"/>
    <w:rsid w:val="24A759DB"/>
    <w:rsid w:val="24A835B0"/>
    <w:rsid w:val="24A8657A"/>
    <w:rsid w:val="24A94248"/>
    <w:rsid w:val="24A948B4"/>
    <w:rsid w:val="24A96F54"/>
    <w:rsid w:val="24AA6AB3"/>
    <w:rsid w:val="24AA7AF3"/>
    <w:rsid w:val="24AB04CD"/>
    <w:rsid w:val="24AD7A37"/>
    <w:rsid w:val="24AF2F3B"/>
    <w:rsid w:val="24AF67BE"/>
    <w:rsid w:val="24B009BC"/>
    <w:rsid w:val="24B03D22"/>
    <w:rsid w:val="24B0423F"/>
    <w:rsid w:val="24B11CC1"/>
    <w:rsid w:val="24B1643E"/>
    <w:rsid w:val="24B351C4"/>
    <w:rsid w:val="24B35C75"/>
    <w:rsid w:val="24B36813"/>
    <w:rsid w:val="24B369D8"/>
    <w:rsid w:val="24B473C2"/>
    <w:rsid w:val="24B506C7"/>
    <w:rsid w:val="24B66149"/>
    <w:rsid w:val="24B73BCA"/>
    <w:rsid w:val="24B8164C"/>
    <w:rsid w:val="24B85C79"/>
    <w:rsid w:val="24B970CD"/>
    <w:rsid w:val="24BA341D"/>
    <w:rsid w:val="24BA35E1"/>
    <w:rsid w:val="24BA4B4F"/>
    <w:rsid w:val="24BB25D0"/>
    <w:rsid w:val="24BB4180"/>
    <w:rsid w:val="24BC0052"/>
    <w:rsid w:val="24BC5AD3"/>
    <w:rsid w:val="24BD3555"/>
    <w:rsid w:val="24BE6297"/>
    <w:rsid w:val="24BF09F7"/>
    <w:rsid w:val="24BF6A58"/>
    <w:rsid w:val="24C044DA"/>
    <w:rsid w:val="24C10BC5"/>
    <w:rsid w:val="24C3545E"/>
    <w:rsid w:val="24C42CDC"/>
    <w:rsid w:val="24C42EE0"/>
    <w:rsid w:val="24C50961"/>
    <w:rsid w:val="24C513B8"/>
    <w:rsid w:val="24C5387B"/>
    <w:rsid w:val="24C6060B"/>
    <w:rsid w:val="24C6441A"/>
    <w:rsid w:val="24C663E3"/>
    <w:rsid w:val="24C818E6"/>
    <w:rsid w:val="24C97368"/>
    <w:rsid w:val="24CA4DE9"/>
    <w:rsid w:val="24CA6F0B"/>
    <w:rsid w:val="24CA70D0"/>
    <w:rsid w:val="24CB286B"/>
    <w:rsid w:val="24CD15F1"/>
    <w:rsid w:val="24CD5D6E"/>
    <w:rsid w:val="24CE259C"/>
    <w:rsid w:val="24CF1271"/>
    <w:rsid w:val="24D03CD9"/>
    <w:rsid w:val="24D06CF2"/>
    <w:rsid w:val="24D14774"/>
    <w:rsid w:val="24D14878"/>
    <w:rsid w:val="24D17FF7"/>
    <w:rsid w:val="24D221F6"/>
    <w:rsid w:val="24D334FA"/>
    <w:rsid w:val="24D40F7C"/>
    <w:rsid w:val="24D4317A"/>
    <w:rsid w:val="24D434BF"/>
    <w:rsid w:val="24D467CB"/>
    <w:rsid w:val="24D50BFC"/>
    <w:rsid w:val="24D5203C"/>
    <w:rsid w:val="24D569FD"/>
    <w:rsid w:val="24D6447F"/>
    <w:rsid w:val="24D71F01"/>
    <w:rsid w:val="24D740FF"/>
    <w:rsid w:val="24D81481"/>
    <w:rsid w:val="24D87982"/>
    <w:rsid w:val="24D91E5B"/>
    <w:rsid w:val="24DA29FA"/>
    <w:rsid w:val="24DB2B05"/>
    <w:rsid w:val="24DC0587"/>
    <w:rsid w:val="24DC3E0A"/>
    <w:rsid w:val="24DC4B11"/>
    <w:rsid w:val="24DC4CD6"/>
    <w:rsid w:val="24DD188B"/>
    <w:rsid w:val="24DE3A8A"/>
    <w:rsid w:val="24DF150B"/>
    <w:rsid w:val="24DF6BC3"/>
    <w:rsid w:val="24DF7844"/>
    <w:rsid w:val="24E10292"/>
    <w:rsid w:val="24E103F6"/>
    <w:rsid w:val="24E14A0E"/>
    <w:rsid w:val="24E20D41"/>
    <w:rsid w:val="24E22490"/>
    <w:rsid w:val="24E25D13"/>
    <w:rsid w:val="24E318DF"/>
    <w:rsid w:val="24E35410"/>
    <w:rsid w:val="24E37F11"/>
    <w:rsid w:val="24E45993"/>
    <w:rsid w:val="24E53415"/>
    <w:rsid w:val="24E60E96"/>
    <w:rsid w:val="24E64719"/>
    <w:rsid w:val="24E74595"/>
    <w:rsid w:val="24E84DAB"/>
    <w:rsid w:val="24E91E1B"/>
    <w:rsid w:val="24E9569E"/>
    <w:rsid w:val="24EA3120"/>
    <w:rsid w:val="24EB0BA1"/>
    <w:rsid w:val="24EC6623"/>
    <w:rsid w:val="24ED0821"/>
    <w:rsid w:val="24ED0FDA"/>
    <w:rsid w:val="24EE3D24"/>
    <w:rsid w:val="24EF17A6"/>
    <w:rsid w:val="24F032B6"/>
    <w:rsid w:val="24F07227"/>
    <w:rsid w:val="24F12AAA"/>
    <w:rsid w:val="24F17BED"/>
    <w:rsid w:val="24F2052C"/>
    <w:rsid w:val="24F2272A"/>
    <w:rsid w:val="24F2482F"/>
    <w:rsid w:val="24F27361"/>
    <w:rsid w:val="24F301AC"/>
    <w:rsid w:val="24F353CE"/>
    <w:rsid w:val="24F365B4"/>
    <w:rsid w:val="24F414B1"/>
    <w:rsid w:val="24F56F32"/>
    <w:rsid w:val="24F649B4"/>
    <w:rsid w:val="24F674E5"/>
    <w:rsid w:val="24F73C87"/>
    <w:rsid w:val="24F77EC0"/>
    <w:rsid w:val="24F81438"/>
    <w:rsid w:val="24F81B46"/>
    <w:rsid w:val="24F87EB7"/>
    <w:rsid w:val="24F920B5"/>
    <w:rsid w:val="24F95938"/>
    <w:rsid w:val="24FC303A"/>
    <w:rsid w:val="24FD0ABB"/>
    <w:rsid w:val="24FD433F"/>
    <w:rsid w:val="24FD4AC9"/>
    <w:rsid w:val="24FE1DC0"/>
    <w:rsid w:val="24FE5668"/>
    <w:rsid w:val="24FE653D"/>
    <w:rsid w:val="24FF7842"/>
    <w:rsid w:val="25012D45"/>
    <w:rsid w:val="250174C1"/>
    <w:rsid w:val="2501777F"/>
    <w:rsid w:val="25020159"/>
    <w:rsid w:val="25024F43"/>
    <w:rsid w:val="25030CF8"/>
    <w:rsid w:val="250329C5"/>
    <w:rsid w:val="25040446"/>
    <w:rsid w:val="25043CC9"/>
    <w:rsid w:val="2505174B"/>
    <w:rsid w:val="25052E0F"/>
    <w:rsid w:val="25053949"/>
    <w:rsid w:val="25055EC8"/>
    <w:rsid w:val="250613CB"/>
    <w:rsid w:val="250639AE"/>
    <w:rsid w:val="250671CD"/>
    <w:rsid w:val="25075D5E"/>
    <w:rsid w:val="250826D0"/>
    <w:rsid w:val="25090151"/>
    <w:rsid w:val="25095AC6"/>
    <w:rsid w:val="250A5BD3"/>
    <w:rsid w:val="250A6664"/>
    <w:rsid w:val="250A7DD1"/>
    <w:rsid w:val="250B5853"/>
    <w:rsid w:val="250C32D4"/>
    <w:rsid w:val="250C7A19"/>
    <w:rsid w:val="250D6B57"/>
    <w:rsid w:val="250E67D7"/>
    <w:rsid w:val="250F1CF5"/>
    <w:rsid w:val="250F5524"/>
    <w:rsid w:val="250F7ADC"/>
    <w:rsid w:val="25101CDA"/>
    <w:rsid w:val="2510304E"/>
    <w:rsid w:val="2510555E"/>
    <w:rsid w:val="251130A9"/>
    <w:rsid w:val="2511775C"/>
    <w:rsid w:val="25131166"/>
    <w:rsid w:val="251351C1"/>
    <w:rsid w:val="251364E2"/>
    <w:rsid w:val="25143F64"/>
    <w:rsid w:val="25145F24"/>
    <w:rsid w:val="251519E5"/>
    <w:rsid w:val="25156162"/>
    <w:rsid w:val="25163BE4"/>
    <w:rsid w:val="2517003B"/>
    <w:rsid w:val="25174EE8"/>
    <w:rsid w:val="2518296A"/>
    <w:rsid w:val="251870E7"/>
    <w:rsid w:val="251903EC"/>
    <w:rsid w:val="25194B68"/>
    <w:rsid w:val="251A1F8F"/>
    <w:rsid w:val="251B2969"/>
    <w:rsid w:val="251B38EF"/>
    <w:rsid w:val="251C1370"/>
    <w:rsid w:val="251C753A"/>
    <w:rsid w:val="251C78A5"/>
    <w:rsid w:val="251D626C"/>
    <w:rsid w:val="251E4873"/>
    <w:rsid w:val="25216B98"/>
    <w:rsid w:val="252178FB"/>
    <w:rsid w:val="25223279"/>
    <w:rsid w:val="25230CFB"/>
    <w:rsid w:val="25251C80"/>
    <w:rsid w:val="25267701"/>
    <w:rsid w:val="25273966"/>
    <w:rsid w:val="25282C04"/>
    <w:rsid w:val="25284340"/>
    <w:rsid w:val="25284504"/>
    <w:rsid w:val="25290686"/>
    <w:rsid w:val="252950A3"/>
    <w:rsid w:val="252B3B89"/>
    <w:rsid w:val="252C0894"/>
    <w:rsid w:val="252C0F6A"/>
    <w:rsid w:val="252C160A"/>
    <w:rsid w:val="252D53FE"/>
    <w:rsid w:val="252D708C"/>
    <w:rsid w:val="252D7E52"/>
    <w:rsid w:val="252F1AE8"/>
    <w:rsid w:val="25317C88"/>
    <w:rsid w:val="25330F95"/>
    <w:rsid w:val="2533479E"/>
    <w:rsid w:val="25334962"/>
    <w:rsid w:val="2534229A"/>
    <w:rsid w:val="25346A17"/>
    <w:rsid w:val="25354498"/>
    <w:rsid w:val="25355EDB"/>
    <w:rsid w:val="25357D1C"/>
    <w:rsid w:val="2537321F"/>
    <w:rsid w:val="25377290"/>
    <w:rsid w:val="2538655B"/>
    <w:rsid w:val="25392E9F"/>
    <w:rsid w:val="2539485F"/>
    <w:rsid w:val="253A0920"/>
    <w:rsid w:val="253A210A"/>
    <w:rsid w:val="253A2EBB"/>
    <w:rsid w:val="253A41A3"/>
    <w:rsid w:val="253B1F59"/>
    <w:rsid w:val="253B2AE5"/>
    <w:rsid w:val="253B63A2"/>
    <w:rsid w:val="253C3E23"/>
    <w:rsid w:val="253D18A5"/>
    <w:rsid w:val="253F062B"/>
    <w:rsid w:val="253F2829"/>
    <w:rsid w:val="25413B2E"/>
    <w:rsid w:val="25416D14"/>
    <w:rsid w:val="254215B0"/>
    <w:rsid w:val="254237AE"/>
    <w:rsid w:val="254278B2"/>
    <w:rsid w:val="25431230"/>
    <w:rsid w:val="25446CB1"/>
    <w:rsid w:val="254519CA"/>
    <w:rsid w:val="25452535"/>
    <w:rsid w:val="25454733"/>
    <w:rsid w:val="25457FB6"/>
    <w:rsid w:val="254621B4"/>
    <w:rsid w:val="25465A38"/>
    <w:rsid w:val="25477C36"/>
    <w:rsid w:val="25485F24"/>
    <w:rsid w:val="254969BC"/>
    <w:rsid w:val="254A0BBB"/>
    <w:rsid w:val="254A443E"/>
    <w:rsid w:val="254B640F"/>
    <w:rsid w:val="254B663C"/>
    <w:rsid w:val="254C7172"/>
    <w:rsid w:val="254C7941"/>
    <w:rsid w:val="254D1B3F"/>
    <w:rsid w:val="254E0526"/>
    <w:rsid w:val="254E2E44"/>
    <w:rsid w:val="25502AC4"/>
    <w:rsid w:val="25506347"/>
    <w:rsid w:val="25510545"/>
    <w:rsid w:val="2551263E"/>
    <w:rsid w:val="25513DC9"/>
    <w:rsid w:val="2552184A"/>
    <w:rsid w:val="25533A48"/>
    <w:rsid w:val="25560DD8"/>
    <w:rsid w:val="2556244F"/>
    <w:rsid w:val="25565E93"/>
    <w:rsid w:val="25566A31"/>
    <w:rsid w:val="2557740C"/>
    <w:rsid w:val="25585952"/>
    <w:rsid w:val="25587FAA"/>
    <w:rsid w:val="255911D5"/>
    <w:rsid w:val="255A0E55"/>
    <w:rsid w:val="255A1523"/>
    <w:rsid w:val="255A2720"/>
    <w:rsid w:val="255B20C2"/>
    <w:rsid w:val="255B46D8"/>
    <w:rsid w:val="255D363B"/>
    <w:rsid w:val="255D565D"/>
    <w:rsid w:val="255D7BDB"/>
    <w:rsid w:val="255E41D9"/>
    <w:rsid w:val="255E785B"/>
    <w:rsid w:val="255F0B60"/>
    <w:rsid w:val="255F52DD"/>
    <w:rsid w:val="255F7774"/>
    <w:rsid w:val="25602D5E"/>
    <w:rsid w:val="2560558E"/>
    <w:rsid w:val="25605752"/>
    <w:rsid w:val="256162F1"/>
    <w:rsid w:val="25621AE5"/>
    <w:rsid w:val="25626261"/>
    <w:rsid w:val="25626CCB"/>
    <w:rsid w:val="25633CE3"/>
    <w:rsid w:val="25637566"/>
    <w:rsid w:val="2563786A"/>
    <w:rsid w:val="25652A69"/>
    <w:rsid w:val="25653094"/>
    <w:rsid w:val="256571E6"/>
    <w:rsid w:val="256604EB"/>
    <w:rsid w:val="25670CAF"/>
    <w:rsid w:val="25670E64"/>
    <w:rsid w:val="256716F0"/>
    <w:rsid w:val="256726E9"/>
    <w:rsid w:val="25672D36"/>
    <w:rsid w:val="25675F6C"/>
    <w:rsid w:val="2568016B"/>
    <w:rsid w:val="256839EE"/>
    <w:rsid w:val="2569146F"/>
    <w:rsid w:val="25695BEC"/>
    <w:rsid w:val="256B10EF"/>
    <w:rsid w:val="256D45F2"/>
    <w:rsid w:val="256D7129"/>
    <w:rsid w:val="256D7E76"/>
    <w:rsid w:val="256E58F7"/>
    <w:rsid w:val="256E7B04"/>
    <w:rsid w:val="256F06A2"/>
    <w:rsid w:val="256F3379"/>
    <w:rsid w:val="256F5577"/>
    <w:rsid w:val="25702FF9"/>
    <w:rsid w:val="25711C1B"/>
    <w:rsid w:val="2571687C"/>
    <w:rsid w:val="25731D7F"/>
    <w:rsid w:val="25733D33"/>
    <w:rsid w:val="257419FF"/>
    <w:rsid w:val="25747800"/>
    <w:rsid w:val="257537F7"/>
    <w:rsid w:val="25755282"/>
    <w:rsid w:val="25757480"/>
    <w:rsid w:val="25760785"/>
    <w:rsid w:val="25764F02"/>
    <w:rsid w:val="25772983"/>
    <w:rsid w:val="25776207"/>
    <w:rsid w:val="25783C88"/>
    <w:rsid w:val="2579170A"/>
    <w:rsid w:val="25795E86"/>
    <w:rsid w:val="257A3908"/>
    <w:rsid w:val="257A718B"/>
    <w:rsid w:val="257B138A"/>
    <w:rsid w:val="257B2BAE"/>
    <w:rsid w:val="257C55A1"/>
    <w:rsid w:val="257C6E0B"/>
    <w:rsid w:val="257D488D"/>
    <w:rsid w:val="257E230E"/>
    <w:rsid w:val="257E5B91"/>
    <w:rsid w:val="257F3613"/>
    <w:rsid w:val="257F7D90"/>
    <w:rsid w:val="25805811"/>
    <w:rsid w:val="258162A8"/>
    <w:rsid w:val="25816B16"/>
    <w:rsid w:val="25826E47"/>
    <w:rsid w:val="25836A16"/>
    <w:rsid w:val="25847A9B"/>
    <w:rsid w:val="2585551C"/>
    <w:rsid w:val="25861939"/>
    <w:rsid w:val="258C4EA7"/>
    <w:rsid w:val="258D2929"/>
    <w:rsid w:val="258D6706"/>
    <w:rsid w:val="258E03AA"/>
    <w:rsid w:val="258E5E2C"/>
    <w:rsid w:val="258E70E1"/>
    <w:rsid w:val="258F065A"/>
    <w:rsid w:val="2590132F"/>
    <w:rsid w:val="25911713"/>
    <w:rsid w:val="2592103D"/>
    <w:rsid w:val="259322B4"/>
    <w:rsid w:val="25937D6F"/>
    <w:rsid w:val="25937F25"/>
    <w:rsid w:val="25947D35"/>
    <w:rsid w:val="259557B7"/>
    <w:rsid w:val="25975406"/>
    <w:rsid w:val="2598673B"/>
    <w:rsid w:val="25997A40"/>
    <w:rsid w:val="259A54C2"/>
    <w:rsid w:val="259B2F43"/>
    <w:rsid w:val="259B76C0"/>
    <w:rsid w:val="259C09C5"/>
    <w:rsid w:val="259D2BC3"/>
    <w:rsid w:val="259D6446"/>
    <w:rsid w:val="259F60C6"/>
    <w:rsid w:val="25A03D3B"/>
    <w:rsid w:val="25A073CB"/>
    <w:rsid w:val="25A14E4D"/>
    <w:rsid w:val="25A156C1"/>
    <w:rsid w:val="25A15886"/>
    <w:rsid w:val="25A26260"/>
    <w:rsid w:val="25A2704B"/>
    <w:rsid w:val="25A34ACC"/>
    <w:rsid w:val="25A53853"/>
    <w:rsid w:val="25A57FCF"/>
    <w:rsid w:val="25A60D52"/>
    <w:rsid w:val="25A65A51"/>
    <w:rsid w:val="25A718F0"/>
    <w:rsid w:val="25A76D56"/>
    <w:rsid w:val="25A847D7"/>
    <w:rsid w:val="25A869D6"/>
    <w:rsid w:val="25A92259"/>
    <w:rsid w:val="25AA7CDA"/>
    <w:rsid w:val="25AB4F81"/>
    <w:rsid w:val="25AB575C"/>
    <w:rsid w:val="25AC5B1F"/>
    <w:rsid w:val="25AD0C5F"/>
    <w:rsid w:val="25AE08DF"/>
    <w:rsid w:val="25AF7A72"/>
    <w:rsid w:val="25B07665"/>
    <w:rsid w:val="25B22B68"/>
    <w:rsid w:val="25B305EA"/>
    <w:rsid w:val="25B32729"/>
    <w:rsid w:val="25B427E8"/>
    <w:rsid w:val="25B43E15"/>
    <w:rsid w:val="25B4606C"/>
    <w:rsid w:val="25B5026A"/>
    <w:rsid w:val="25B53AED"/>
    <w:rsid w:val="25B53CA1"/>
    <w:rsid w:val="25B53E66"/>
    <w:rsid w:val="25B6156F"/>
    <w:rsid w:val="25B65CEB"/>
    <w:rsid w:val="25B7376D"/>
    <w:rsid w:val="25B753DF"/>
    <w:rsid w:val="25B84A72"/>
    <w:rsid w:val="25B924F3"/>
    <w:rsid w:val="25BA46F2"/>
    <w:rsid w:val="25BB2173"/>
    <w:rsid w:val="25BC1216"/>
    <w:rsid w:val="25BC13CB"/>
    <w:rsid w:val="25BC1449"/>
    <w:rsid w:val="25BC3478"/>
    <w:rsid w:val="25BC7BF5"/>
    <w:rsid w:val="25BD0EF9"/>
    <w:rsid w:val="25BD1DD5"/>
    <w:rsid w:val="25BD5676"/>
    <w:rsid w:val="25BE0B79"/>
    <w:rsid w:val="25BE30F8"/>
    <w:rsid w:val="25BE697B"/>
    <w:rsid w:val="25BF3725"/>
    <w:rsid w:val="25BF65FB"/>
    <w:rsid w:val="25C01E7E"/>
    <w:rsid w:val="25C0407C"/>
    <w:rsid w:val="25C11AFE"/>
    <w:rsid w:val="25C14C9E"/>
    <w:rsid w:val="25C17900"/>
    <w:rsid w:val="25C25381"/>
    <w:rsid w:val="25C2583D"/>
    <w:rsid w:val="25C27580"/>
    <w:rsid w:val="25C32E03"/>
    <w:rsid w:val="25C35001"/>
    <w:rsid w:val="25C36217"/>
    <w:rsid w:val="25C42A83"/>
    <w:rsid w:val="25C46BF1"/>
    <w:rsid w:val="25C57790"/>
    <w:rsid w:val="25C61809"/>
    <w:rsid w:val="25C63D87"/>
    <w:rsid w:val="25C71A6C"/>
    <w:rsid w:val="25C9278E"/>
    <w:rsid w:val="25C96F0A"/>
    <w:rsid w:val="25CA020F"/>
    <w:rsid w:val="25CA498C"/>
    <w:rsid w:val="25CB240D"/>
    <w:rsid w:val="25CB4399"/>
    <w:rsid w:val="25CB5C91"/>
    <w:rsid w:val="25CC3712"/>
    <w:rsid w:val="25CD1194"/>
    <w:rsid w:val="25CD1458"/>
    <w:rsid w:val="25CD160D"/>
    <w:rsid w:val="25CE64B1"/>
    <w:rsid w:val="25CF4697"/>
    <w:rsid w:val="25CF7050"/>
    <w:rsid w:val="25CF7214"/>
    <w:rsid w:val="25D06895"/>
    <w:rsid w:val="25D0724F"/>
    <w:rsid w:val="25D07BEE"/>
    <w:rsid w:val="25D17B9A"/>
    <w:rsid w:val="25D21167"/>
    <w:rsid w:val="25D21D98"/>
    <w:rsid w:val="25D2561C"/>
    <w:rsid w:val="25D3309D"/>
    <w:rsid w:val="25D43E37"/>
    <w:rsid w:val="25D52D1D"/>
    <w:rsid w:val="25D565A0"/>
    <w:rsid w:val="25D71AA3"/>
    <w:rsid w:val="25D73CA2"/>
    <w:rsid w:val="25D76220"/>
    <w:rsid w:val="25D87525"/>
    <w:rsid w:val="25D95CAF"/>
    <w:rsid w:val="25D9690F"/>
    <w:rsid w:val="25DA2A28"/>
    <w:rsid w:val="25DA4C26"/>
    <w:rsid w:val="25DB26A8"/>
    <w:rsid w:val="25DB38CA"/>
    <w:rsid w:val="25DC0A27"/>
    <w:rsid w:val="25DC5F2B"/>
    <w:rsid w:val="25DE6EB0"/>
    <w:rsid w:val="25DF2B3E"/>
    <w:rsid w:val="25DF4931"/>
    <w:rsid w:val="25E023B3"/>
    <w:rsid w:val="25E0427B"/>
    <w:rsid w:val="25E06B30"/>
    <w:rsid w:val="25E140B7"/>
    <w:rsid w:val="25E17E34"/>
    <w:rsid w:val="25E36393"/>
    <w:rsid w:val="25E37AB4"/>
    <w:rsid w:val="25E45536"/>
    <w:rsid w:val="25E46D6D"/>
    <w:rsid w:val="25E52FB7"/>
    <w:rsid w:val="25E5683B"/>
    <w:rsid w:val="25E642BC"/>
    <w:rsid w:val="25E70E85"/>
    <w:rsid w:val="25E87DB6"/>
    <w:rsid w:val="25E95241"/>
    <w:rsid w:val="25EA2CC2"/>
    <w:rsid w:val="25EA2F9C"/>
    <w:rsid w:val="25EA5B86"/>
    <w:rsid w:val="25EA5EF1"/>
    <w:rsid w:val="25EA625C"/>
    <w:rsid w:val="25EB0744"/>
    <w:rsid w:val="25EB3B3B"/>
    <w:rsid w:val="25EC2D81"/>
    <w:rsid w:val="25ED3C47"/>
    <w:rsid w:val="25ED4EEF"/>
    <w:rsid w:val="25ED50B4"/>
    <w:rsid w:val="25EE16C9"/>
    <w:rsid w:val="25EE5A8E"/>
    <w:rsid w:val="25F04BCC"/>
    <w:rsid w:val="25F07BA6"/>
    <w:rsid w:val="25F1264D"/>
    <w:rsid w:val="25F212E3"/>
    <w:rsid w:val="25F35B50"/>
    <w:rsid w:val="25F63DD5"/>
    <w:rsid w:val="25F66AD5"/>
    <w:rsid w:val="25F71FD8"/>
    <w:rsid w:val="25F74556"/>
    <w:rsid w:val="25F806CE"/>
    <w:rsid w:val="25FA2F5D"/>
    <w:rsid w:val="25FA68C7"/>
    <w:rsid w:val="25FB09DE"/>
    <w:rsid w:val="25FC6460"/>
    <w:rsid w:val="25FD157D"/>
    <w:rsid w:val="25FD3EE1"/>
    <w:rsid w:val="25FE1963"/>
    <w:rsid w:val="25FF2AF6"/>
    <w:rsid w:val="25FF73E4"/>
    <w:rsid w:val="26004E66"/>
    <w:rsid w:val="260128E8"/>
    <w:rsid w:val="26014233"/>
    <w:rsid w:val="2601616B"/>
    <w:rsid w:val="26027740"/>
    <w:rsid w:val="2603166E"/>
    <w:rsid w:val="260470EF"/>
    <w:rsid w:val="260512EE"/>
    <w:rsid w:val="26054B71"/>
    <w:rsid w:val="26057898"/>
    <w:rsid w:val="26063217"/>
    <w:rsid w:val="26070074"/>
    <w:rsid w:val="2607261F"/>
    <w:rsid w:val="2607298B"/>
    <w:rsid w:val="26082272"/>
    <w:rsid w:val="26091268"/>
    <w:rsid w:val="26091816"/>
    <w:rsid w:val="260919DB"/>
    <w:rsid w:val="260A23B5"/>
    <w:rsid w:val="260A2F54"/>
    <w:rsid w:val="260A5775"/>
    <w:rsid w:val="260B3AF2"/>
    <w:rsid w:val="260B6374"/>
    <w:rsid w:val="260B6A7A"/>
    <w:rsid w:val="260C4691"/>
    <w:rsid w:val="260D1F7D"/>
    <w:rsid w:val="260D66FA"/>
    <w:rsid w:val="260E79FF"/>
    <w:rsid w:val="260F1BFD"/>
    <w:rsid w:val="260F5480"/>
    <w:rsid w:val="260F6838"/>
    <w:rsid w:val="26103C64"/>
    <w:rsid w:val="26105100"/>
    <w:rsid w:val="26106FBE"/>
    <w:rsid w:val="26107183"/>
    <w:rsid w:val="26110984"/>
    <w:rsid w:val="26112B82"/>
    <w:rsid w:val="26117B5D"/>
    <w:rsid w:val="26117D22"/>
    <w:rsid w:val="26120603"/>
    <w:rsid w:val="261206FC"/>
    <w:rsid w:val="26126405"/>
    <w:rsid w:val="261310D6"/>
    <w:rsid w:val="26136085"/>
    <w:rsid w:val="261460CA"/>
    <w:rsid w:val="26146B0C"/>
    <w:rsid w:val="26155688"/>
    <w:rsid w:val="26164E0B"/>
    <w:rsid w:val="2616700A"/>
    <w:rsid w:val="2617030E"/>
    <w:rsid w:val="2617288D"/>
    <w:rsid w:val="2617492B"/>
    <w:rsid w:val="26174A8B"/>
    <w:rsid w:val="26181E05"/>
    <w:rsid w:val="2618250D"/>
    <w:rsid w:val="26197F8E"/>
    <w:rsid w:val="261A687E"/>
    <w:rsid w:val="261B3491"/>
    <w:rsid w:val="261B6D15"/>
    <w:rsid w:val="261B741D"/>
    <w:rsid w:val="261B75E1"/>
    <w:rsid w:val="261C0F13"/>
    <w:rsid w:val="261D6994"/>
    <w:rsid w:val="261E16F9"/>
    <w:rsid w:val="261E4416"/>
    <w:rsid w:val="261E7C99"/>
    <w:rsid w:val="261F1E98"/>
    <w:rsid w:val="261F20D3"/>
    <w:rsid w:val="261F571B"/>
    <w:rsid w:val="2620319C"/>
    <w:rsid w:val="26211B75"/>
    <w:rsid w:val="262241EA"/>
    <w:rsid w:val="262301D1"/>
    <w:rsid w:val="262325D7"/>
    <w:rsid w:val="26241BA3"/>
    <w:rsid w:val="26245763"/>
    <w:rsid w:val="26256EA1"/>
    <w:rsid w:val="26272B27"/>
    <w:rsid w:val="26274D25"/>
    <w:rsid w:val="262772A4"/>
    <w:rsid w:val="26280B3A"/>
    <w:rsid w:val="26290229"/>
    <w:rsid w:val="2629602A"/>
    <w:rsid w:val="262A2531"/>
    <w:rsid w:val="262B372C"/>
    <w:rsid w:val="262D4649"/>
    <w:rsid w:val="262E03B6"/>
    <w:rsid w:val="262E24B2"/>
    <w:rsid w:val="262E46B0"/>
    <w:rsid w:val="262F0C44"/>
    <w:rsid w:val="262F2132"/>
    <w:rsid w:val="262F57E2"/>
    <w:rsid w:val="262F7F34"/>
    <w:rsid w:val="26303437"/>
    <w:rsid w:val="26306760"/>
    <w:rsid w:val="26307BB3"/>
    <w:rsid w:val="26310EB8"/>
    <w:rsid w:val="26315635"/>
    <w:rsid w:val="2632693A"/>
    <w:rsid w:val="263343BB"/>
    <w:rsid w:val="26341DF0"/>
    <w:rsid w:val="263465BA"/>
    <w:rsid w:val="26365340"/>
    <w:rsid w:val="26373D44"/>
    <w:rsid w:val="2637753E"/>
    <w:rsid w:val="26380843"/>
    <w:rsid w:val="263952BC"/>
    <w:rsid w:val="263B17C8"/>
    <w:rsid w:val="263C39C6"/>
    <w:rsid w:val="263C7249"/>
    <w:rsid w:val="263C73D4"/>
    <w:rsid w:val="263D0137"/>
    <w:rsid w:val="263D1448"/>
    <w:rsid w:val="263D4CCB"/>
    <w:rsid w:val="263E274C"/>
    <w:rsid w:val="263F01CE"/>
    <w:rsid w:val="263F494B"/>
    <w:rsid w:val="26407E4E"/>
    <w:rsid w:val="264136D1"/>
    <w:rsid w:val="264158CF"/>
    <w:rsid w:val="26423351"/>
    <w:rsid w:val="26430DD2"/>
    <w:rsid w:val="264542D6"/>
    <w:rsid w:val="26461D57"/>
    <w:rsid w:val="26466E58"/>
    <w:rsid w:val="26467B59"/>
    <w:rsid w:val="264755DA"/>
    <w:rsid w:val="264803D1"/>
    <w:rsid w:val="2648525A"/>
    <w:rsid w:val="26490F70"/>
    <w:rsid w:val="264A1B0E"/>
    <w:rsid w:val="264B2324"/>
    <w:rsid w:val="264B24E8"/>
    <w:rsid w:val="264D3A61"/>
    <w:rsid w:val="264E75FD"/>
    <w:rsid w:val="264E7CD3"/>
    <w:rsid w:val="264F4FDA"/>
    <w:rsid w:val="26501B72"/>
    <w:rsid w:val="26505EEA"/>
    <w:rsid w:val="2651396B"/>
    <w:rsid w:val="265213ED"/>
    <w:rsid w:val="265448F0"/>
    <w:rsid w:val="26567DF3"/>
    <w:rsid w:val="265A67F9"/>
    <w:rsid w:val="265B5FD7"/>
    <w:rsid w:val="265C1CFC"/>
    <w:rsid w:val="265C29D1"/>
    <w:rsid w:val="265D777E"/>
    <w:rsid w:val="265E05EC"/>
    <w:rsid w:val="265E5200"/>
    <w:rsid w:val="265F1667"/>
    <w:rsid w:val="265F2C81"/>
    <w:rsid w:val="26600703"/>
    <w:rsid w:val="26602042"/>
    <w:rsid w:val="26612BE0"/>
    <w:rsid w:val="26613C06"/>
    <w:rsid w:val="2661634B"/>
    <w:rsid w:val="26637109"/>
    <w:rsid w:val="2665260C"/>
    <w:rsid w:val="26655897"/>
    <w:rsid w:val="26665E8F"/>
    <w:rsid w:val="26666271"/>
    <w:rsid w:val="26686E14"/>
    <w:rsid w:val="266879AE"/>
    <w:rsid w:val="26690388"/>
    <w:rsid w:val="26690F27"/>
    <w:rsid w:val="26691012"/>
    <w:rsid w:val="26694895"/>
    <w:rsid w:val="266A2317"/>
    <w:rsid w:val="266A5364"/>
    <w:rsid w:val="266B4515"/>
    <w:rsid w:val="266C1F97"/>
    <w:rsid w:val="266C303E"/>
    <w:rsid w:val="266C581A"/>
    <w:rsid w:val="266D3A19"/>
    <w:rsid w:val="266E0D1D"/>
    <w:rsid w:val="266E45B7"/>
    <w:rsid w:val="266E549A"/>
    <w:rsid w:val="266F2F1B"/>
    <w:rsid w:val="266F7045"/>
    <w:rsid w:val="26704BEA"/>
    <w:rsid w:val="26705B30"/>
    <w:rsid w:val="26722306"/>
    <w:rsid w:val="26723EA0"/>
    <w:rsid w:val="26727723"/>
    <w:rsid w:val="26731922"/>
    <w:rsid w:val="2673332F"/>
    <w:rsid w:val="26737C48"/>
    <w:rsid w:val="26742C26"/>
    <w:rsid w:val="26770328"/>
    <w:rsid w:val="2677349D"/>
    <w:rsid w:val="2678162D"/>
    <w:rsid w:val="2678382B"/>
    <w:rsid w:val="26785DA9"/>
    <w:rsid w:val="267912AC"/>
    <w:rsid w:val="267972B5"/>
    <w:rsid w:val="267A4B30"/>
    <w:rsid w:val="267A53F0"/>
    <w:rsid w:val="267A55B4"/>
    <w:rsid w:val="267A66BE"/>
    <w:rsid w:val="267B47B0"/>
    <w:rsid w:val="267B55A6"/>
    <w:rsid w:val="267D5AB4"/>
    <w:rsid w:val="267D7CB3"/>
    <w:rsid w:val="26800C37"/>
    <w:rsid w:val="268044BB"/>
    <w:rsid w:val="26806A39"/>
    <w:rsid w:val="26811F3C"/>
    <w:rsid w:val="26811FF9"/>
    <w:rsid w:val="268121BE"/>
    <w:rsid w:val="2682413A"/>
    <w:rsid w:val="2683543F"/>
    <w:rsid w:val="26842EC1"/>
    <w:rsid w:val="26850942"/>
    <w:rsid w:val="268550BF"/>
    <w:rsid w:val="26862B41"/>
    <w:rsid w:val="268663ED"/>
    <w:rsid w:val="268705C2"/>
    <w:rsid w:val="26873E45"/>
    <w:rsid w:val="268818C7"/>
    <w:rsid w:val="268818DC"/>
    <w:rsid w:val="26886044"/>
    <w:rsid w:val="26890504"/>
    <w:rsid w:val="26893AC5"/>
    <w:rsid w:val="268A4DCA"/>
    <w:rsid w:val="268B284C"/>
    <w:rsid w:val="268C02CD"/>
    <w:rsid w:val="268C2457"/>
    <w:rsid w:val="268C261C"/>
    <w:rsid w:val="268D24CB"/>
    <w:rsid w:val="268E37D0"/>
    <w:rsid w:val="268F1252"/>
    <w:rsid w:val="26904F49"/>
    <w:rsid w:val="26914755"/>
    <w:rsid w:val="26916953"/>
    <w:rsid w:val="269221D6"/>
    <w:rsid w:val="26937225"/>
    <w:rsid w:val="26937C58"/>
    <w:rsid w:val="269456DA"/>
    <w:rsid w:val="269478D8"/>
    <w:rsid w:val="2695133D"/>
    <w:rsid w:val="26955359"/>
    <w:rsid w:val="26961EDB"/>
    <w:rsid w:val="26962DDB"/>
    <w:rsid w:val="2696426F"/>
    <w:rsid w:val="26964425"/>
    <w:rsid w:val="26981B61"/>
    <w:rsid w:val="26983454"/>
    <w:rsid w:val="269862DE"/>
    <w:rsid w:val="269975E3"/>
    <w:rsid w:val="269A17E1"/>
    <w:rsid w:val="269A5064"/>
    <w:rsid w:val="269A5A41"/>
    <w:rsid w:val="269B2AE6"/>
    <w:rsid w:val="269B7263"/>
    <w:rsid w:val="269C0568"/>
    <w:rsid w:val="269C4CE4"/>
    <w:rsid w:val="269C6D59"/>
    <w:rsid w:val="269D2766"/>
    <w:rsid w:val="269D5FE9"/>
    <w:rsid w:val="269E01E7"/>
    <w:rsid w:val="269E3786"/>
    <w:rsid w:val="26A00BFC"/>
    <w:rsid w:val="26A06F6E"/>
    <w:rsid w:val="26A12175"/>
    <w:rsid w:val="26A149EF"/>
    <w:rsid w:val="26A22D14"/>
    <w:rsid w:val="26A336EE"/>
    <w:rsid w:val="26A3466F"/>
    <w:rsid w:val="26A37EF2"/>
    <w:rsid w:val="26A420F1"/>
    <w:rsid w:val="26A440C8"/>
    <w:rsid w:val="26A533F5"/>
    <w:rsid w:val="26A54D19"/>
    <w:rsid w:val="26A561C0"/>
    <w:rsid w:val="26A60E77"/>
    <w:rsid w:val="26A650A8"/>
    <w:rsid w:val="26A655F4"/>
    <w:rsid w:val="26A65805"/>
    <w:rsid w:val="26A74146"/>
    <w:rsid w:val="26A768F9"/>
    <w:rsid w:val="26A80AF7"/>
    <w:rsid w:val="26A8437A"/>
    <w:rsid w:val="26A86578"/>
    <w:rsid w:val="26A86D7E"/>
    <w:rsid w:val="26A93FFA"/>
    <w:rsid w:val="26AA1A7C"/>
    <w:rsid w:val="26AB52FF"/>
    <w:rsid w:val="26AB74FD"/>
    <w:rsid w:val="26AC2D80"/>
    <w:rsid w:val="26AD0802"/>
    <w:rsid w:val="26AD2A00"/>
    <w:rsid w:val="26AE0482"/>
    <w:rsid w:val="26AE2FAD"/>
    <w:rsid w:val="26AF3988"/>
    <w:rsid w:val="26AF3D05"/>
    <w:rsid w:val="26AF4526"/>
    <w:rsid w:val="26AF5F03"/>
    <w:rsid w:val="26B0360F"/>
    <w:rsid w:val="26B07208"/>
    <w:rsid w:val="26B11406"/>
    <w:rsid w:val="26B14C8A"/>
    <w:rsid w:val="26B2270B"/>
    <w:rsid w:val="26B2663E"/>
    <w:rsid w:val="26B26E88"/>
    <w:rsid w:val="26B3099D"/>
    <w:rsid w:val="26B371DC"/>
    <w:rsid w:val="26B50755"/>
    <w:rsid w:val="26B56C8E"/>
    <w:rsid w:val="26B56FF9"/>
    <w:rsid w:val="26B571AF"/>
    <w:rsid w:val="26B61111"/>
    <w:rsid w:val="26B612F4"/>
    <w:rsid w:val="26B71CCE"/>
    <w:rsid w:val="26B75F6B"/>
    <w:rsid w:val="26B76B93"/>
    <w:rsid w:val="26B90AB9"/>
    <w:rsid w:val="26BA7B18"/>
    <w:rsid w:val="26BC301B"/>
    <w:rsid w:val="26BD0A9C"/>
    <w:rsid w:val="26BD6A9C"/>
    <w:rsid w:val="26BE651E"/>
    <w:rsid w:val="26BF3F9F"/>
    <w:rsid w:val="26C01A21"/>
    <w:rsid w:val="26C22E0F"/>
    <w:rsid w:val="26C32062"/>
    <w:rsid w:val="26C329A6"/>
    <w:rsid w:val="26C74FDC"/>
    <w:rsid w:val="26C8635B"/>
    <w:rsid w:val="26C96D36"/>
    <w:rsid w:val="26CA0473"/>
    <w:rsid w:val="26CB02AF"/>
    <w:rsid w:val="26CB1012"/>
    <w:rsid w:val="26CC32B5"/>
    <w:rsid w:val="26CD0D37"/>
    <w:rsid w:val="26CD258B"/>
    <w:rsid w:val="26CE45BA"/>
    <w:rsid w:val="26CE4858"/>
    <w:rsid w:val="26CE67B8"/>
    <w:rsid w:val="26CE724B"/>
    <w:rsid w:val="26CF203B"/>
    <w:rsid w:val="26D01CBB"/>
    <w:rsid w:val="26D044DE"/>
    <w:rsid w:val="26D14D60"/>
    <w:rsid w:val="26D15241"/>
    <w:rsid w:val="26D20A42"/>
    <w:rsid w:val="26D23A93"/>
    <w:rsid w:val="26D406C1"/>
    <w:rsid w:val="26D43F45"/>
    <w:rsid w:val="26D57B6E"/>
    <w:rsid w:val="26D71646"/>
    <w:rsid w:val="26D74EC9"/>
    <w:rsid w:val="26D8294B"/>
    <w:rsid w:val="26DA3D9D"/>
    <w:rsid w:val="26DA5E4E"/>
    <w:rsid w:val="26DB004C"/>
    <w:rsid w:val="26DC16D2"/>
    <w:rsid w:val="26DC5ACE"/>
    <w:rsid w:val="26DD354F"/>
    <w:rsid w:val="26DD6DD3"/>
    <w:rsid w:val="26DE0FD1"/>
    <w:rsid w:val="26DF22D6"/>
    <w:rsid w:val="26DF6A52"/>
    <w:rsid w:val="26E044D4"/>
    <w:rsid w:val="26E11F56"/>
    <w:rsid w:val="26E157D9"/>
    <w:rsid w:val="26E25459"/>
    <w:rsid w:val="26E320E4"/>
    <w:rsid w:val="26E322A8"/>
    <w:rsid w:val="26E33046"/>
    <w:rsid w:val="26E4675D"/>
    <w:rsid w:val="26E543C0"/>
    <w:rsid w:val="26E61C61"/>
    <w:rsid w:val="26E63E5F"/>
    <w:rsid w:val="26E718E0"/>
    <w:rsid w:val="26E80EE7"/>
    <w:rsid w:val="26E87362"/>
    <w:rsid w:val="26E90667"/>
    <w:rsid w:val="26E92BE5"/>
    <w:rsid w:val="26E94DE4"/>
    <w:rsid w:val="26EA2865"/>
    <w:rsid w:val="26EB042A"/>
    <w:rsid w:val="26EB3B6A"/>
    <w:rsid w:val="26ED2085"/>
    <w:rsid w:val="26ED706D"/>
    <w:rsid w:val="26EE126B"/>
    <w:rsid w:val="26EE4AEF"/>
    <w:rsid w:val="26EF2570"/>
    <w:rsid w:val="26EF6CED"/>
    <w:rsid w:val="26F0750E"/>
    <w:rsid w:val="26F07CA0"/>
    <w:rsid w:val="26F07FF2"/>
    <w:rsid w:val="26F121F0"/>
    <w:rsid w:val="26F1465A"/>
    <w:rsid w:val="26F15A73"/>
    <w:rsid w:val="26F178A8"/>
    <w:rsid w:val="26F25034"/>
    <w:rsid w:val="26F356F3"/>
    <w:rsid w:val="26F43175"/>
    <w:rsid w:val="26F465AD"/>
    <w:rsid w:val="26F469F8"/>
    <w:rsid w:val="26F54479"/>
    <w:rsid w:val="26F57CEA"/>
    <w:rsid w:val="26F606C4"/>
    <w:rsid w:val="26F60889"/>
    <w:rsid w:val="26F71427"/>
    <w:rsid w:val="26F740F9"/>
    <w:rsid w:val="26F7797C"/>
    <w:rsid w:val="26F81B7B"/>
    <w:rsid w:val="26F81E01"/>
    <w:rsid w:val="26F929A0"/>
    <w:rsid w:val="26F92E80"/>
    <w:rsid w:val="26FA337A"/>
    <w:rsid w:val="26FA353F"/>
    <w:rsid w:val="26FB0581"/>
    <w:rsid w:val="26FB6383"/>
    <w:rsid w:val="26FC3E04"/>
    <w:rsid w:val="26FC4AB8"/>
    <w:rsid w:val="26FC6002"/>
    <w:rsid w:val="26FD1886"/>
    <w:rsid w:val="26FD3A84"/>
    <w:rsid w:val="26FE1506"/>
    <w:rsid w:val="26FE7307"/>
    <w:rsid w:val="26FF4D89"/>
    <w:rsid w:val="26FF6BCF"/>
    <w:rsid w:val="26FF6F87"/>
    <w:rsid w:val="27004A09"/>
    <w:rsid w:val="270075A9"/>
    <w:rsid w:val="27010CE7"/>
    <w:rsid w:val="2701248A"/>
    <w:rsid w:val="270216C1"/>
    <w:rsid w:val="2702378F"/>
    <w:rsid w:val="27031211"/>
    <w:rsid w:val="2704340F"/>
    <w:rsid w:val="27046C92"/>
    <w:rsid w:val="27074394"/>
    <w:rsid w:val="27077C17"/>
    <w:rsid w:val="270858F0"/>
    <w:rsid w:val="270A5318"/>
    <w:rsid w:val="270B65FE"/>
    <w:rsid w:val="270B67B4"/>
    <w:rsid w:val="270C081B"/>
    <w:rsid w:val="270D0F81"/>
    <w:rsid w:val="270D1B20"/>
    <w:rsid w:val="270D4739"/>
    <w:rsid w:val="270D629D"/>
    <w:rsid w:val="270E3D1E"/>
    <w:rsid w:val="270E75A2"/>
    <w:rsid w:val="27102AA5"/>
    <w:rsid w:val="27102ED4"/>
    <w:rsid w:val="27110526"/>
    <w:rsid w:val="27112725"/>
    <w:rsid w:val="27114CA3"/>
    <w:rsid w:val="271201A6"/>
    <w:rsid w:val="27133A29"/>
    <w:rsid w:val="27135C28"/>
    <w:rsid w:val="27146728"/>
    <w:rsid w:val="27156F2D"/>
    <w:rsid w:val="27166BAC"/>
    <w:rsid w:val="27167136"/>
    <w:rsid w:val="27167CA1"/>
    <w:rsid w:val="27167E66"/>
    <w:rsid w:val="27172430"/>
    <w:rsid w:val="2717462E"/>
    <w:rsid w:val="27187EB1"/>
    <w:rsid w:val="271933B4"/>
    <w:rsid w:val="27195933"/>
    <w:rsid w:val="271A01E4"/>
    <w:rsid w:val="271A7CC3"/>
    <w:rsid w:val="271B68B7"/>
    <w:rsid w:val="271B69F6"/>
    <w:rsid w:val="271C4339"/>
    <w:rsid w:val="271C4A6F"/>
    <w:rsid w:val="271D1DBA"/>
    <w:rsid w:val="271E783C"/>
    <w:rsid w:val="271F52BE"/>
    <w:rsid w:val="271F69C2"/>
    <w:rsid w:val="27202D3F"/>
    <w:rsid w:val="272107C1"/>
    <w:rsid w:val="27226242"/>
    <w:rsid w:val="2723183D"/>
    <w:rsid w:val="27233CC4"/>
    <w:rsid w:val="27241745"/>
    <w:rsid w:val="27252DB6"/>
    <w:rsid w:val="27273923"/>
    <w:rsid w:val="2728014B"/>
    <w:rsid w:val="272922EB"/>
    <w:rsid w:val="272A364F"/>
    <w:rsid w:val="272A6446"/>
    <w:rsid w:val="272A6E20"/>
    <w:rsid w:val="272A6FE5"/>
    <w:rsid w:val="272B10D0"/>
    <w:rsid w:val="272C0399"/>
    <w:rsid w:val="272C6B52"/>
    <w:rsid w:val="272E1912"/>
    <w:rsid w:val="272E1AD7"/>
    <w:rsid w:val="272E2055"/>
    <w:rsid w:val="272F24B1"/>
    <w:rsid w:val="27310A5B"/>
    <w:rsid w:val="273242DE"/>
    <w:rsid w:val="27331D60"/>
    <w:rsid w:val="27345D06"/>
    <w:rsid w:val="27355263"/>
    <w:rsid w:val="27357461"/>
    <w:rsid w:val="27362CE4"/>
    <w:rsid w:val="27377C59"/>
    <w:rsid w:val="27377E1D"/>
    <w:rsid w:val="273803E6"/>
    <w:rsid w:val="27391F35"/>
    <w:rsid w:val="27395E67"/>
    <w:rsid w:val="273A38E9"/>
    <w:rsid w:val="273B136A"/>
    <w:rsid w:val="273B32E9"/>
    <w:rsid w:val="273B4BEE"/>
    <w:rsid w:val="273C404C"/>
    <w:rsid w:val="273C6DEC"/>
    <w:rsid w:val="273D486E"/>
    <w:rsid w:val="273F35F4"/>
    <w:rsid w:val="273F5F9F"/>
    <w:rsid w:val="273F7D71"/>
    <w:rsid w:val="274057F2"/>
    <w:rsid w:val="27416AF7"/>
    <w:rsid w:val="274176DD"/>
    <w:rsid w:val="274200B7"/>
    <w:rsid w:val="27420CF5"/>
    <w:rsid w:val="27424579"/>
    <w:rsid w:val="27431FFA"/>
    <w:rsid w:val="27436777"/>
    <w:rsid w:val="274441F8"/>
    <w:rsid w:val="27447A7C"/>
    <w:rsid w:val="27451C7A"/>
    <w:rsid w:val="2746390C"/>
    <w:rsid w:val="274676FC"/>
    <w:rsid w:val="2747517D"/>
    <w:rsid w:val="27482BFF"/>
    <w:rsid w:val="27484CC0"/>
    <w:rsid w:val="27486482"/>
    <w:rsid w:val="27490680"/>
    <w:rsid w:val="27493F03"/>
    <w:rsid w:val="2749585F"/>
    <w:rsid w:val="274A1985"/>
    <w:rsid w:val="274A3B83"/>
    <w:rsid w:val="274A6102"/>
    <w:rsid w:val="274A6239"/>
    <w:rsid w:val="274A63FE"/>
    <w:rsid w:val="274B0A37"/>
    <w:rsid w:val="274B7407"/>
    <w:rsid w:val="274C4E88"/>
    <w:rsid w:val="274D0351"/>
    <w:rsid w:val="274D4B08"/>
    <w:rsid w:val="274E717C"/>
    <w:rsid w:val="274F000B"/>
    <w:rsid w:val="27511310"/>
    <w:rsid w:val="275131CB"/>
    <w:rsid w:val="2751350E"/>
    <w:rsid w:val="275151F0"/>
    <w:rsid w:val="27524813"/>
    <w:rsid w:val="275324C4"/>
    <w:rsid w:val="27534744"/>
    <w:rsid w:val="275413AC"/>
    <w:rsid w:val="27544493"/>
    <w:rsid w:val="27547D16"/>
    <w:rsid w:val="275505FF"/>
    <w:rsid w:val="27551F14"/>
    <w:rsid w:val="27555798"/>
    <w:rsid w:val="27567996"/>
    <w:rsid w:val="27570C9B"/>
    <w:rsid w:val="27575417"/>
    <w:rsid w:val="27582E99"/>
    <w:rsid w:val="2758671C"/>
    <w:rsid w:val="2759091B"/>
    <w:rsid w:val="275A39A0"/>
    <w:rsid w:val="275A639C"/>
    <w:rsid w:val="275C189F"/>
    <w:rsid w:val="275C5122"/>
    <w:rsid w:val="275D7321"/>
    <w:rsid w:val="275E5EB1"/>
    <w:rsid w:val="275F2824"/>
    <w:rsid w:val="275F53B8"/>
    <w:rsid w:val="276002A5"/>
    <w:rsid w:val="27603B29"/>
    <w:rsid w:val="276115AA"/>
    <w:rsid w:val="27615D27"/>
    <w:rsid w:val="27616AF6"/>
    <w:rsid w:val="2762122A"/>
    <w:rsid w:val="27630C0D"/>
    <w:rsid w:val="27634AAD"/>
    <w:rsid w:val="276417AC"/>
    <w:rsid w:val="276521AF"/>
    <w:rsid w:val="2765234A"/>
    <w:rsid w:val="27657FB0"/>
    <w:rsid w:val="27665A32"/>
    <w:rsid w:val="27666A45"/>
    <w:rsid w:val="27667C30"/>
    <w:rsid w:val="276734B3"/>
    <w:rsid w:val="276736FF"/>
    <w:rsid w:val="276756B2"/>
    <w:rsid w:val="27680F35"/>
    <w:rsid w:val="27683133"/>
    <w:rsid w:val="2768429D"/>
    <w:rsid w:val="276969B7"/>
    <w:rsid w:val="276B40B8"/>
    <w:rsid w:val="276B793B"/>
    <w:rsid w:val="276C1B3A"/>
    <w:rsid w:val="276D21F3"/>
    <w:rsid w:val="276D2E3E"/>
    <w:rsid w:val="276D75BB"/>
    <w:rsid w:val="276F1C0A"/>
    <w:rsid w:val="276F2ABE"/>
    <w:rsid w:val="27700540"/>
    <w:rsid w:val="277057A2"/>
    <w:rsid w:val="27715FC1"/>
    <w:rsid w:val="27724B77"/>
    <w:rsid w:val="27724EE3"/>
    <w:rsid w:val="27725403"/>
    <w:rsid w:val="277272C6"/>
    <w:rsid w:val="277314C4"/>
    <w:rsid w:val="2773480C"/>
    <w:rsid w:val="277427C9"/>
    <w:rsid w:val="27762449"/>
    <w:rsid w:val="27766813"/>
    <w:rsid w:val="2777374E"/>
    <w:rsid w:val="27777ECB"/>
    <w:rsid w:val="277811CF"/>
    <w:rsid w:val="2778594C"/>
    <w:rsid w:val="27796C51"/>
    <w:rsid w:val="277A68D1"/>
    <w:rsid w:val="277B2154"/>
    <w:rsid w:val="277C7BD6"/>
    <w:rsid w:val="277E173A"/>
    <w:rsid w:val="277E30D9"/>
    <w:rsid w:val="277E52D7"/>
    <w:rsid w:val="277F07D8"/>
    <w:rsid w:val="277F0B5A"/>
    <w:rsid w:val="278065DC"/>
    <w:rsid w:val="2781405D"/>
    <w:rsid w:val="27821ADF"/>
    <w:rsid w:val="27842A64"/>
    <w:rsid w:val="278504E5"/>
    <w:rsid w:val="278739E8"/>
    <w:rsid w:val="2788146A"/>
    <w:rsid w:val="278836B6"/>
    <w:rsid w:val="27896EEB"/>
    <w:rsid w:val="27897907"/>
    <w:rsid w:val="278A496D"/>
    <w:rsid w:val="278B23EE"/>
    <w:rsid w:val="278C7E70"/>
    <w:rsid w:val="278D3D61"/>
    <w:rsid w:val="278E0648"/>
    <w:rsid w:val="278E34D5"/>
    <w:rsid w:val="278F1023"/>
    <w:rsid w:val="278F3520"/>
    <w:rsid w:val="279019FD"/>
    <w:rsid w:val="27906876"/>
    <w:rsid w:val="2791259C"/>
    <w:rsid w:val="279142F8"/>
    <w:rsid w:val="2794527C"/>
    <w:rsid w:val="27952CFE"/>
    <w:rsid w:val="2795508D"/>
    <w:rsid w:val="27965DF0"/>
    <w:rsid w:val="27983C83"/>
    <w:rsid w:val="27987506"/>
    <w:rsid w:val="27991704"/>
    <w:rsid w:val="27994F87"/>
    <w:rsid w:val="279A2A09"/>
    <w:rsid w:val="279A4C07"/>
    <w:rsid w:val="279B048A"/>
    <w:rsid w:val="279B2689"/>
    <w:rsid w:val="279C010A"/>
    <w:rsid w:val="279D398E"/>
    <w:rsid w:val="279D5B8C"/>
    <w:rsid w:val="279E140F"/>
    <w:rsid w:val="279E360D"/>
    <w:rsid w:val="279F108F"/>
    <w:rsid w:val="279F1B2D"/>
    <w:rsid w:val="279F494D"/>
    <w:rsid w:val="27A04912"/>
    <w:rsid w:val="27A33318"/>
    <w:rsid w:val="27A52F98"/>
    <w:rsid w:val="27A5681B"/>
    <w:rsid w:val="27A7649B"/>
    <w:rsid w:val="27A9199E"/>
    <w:rsid w:val="27A95222"/>
    <w:rsid w:val="27AA2CA3"/>
    <w:rsid w:val="27AA4F6F"/>
    <w:rsid w:val="27AA7420"/>
    <w:rsid w:val="27AB0725"/>
    <w:rsid w:val="27AB4EA2"/>
    <w:rsid w:val="27AB594A"/>
    <w:rsid w:val="27AB7C04"/>
    <w:rsid w:val="27AC02E3"/>
    <w:rsid w:val="27AC2923"/>
    <w:rsid w:val="27AC61A6"/>
    <w:rsid w:val="27AC6324"/>
    <w:rsid w:val="27AC64E8"/>
    <w:rsid w:val="27AD3C28"/>
    <w:rsid w:val="27AE16A9"/>
    <w:rsid w:val="27AE7A61"/>
    <w:rsid w:val="27AF712B"/>
    <w:rsid w:val="27B04BAD"/>
    <w:rsid w:val="27B1262E"/>
    <w:rsid w:val="27B16DAB"/>
    <w:rsid w:val="27B222AE"/>
    <w:rsid w:val="27B2482C"/>
    <w:rsid w:val="27B435B3"/>
    <w:rsid w:val="27B457B1"/>
    <w:rsid w:val="27B51034"/>
    <w:rsid w:val="27B65BE3"/>
    <w:rsid w:val="27B74537"/>
    <w:rsid w:val="27B76736"/>
    <w:rsid w:val="27B76782"/>
    <w:rsid w:val="27B81FB9"/>
    <w:rsid w:val="27B87321"/>
    <w:rsid w:val="27B91C39"/>
    <w:rsid w:val="27B92C6D"/>
    <w:rsid w:val="27BA1D0A"/>
    <w:rsid w:val="27BA2F3E"/>
    <w:rsid w:val="27BA54BC"/>
    <w:rsid w:val="27BB0A3D"/>
    <w:rsid w:val="27BB513C"/>
    <w:rsid w:val="27BC1E12"/>
    <w:rsid w:val="27BC6441"/>
    <w:rsid w:val="27BE338B"/>
    <w:rsid w:val="27BE60C1"/>
    <w:rsid w:val="27BF3B42"/>
    <w:rsid w:val="27BF73C5"/>
    <w:rsid w:val="27C015C4"/>
    <w:rsid w:val="27C04E47"/>
    <w:rsid w:val="27C12149"/>
    <w:rsid w:val="27C154A3"/>
    <w:rsid w:val="27C17045"/>
    <w:rsid w:val="27C2034A"/>
    <w:rsid w:val="27C24AC7"/>
    <w:rsid w:val="27C512CF"/>
    <w:rsid w:val="27C747D2"/>
    <w:rsid w:val="27C82253"/>
    <w:rsid w:val="27C869D0"/>
    <w:rsid w:val="27C9064C"/>
    <w:rsid w:val="27C937EA"/>
    <w:rsid w:val="27C93C5B"/>
    <w:rsid w:val="27CA1ED3"/>
    <w:rsid w:val="27CA2CF9"/>
    <w:rsid w:val="27CB31D8"/>
    <w:rsid w:val="27CB7955"/>
    <w:rsid w:val="27CC0C59"/>
    <w:rsid w:val="27CD08D9"/>
    <w:rsid w:val="27CD66DB"/>
    <w:rsid w:val="27CE415D"/>
    <w:rsid w:val="27CE635B"/>
    <w:rsid w:val="27CF05B7"/>
    <w:rsid w:val="27CF1BDE"/>
    <w:rsid w:val="27CF7A19"/>
    <w:rsid w:val="27D11B30"/>
    <w:rsid w:val="27D150E1"/>
    <w:rsid w:val="27D172E0"/>
    <w:rsid w:val="27D2250A"/>
    <w:rsid w:val="27D24D61"/>
    <w:rsid w:val="27D327E3"/>
    <w:rsid w:val="27D330A9"/>
    <w:rsid w:val="27D51569"/>
    <w:rsid w:val="27D547E6"/>
    <w:rsid w:val="27D55CE6"/>
    <w:rsid w:val="27D63767"/>
    <w:rsid w:val="27D651C1"/>
    <w:rsid w:val="27D66B0F"/>
    <w:rsid w:val="27D66FEB"/>
    <w:rsid w:val="27D711E9"/>
    <w:rsid w:val="27D824EE"/>
    <w:rsid w:val="27D86739"/>
    <w:rsid w:val="27D86C6A"/>
    <w:rsid w:val="27D946EC"/>
    <w:rsid w:val="27D972D8"/>
    <w:rsid w:val="27D97F6F"/>
    <w:rsid w:val="27DA216D"/>
    <w:rsid w:val="27DC5671"/>
    <w:rsid w:val="27DD2B2D"/>
    <w:rsid w:val="27DD30F2"/>
    <w:rsid w:val="27DD5E6A"/>
    <w:rsid w:val="27DD6975"/>
    <w:rsid w:val="27DE3343"/>
    <w:rsid w:val="27DE3507"/>
    <w:rsid w:val="27DE43F7"/>
    <w:rsid w:val="27DF3EE1"/>
    <w:rsid w:val="27DF40A6"/>
    <w:rsid w:val="27DF65F5"/>
    <w:rsid w:val="27E11AF8"/>
    <w:rsid w:val="27E22DFD"/>
    <w:rsid w:val="27E26D38"/>
    <w:rsid w:val="27E3087F"/>
    <w:rsid w:val="27E34FFB"/>
    <w:rsid w:val="27E404FE"/>
    <w:rsid w:val="27E46300"/>
    <w:rsid w:val="27E53D82"/>
    <w:rsid w:val="27E67E6F"/>
    <w:rsid w:val="27E71689"/>
    <w:rsid w:val="27E77285"/>
    <w:rsid w:val="27E84D06"/>
    <w:rsid w:val="27E92788"/>
    <w:rsid w:val="27E92C02"/>
    <w:rsid w:val="27EA020A"/>
    <w:rsid w:val="27EA3965"/>
    <w:rsid w:val="27EB4340"/>
    <w:rsid w:val="27EB4EDE"/>
    <w:rsid w:val="27EB5C8B"/>
    <w:rsid w:val="27EC58B9"/>
    <w:rsid w:val="27ED6C10"/>
    <w:rsid w:val="27EE4691"/>
    <w:rsid w:val="27EF2113"/>
    <w:rsid w:val="27F15616"/>
    <w:rsid w:val="27F33FEA"/>
    <w:rsid w:val="27F427FC"/>
    <w:rsid w:val="27F4659B"/>
    <w:rsid w:val="27F51899"/>
    <w:rsid w:val="27F61A9E"/>
    <w:rsid w:val="27F7533C"/>
    <w:rsid w:val="27F7751F"/>
    <w:rsid w:val="27F84FA1"/>
    <w:rsid w:val="27F966F1"/>
    <w:rsid w:val="27FA04A4"/>
    <w:rsid w:val="27FA6A3D"/>
    <w:rsid w:val="27FB0808"/>
    <w:rsid w:val="27FB5F25"/>
    <w:rsid w:val="27FC457D"/>
    <w:rsid w:val="27FD1D81"/>
    <w:rsid w:val="27FD1F46"/>
    <w:rsid w:val="27FD6F59"/>
    <w:rsid w:val="27FF01AF"/>
    <w:rsid w:val="280023AD"/>
    <w:rsid w:val="2801645C"/>
    <w:rsid w:val="28021134"/>
    <w:rsid w:val="280258B0"/>
    <w:rsid w:val="28030DB3"/>
    <w:rsid w:val="28033332"/>
    <w:rsid w:val="28036BB5"/>
    <w:rsid w:val="28046835"/>
    <w:rsid w:val="280542B6"/>
    <w:rsid w:val="28067B3A"/>
    <w:rsid w:val="28071805"/>
    <w:rsid w:val="280821E0"/>
    <w:rsid w:val="28090ABE"/>
    <w:rsid w:val="28092CBD"/>
    <w:rsid w:val="28092D7E"/>
    <w:rsid w:val="280A073E"/>
    <w:rsid w:val="280A3E3D"/>
    <w:rsid w:val="280B3FC1"/>
    <w:rsid w:val="280B42F7"/>
    <w:rsid w:val="280B44BC"/>
    <w:rsid w:val="280B61C0"/>
    <w:rsid w:val="280C3C41"/>
    <w:rsid w:val="280C74C5"/>
    <w:rsid w:val="280D4F46"/>
    <w:rsid w:val="280D5A34"/>
    <w:rsid w:val="280E7144"/>
    <w:rsid w:val="280F4BC6"/>
    <w:rsid w:val="280F6FAD"/>
    <w:rsid w:val="28102647"/>
    <w:rsid w:val="28105ECB"/>
    <w:rsid w:val="28107987"/>
    <w:rsid w:val="281100C9"/>
    <w:rsid w:val="28125B4B"/>
    <w:rsid w:val="281335CC"/>
    <w:rsid w:val="28136E4F"/>
    <w:rsid w:val="2814104E"/>
    <w:rsid w:val="2814263E"/>
    <w:rsid w:val="281448D1"/>
    <w:rsid w:val="28156ACF"/>
    <w:rsid w:val="28167DD4"/>
    <w:rsid w:val="28175856"/>
    <w:rsid w:val="281828B0"/>
    <w:rsid w:val="281832D7"/>
    <w:rsid w:val="28187A54"/>
    <w:rsid w:val="281954D5"/>
    <w:rsid w:val="281A2C55"/>
    <w:rsid w:val="281B09D9"/>
    <w:rsid w:val="281B425C"/>
    <w:rsid w:val="281C0984"/>
    <w:rsid w:val="281C3EDC"/>
    <w:rsid w:val="281D135F"/>
    <w:rsid w:val="281D1523"/>
    <w:rsid w:val="281E51E0"/>
    <w:rsid w:val="281E73DF"/>
    <w:rsid w:val="281F2C62"/>
    <w:rsid w:val="28201C28"/>
    <w:rsid w:val="282028E2"/>
    <w:rsid w:val="2820363B"/>
    <w:rsid w:val="28214015"/>
    <w:rsid w:val="28216165"/>
    <w:rsid w:val="28223BE7"/>
    <w:rsid w:val="28233866"/>
    <w:rsid w:val="28235F68"/>
    <w:rsid w:val="28244B6B"/>
    <w:rsid w:val="28246CCB"/>
    <w:rsid w:val="28260244"/>
    <w:rsid w:val="282647EB"/>
    <w:rsid w:val="28264884"/>
    <w:rsid w:val="28283572"/>
    <w:rsid w:val="28292197"/>
    <w:rsid w:val="282A2EFA"/>
    <w:rsid w:val="282A31F1"/>
    <w:rsid w:val="282A6A75"/>
    <w:rsid w:val="282A6EB4"/>
    <w:rsid w:val="282B38D4"/>
    <w:rsid w:val="282B44F6"/>
    <w:rsid w:val="282C66F4"/>
    <w:rsid w:val="282D79F9"/>
    <w:rsid w:val="282E1BF8"/>
    <w:rsid w:val="282E2A25"/>
    <w:rsid w:val="282E2BB6"/>
    <w:rsid w:val="282E3EE4"/>
    <w:rsid w:val="282E547B"/>
    <w:rsid w:val="282F2EFC"/>
    <w:rsid w:val="282F3B79"/>
    <w:rsid w:val="283050FB"/>
    <w:rsid w:val="2830793F"/>
    <w:rsid w:val="283104DE"/>
    <w:rsid w:val="283163FF"/>
    <w:rsid w:val="283205FE"/>
    <w:rsid w:val="28323E81"/>
    <w:rsid w:val="28331903"/>
    <w:rsid w:val="2833607F"/>
    <w:rsid w:val="28337849"/>
    <w:rsid w:val="28341582"/>
    <w:rsid w:val="283425F5"/>
    <w:rsid w:val="28347384"/>
    <w:rsid w:val="28357004"/>
    <w:rsid w:val="28364A85"/>
    <w:rsid w:val="28372507"/>
    <w:rsid w:val="2837470D"/>
    <w:rsid w:val="283850E7"/>
    <w:rsid w:val="283852AB"/>
    <w:rsid w:val="28387F89"/>
    <w:rsid w:val="2839380C"/>
    <w:rsid w:val="28395A0A"/>
    <w:rsid w:val="283B6D0F"/>
    <w:rsid w:val="283B73C3"/>
    <w:rsid w:val="283C2212"/>
    <w:rsid w:val="283C698F"/>
    <w:rsid w:val="283C7F62"/>
    <w:rsid w:val="283D093C"/>
    <w:rsid w:val="283D4410"/>
    <w:rsid w:val="283D7C94"/>
    <w:rsid w:val="283E1316"/>
    <w:rsid w:val="283E1E92"/>
    <w:rsid w:val="283E1EB5"/>
    <w:rsid w:val="283E2079"/>
    <w:rsid w:val="283E5715"/>
    <w:rsid w:val="283F7913"/>
    <w:rsid w:val="28400C18"/>
    <w:rsid w:val="2840342E"/>
    <w:rsid w:val="28413FCC"/>
    <w:rsid w:val="2841669A"/>
    <w:rsid w:val="28420898"/>
    <w:rsid w:val="2843631A"/>
    <w:rsid w:val="28443D9B"/>
    <w:rsid w:val="2844761E"/>
    <w:rsid w:val="2845181D"/>
    <w:rsid w:val="284550A0"/>
    <w:rsid w:val="28456C82"/>
    <w:rsid w:val="28470C14"/>
    <w:rsid w:val="28486025"/>
    <w:rsid w:val="28491774"/>
    <w:rsid w:val="284A2313"/>
    <w:rsid w:val="284B0CE8"/>
    <w:rsid w:val="284B1209"/>
    <w:rsid w:val="284B3726"/>
    <w:rsid w:val="284C4A2B"/>
    <w:rsid w:val="284F637D"/>
    <w:rsid w:val="28541E37"/>
    <w:rsid w:val="28562DBC"/>
    <w:rsid w:val="285940BD"/>
    <w:rsid w:val="28595263"/>
    <w:rsid w:val="285A315A"/>
    <w:rsid w:val="285A367B"/>
    <w:rsid w:val="285B2042"/>
    <w:rsid w:val="285B49B3"/>
    <w:rsid w:val="285C4CC5"/>
    <w:rsid w:val="285D08F3"/>
    <w:rsid w:val="285D0AB8"/>
    <w:rsid w:val="285D2747"/>
    <w:rsid w:val="285E1492"/>
    <w:rsid w:val="285F5C4A"/>
    <w:rsid w:val="286036CB"/>
    <w:rsid w:val="2861114D"/>
    <w:rsid w:val="286135A9"/>
    <w:rsid w:val="286454FC"/>
    <w:rsid w:val="28645955"/>
    <w:rsid w:val="28655366"/>
    <w:rsid w:val="2865609B"/>
    <w:rsid w:val="28656260"/>
    <w:rsid w:val="28657B53"/>
    <w:rsid w:val="28662792"/>
    <w:rsid w:val="28666C3A"/>
    <w:rsid w:val="286677D8"/>
    <w:rsid w:val="28670377"/>
    <w:rsid w:val="28673056"/>
    <w:rsid w:val="28680B8D"/>
    <w:rsid w:val="286A3FDB"/>
    <w:rsid w:val="286A785E"/>
    <w:rsid w:val="286B1A5C"/>
    <w:rsid w:val="286C2D61"/>
    <w:rsid w:val="286C3843"/>
    <w:rsid w:val="286C74DE"/>
    <w:rsid w:val="286D43E2"/>
    <w:rsid w:val="286E4F80"/>
    <w:rsid w:val="28710571"/>
    <w:rsid w:val="287113E7"/>
    <w:rsid w:val="28724C6B"/>
    <w:rsid w:val="28727C37"/>
    <w:rsid w:val="287311B0"/>
    <w:rsid w:val="2874016E"/>
    <w:rsid w:val="2874236C"/>
    <w:rsid w:val="28752728"/>
    <w:rsid w:val="287610F2"/>
    <w:rsid w:val="287845F5"/>
    <w:rsid w:val="28786E47"/>
    <w:rsid w:val="28792077"/>
    <w:rsid w:val="28796713"/>
    <w:rsid w:val="287967F4"/>
    <w:rsid w:val="287A4275"/>
    <w:rsid w:val="287B1CF7"/>
    <w:rsid w:val="287B557A"/>
    <w:rsid w:val="287B6793"/>
    <w:rsid w:val="287C2FFC"/>
    <w:rsid w:val="287C7778"/>
    <w:rsid w:val="287D0A7D"/>
    <w:rsid w:val="287D2AE8"/>
    <w:rsid w:val="287D7ED0"/>
    <w:rsid w:val="28801A02"/>
    <w:rsid w:val="288129C2"/>
    <w:rsid w:val="28817483"/>
    <w:rsid w:val="28821682"/>
    <w:rsid w:val="28833F3B"/>
    <w:rsid w:val="28834ADA"/>
    <w:rsid w:val="28834C9E"/>
    <w:rsid w:val="28840408"/>
    <w:rsid w:val="28844B85"/>
    <w:rsid w:val="28852AA7"/>
    <w:rsid w:val="28855E8A"/>
    <w:rsid w:val="28866BF1"/>
    <w:rsid w:val="28870A2D"/>
    <w:rsid w:val="2887138D"/>
    <w:rsid w:val="2887358B"/>
    <w:rsid w:val="2888016A"/>
    <w:rsid w:val="28886E0E"/>
    <w:rsid w:val="28894890"/>
    <w:rsid w:val="28896A8E"/>
    <w:rsid w:val="288B1F91"/>
    <w:rsid w:val="288B2446"/>
    <w:rsid w:val="288B7D93"/>
    <w:rsid w:val="288C2E20"/>
    <w:rsid w:val="288D39BF"/>
    <w:rsid w:val="288E2F16"/>
    <w:rsid w:val="288F0997"/>
    <w:rsid w:val="28905912"/>
    <w:rsid w:val="289064B1"/>
    <w:rsid w:val="2892191C"/>
    <w:rsid w:val="2892519F"/>
    <w:rsid w:val="289305C8"/>
    <w:rsid w:val="2893739E"/>
    <w:rsid w:val="289406A2"/>
    <w:rsid w:val="28941167"/>
    <w:rsid w:val="28944843"/>
    <w:rsid w:val="289528A1"/>
    <w:rsid w:val="28953A96"/>
    <w:rsid w:val="28953C4C"/>
    <w:rsid w:val="28956124"/>
    <w:rsid w:val="28960322"/>
    <w:rsid w:val="28963BA5"/>
    <w:rsid w:val="28971627"/>
    <w:rsid w:val="28975DA4"/>
    <w:rsid w:val="28983C59"/>
    <w:rsid w:val="289870A9"/>
    <w:rsid w:val="289A51D2"/>
    <w:rsid w:val="289B002D"/>
    <w:rsid w:val="289B13C8"/>
    <w:rsid w:val="289B47AA"/>
    <w:rsid w:val="289C5AAF"/>
    <w:rsid w:val="289C74AE"/>
    <w:rsid w:val="289D3530"/>
    <w:rsid w:val="289E0FB2"/>
    <w:rsid w:val="289E31B0"/>
    <w:rsid w:val="289F0C32"/>
    <w:rsid w:val="289F6A33"/>
    <w:rsid w:val="28A00E25"/>
    <w:rsid w:val="28A044B5"/>
    <w:rsid w:val="28A066B3"/>
    <w:rsid w:val="28A11F36"/>
    <w:rsid w:val="28A1297A"/>
    <w:rsid w:val="28A12B3E"/>
    <w:rsid w:val="28A14135"/>
    <w:rsid w:val="28A21BB6"/>
    <w:rsid w:val="28A3543A"/>
    <w:rsid w:val="28A37638"/>
    <w:rsid w:val="28A459E7"/>
    <w:rsid w:val="28A52B3B"/>
    <w:rsid w:val="28A63E40"/>
    <w:rsid w:val="28A718C1"/>
    <w:rsid w:val="28A76D6D"/>
    <w:rsid w:val="28A87343"/>
    <w:rsid w:val="28AA0CC0"/>
    <w:rsid w:val="28AA3FD9"/>
    <w:rsid w:val="28AB02C8"/>
    <w:rsid w:val="28AD37CB"/>
    <w:rsid w:val="28AD3976"/>
    <w:rsid w:val="28AE124C"/>
    <w:rsid w:val="28AE59C9"/>
    <w:rsid w:val="28AF344A"/>
    <w:rsid w:val="28AF6CCE"/>
    <w:rsid w:val="28B201C4"/>
    <w:rsid w:val="28B356D4"/>
    <w:rsid w:val="28B43155"/>
    <w:rsid w:val="28B66659"/>
    <w:rsid w:val="28B81B5C"/>
    <w:rsid w:val="28BA7F95"/>
    <w:rsid w:val="28BB2AE0"/>
    <w:rsid w:val="28BB5EEC"/>
    <w:rsid w:val="28BC0562"/>
    <w:rsid w:val="28BD3A65"/>
    <w:rsid w:val="28BD5FE3"/>
    <w:rsid w:val="28BD72A1"/>
    <w:rsid w:val="28BE0004"/>
    <w:rsid w:val="28BE14E7"/>
    <w:rsid w:val="28BF3C6F"/>
    <w:rsid w:val="28BF46B0"/>
    <w:rsid w:val="28BF6F68"/>
    <w:rsid w:val="28C049EA"/>
    <w:rsid w:val="28C1246B"/>
    <w:rsid w:val="28C27EED"/>
    <w:rsid w:val="28C433F0"/>
    <w:rsid w:val="28C54C0D"/>
    <w:rsid w:val="28C63719"/>
    <w:rsid w:val="28C63BE2"/>
    <w:rsid w:val="28C668F3"/>
    <w:rsid w:val="28C74374"/>
    <w:rsid w:val="28C76B60"/>
    <w:rsid w:val="28C81DF6"/>
    <w:rsid w:val="28C97878"/>
    <w:rsid w:val="28CA52F9"/>
    <w:rsid w:val="28CB65FE"/>
    <w:rsid w:val="28CC07FC"/>
    <w:rsid w:val="28CC407F"/>
    <w:rsid w:val="28CD627E"/>
    <w:rsid w:val="28CE60E1"/>
    <w:rsid w:val="28CE7583"/>
    <w:rsid w:val="28CF44CD"/>
    <w:rsid w:val="28D02A86"/>
    <w:rsid w:val="28D04587"/>
    <w:rsid w:val="28D129F1"/>
    <w:rsid w:val="28D45C09"/>
    <w:rsid w:val="28D56F0D"/>
    <w:rsid w:val="28D57A5B"/>
    <w:rsid w:val="28D61C74"/>
    <w:rsid w:val="28D6498F"/>
    <w:rsid w:val="28D66B8D"/>
    <w:rsid w:val="28D7460F"/>
    <w:rsid w:val="28D82090"/>
    <w:rsid w:val="28D87699"/>
    <w:rsid w:val="28D93D8C"/>
    <w:rsid w:val="28D95914"/>
    <w:rsid w:val="28D97B12"/>
    <w:rsid w:val="28DA4766"/>
    <w:rsid w:val="28DA5593"/>
    <w:rsid w:val="28DA74B8"/>
    <w:rsid w:val="28DB3015"/>
    <w:rsid w:val="28DC07D0"/>
    <w:rsid w:val="28DC0F94"/>
    <w:rsid w:val="28DD1D9B"/>
    <w:rsid w:val="28DD431A"/>
    <w:rsid w:val="28DE3F9A"/>
    <w:rsid w:val="28DE781D"/>
    <w:rsid w:val="28DF1A1B"/>
    <w:rsid w:val="28E02D20"/>
    <w:rsid w:val="28E0749D"/>
    <w:rsid w:val="28E1022D"/>
    <w:rsid w:val="28E107A2"/>
    <w:rsid w:val="28E14F1E"/>
    <w:rsid w:val="28E229A0"/>
    <w:rsid w:val="28E26223"/>
    <w:rsid w:val="28E441EA"/>
    <w:rsid w:val="28E53925"/>
    <w:rsid w:val="28E571A8"/>
    <w:rsid w:val="28E613A6"/>
    <w:rsid w:val="28E6559F"/>
    <w:rsid w:val="28E8012C"/>
    <w:rsid w:val="28E9232B"/>
    <w:rsid w:val="28E978C7"/>
    <w:rsid w:val="28EA0255"/>
    <w:rsid w:val="28EA3630"/>
    <w:rsid w:val="28EA7DAC"/>
    <w:rsid w:val="28EB10B1"/>
    <w:rsid w:val="28EB2659"/>
    <w:rsid w:val="28EB2EE5"/>
    <w:rsid w:val="28EC1541"/>
    <w:rsid w:val="28EC1992"/>
    <w:rsid w:val="28EC32AF"/>
    <w:rsid w:val="28EC6B33"/>
    <w:rsid w:val="28ED0D31"/>
    <w:rsid w:val="28ED6C40"/>
    <w:rsid w:val="28EF38E5"/>
    <w:rsid w:val="28EF7AB7"/>
    <w:rsid w:val="28F12FBA"/>
    <w:rsid w:val="28F13BF1"/>
    <w:rsid w:val="28F151B9"/>
    <w:rsid w:val="28F22C3A"/>
    <w:rsid w:val="28F263D7"/>
    <w:rsid w:val="28F364BD"/>
    <w:rsid w:val="28F3713A"/>
    <w:rsid w:val="28F43F3F"/>
    <w:rsid w:val="28F4613D"/>
    <w:rsid w:val="28F506B3"/>
    <w:rsid w:val="28F519C1"/>
    <w:rsid w:val="28F57442"/>
    <w:rsid w:val="28F64EC4"/>
    <w:rsid w:val="28F770C2"/>
    <w:rsid w:val="28F82606"/>
    <w:rsid w:val="28F925C5"/>
    <w:rsid w:val="28F931A5"/>
    <w:rsid w:val="28F93369"/>
    <w:rsid w:val="28F95E48"/>
    <w:rsid w:val="28FA0047"/>
    <w:rsid w:val="28FA28AA"/>
    <w:rsid w:val="28FA38CA"/>
    <w:rsid w:val="28FB134B"/>
    <w:rsid w:val="28FB4835"/>
    <w:rsid w:val="28FB5AC8"/>
    <w:rsid w:val="28FC05AD"/>
    <w:rsid w:val="28FC354A"/>
    <w:rsid w:val="28FC6DCD"/>
    <w:rsid w:val="28FD0FCB"/>
    <w:rsid w:val="28FD484F"/>
    <w:rsid w:val="28FD5E5B"/>
    <w:rsid w:val="28FE22D0"/>
    <w:rsid w:val="28FE6A4D"/>
    <w:rsid w:val="28FF7D52"/>
    <w:rsid w:val="29001F50"/>
    <w:rsid w:val="290032A5"/>
    <w:rsid w:val="290057D3"/>
    <w:rsid w:val="29020CD6"/>
    <w:rsid w:val="29021EC6"/>
    <w:rsid w:val="2902208A"/>
    <w:rsid w:val="29022CAB"/>
    <w:rsid w:val="29032ED5"/>
    <w:rsid w:val="29036758"/>
    <w:rsid w:val="29040956"/>
    <w:rsid w:val="290441D9"/>
    <w:rsid w:val="29051C5B"/>
    <w:rsid w:val="290541A2"/>
    <w:rsid w:val="29054394"/>
    <w:rsid w:val="290563D8"/>
    <w:rsid w:val="290618DB"/>
    <w:rsid w:val="290676DC"/>
    <w:rsid w:val="2907515E"/>
    <w:rsid w:val="2907735C"/>
    <w:rsid w:val="29084DDE"/>
    <w:rsid w:val="29096346"/>
    <w:rsid w:val="290A02E1"/>
    <w:rsid w:val="290A766E"/>
    <w:rsid w:val="290B5D62"/>
    <w:rsid w:val="290C15E6"/>
    <w:rsid w:val="290C194A"/>
    <w:rsid w:val="290C37E4"/>
    <w:rsid w:val="290D2324"/>
    <w:rsid w:val="290D4AE9"/>
    <w:rsid w:val="290E256A"/>
    <w:rsid w:val="290F389D"/>
    <w:rsid w:val="290F4769"/>
    <w:rsid w:val="291021EA"/>
    <w:rsid w:val="29105A6E"/>
    <w:rsid w:val="29117C6C"/>
    <w:rsid w:val="29120F71"/>
    <w:rsid w:val="291256ED"/>
    <w:rsid w:val="2913316F"/>
    <w:rsid w:val="291369F2"/>
    <w:rsid w:val="29140BF0"/>
    <w:rsid w:val="29151EF5"/>
    <w:rsid w:val="29156672"/>
    <w:rsid w:val="29166E63"/>
    <w:rsid w:val="291753F8"/>
    <w:rsid w:val="29182E7A"/>
    <w:rsid w:val="29192782"/>
    <w:rsid w:val="29193321"/>
    <w:rsid w:val="291A637D"/>
    <w:rsid w:val="291C1880"/>
    <w:rsid w:val="291C5438"/>
    <w:rsid w:val="291D5E12"/>
    <w:rsid w:val="291D7302"/>
    <w:rsid w:val="291F2805"/>
    <w:rsid w:val="29206EB8"/>
    <w:rsid w:val="29207F2A"/>
    <w:rsid w:val="2923120B"/>
    <w:rsid w:val="29242A1C"/>
    <w:rsid w:val="29246C8C"/>
    <w:rsid w:val="29253EF7"/>
    <w:rsid w:val="292634B6"/>
    <w:rsid w:val="29263F95"/>
    <w:rsid w:val="29267C11"/>
    <w:rsid w:val="29275693"/>
    <w:rsid w:val="29286271"/>
    <w:rsid w:val="292865F2"/>
    <w:rsid w:val="29296C4B"/>
    <w:rsid w:val="292A77E9"/>
    <w:rsid w:val="292E24A0"/>
    <w:rsid w:val="29311825"/>
    <w:rsid w:val="293314A5"/>
    <w:rsid w:val="29334D29"/>
    <w:rsid w:val="293427AA"/>
    <w:rsid w:val="29345928"/>
    <w:rsid w:val="29346F27"/>
    <w:rsid w:val="29357C48"/>
    <w:rsid w:val="293607E6"/>
    <w:rsid w:val="2936242A"/>
    <w:rsid w:val="29365CAD"/>
    <w:rsid w:val="2939045E"/>
    <w:rsid w:val="293933AF"/>
    <w:rsid w:val="29393487"/>
    <w:rsid w:val="293A32D8"/>
    <w:rsid w:val="293A46B3"/>
    <w:rsid w:val="293B2135"/>
    <w:rsid w:val="293B68B2"/>
    <w:rsid w:val="293C4333"/>
    <w:rsid w:val="293C4851"/>
    <w:rsid w:val="293D53F0"/>
    <w:rsid w:val="293D5638"/>
    <w:rsid w:val="293E7836"/>
    <w:rsid w:val="293F2D39"/>
    <w:rsid w:val="294065BD"/>
    <w:rsid w:val="29407507"/>
    <w:rsid w:val="2941403E"/>
    <w:rsid w:val="29417EE1"/>
    <w:rsid w:val="29421AC0"/>
    <w:rsid w:val="29423CBE"/>
    <w:rsid w:val="29430105"/>
    <w:rsid w:val="29431740"/>
    <w:rsid w:val="29437541"/>
    <w:rsid w:val="294429D3"/>
    <w:rsid w:val="29444FC3"/>
    <w:rsid w:val="294471C1"/>
    <w:rsid w:val="29453572"/>
    <w:rsid w:val="294604C6"/>
    <w:rsid w:val="29465F48"/>
    <w:rsid w:val="29470146"/>
    <w:rsid w:val="294739C9"/>
    <w:rsid w:val="29474AEB"/>
    <w:rsid w:val="29485689"/>
    <w:rsid w:val="2948584E"/>
    <w:rsid w:val="29493649"/>
    <w:rsid w:val="29496ECC"/>
    <w:rsid w:val="294A1318"/>
    <w:rsid w:val="294A494E"/>
    <w:rsid w:val="294B23CF"/>
    <w:rsid w:val="294C0340"/>
    <w:rsid w:val="294C7E51"/>
    <w:rsid w:val="294D0D1A"/>
    <w:rsid w:val="294D204F"/>
    <w:rsid w:val="294D58D2"/>
    <w:rsid w:val="294E3354"/>
    <w:rsid w:val="294E7AD1"/>
    <w:rsid w:val="294F2293"/>
    <w:rsid w:val="29502FD4"/>
    <w:rsid w:val="29506857"/>
    <w:rsid w:val="29512FB8"/>
    <w:rsid w:val="2952510D"/>
    <w:rsid w:val="295377DC"/>
    <w:rsid w:val="29557060"/>
    <w:rsid w:val="29557225"/>
    <w:rsid w:val="2955745C"/>
    <w:rsid w:val="29560760"/>
    <w:rsid w:val="29564D71"/>
    <w:rsid w:val="29564EDD"/>
    <w:rsid w:val="29567BFF"/>
    <w:rsid w:val="295703E0"/>
    <w:rsid w:val="29583C63"/>
    <w:rsid w:val="295938E3"/>
    <w:rsid w:val="29595666"/>
    <w:rsid w:val="295B4BE8"/>
    <w:rsid w:val="295C3C6A"/>
    <w:rsid w:val="295D22E9"/>
    <w:rsid w:val="295E35EE"/>
    <w:rsid w:val="295E5B6D"/>
    <w:rsid w:val="295E7D6B"/>
    <w:rsid w:val="295F5CB6"/>
    <w:rsid w:val="295F5E6C"/>
    <w:rsid w:val="2960326E"/>
    <w:rsid w:val="29604D54"/>
    <w:rsid w:val="29613DF1"/>
    <w:rsid w:val="29614573"/>
    <w:rsid w:val="296341F3"/>
    <w:rsid w:val="29637A76"/>
    <w:rsid w:val="29641C74"/>
    <w:rsid w:val="29652B4F"/>
    <w:rsid w:val="296576F6"/>
    <w:rsid w:val="296609FB"/>
    <w:rsid w:val="29663529"/>
    <w:rsid w:val="29665177"/>
    <w:rsid w:val="29672BF9"/>
    <w:rsid w:val="296960FC"/>
    <w:rsid w:val="296A7401"/>
    <w:rsid w:val="296B15FF"/>
    <w:rsid w:val="296B6D7E"/>
    <w:rsid w:val="296B791D"/>
    <w:rsid w:val="296C02F7"/>
    <w:rsid w:val="296C7081"/>
    <w:rsid w:val="296E0005"/>
    <w:rsid w:val="296E1870"/>
    <w:rsid w:val="296E5E07"/>
    <w:rsid w:val="296E7C07"/>
    <w:rsid w:val="296F240F"/>
    <w:rsid w:val="296F3889"/>
    <w:rsid w:val="296F5A87"/>
    <w:rsid w:val="296F6CA5"/>
    <w:rsid w:val="2970130A"/>
    <w:rsid w:val="29703508"/>
    <w:rsid w:val="29716D8C"/>
    <w:rsid w:val="29724526"/>
    <w:rsid w:val="29726A0C"/>
    <w:rsid w:val="2973228F"/>
    <w:rsid w:val="2973448D"/>
    <w:rsid w:val="29741F0F"/>
    <w:rsid w:val="29747D10"/>
    <w:rsid w:val="29767018"/>
    <w:rsid w:val="297671DC"/>
    <w:rsid w:val="29776717"/>
    <w:rsid w:val="29780755"/>
    <w:rsid w:val="29780915"/>
    <w:rsid w:val="297812F4"/>
    <w:rsid w:val="29784198"/>
    <w:rsid w:val="29791C1A"/>
    <w:rsid w:val="29796396"/>
    <w:rsid w:val="297A3E18"/>
    <w:rsid w:val="297B3247"/>
    <w:rsid w:val="297B511D"/>
    <w:rsid w:val="297D0620"/>
    <w:rsid w:val="297E01B4"/>
    <w:rsid w:val="297E051F"/>
    <w:rsid w:val="297E60A1"/>
    <w:rsid w:val="297F5D39"/>
    <w:rsid w:val="29806A9C"/>
    <w:rsid w:val="29817026"/>
    <w:rsid w:val="29824AA8"/>
    <w:rsid w:val="2984158E"/>
    <w:rsid w:val="29847FAB"/>
    <w:rsid w:val="29855A2C"/>
    <w:rsid w:val="29856A16"/>
    <w:rsid w:val="298634AE"/>
    <w:rsid w:val="29870F2F"/>
    <w:rsid w:val="29874881"/>
    <w:rsid w:val="298869B1"/>
    <w:rsid w:val="298A1EB4"/>
    <w:rsid w:val="298C33D3"/>
    <w:rsid w:val="298C373E"/>
    <w:rsid w:val="298D02AE"/>
    <w:rsid w:val="298D2626"/>
    <w:rsid w:val="298D2E39"/>
    <w:rsid w:val="298E08BA"/>
    <w:rsid w:val="298F3DBD"/>
    <w:rsid w:val="2990258A"/>
    <w:rsid w:val="29923B03"/>
    <w:rsid w:val="299327C4"/>
    <w:rsid w:val="29940245"/>
    <w:rsid w:val="29945C1B"/>
    <w:rsid w:val="29955CC7"/>
    <w:rsid w:val="29961A49"/>
    <w:rsid w:val="299711CA"/>
    <w:rsid w:val="29974A4D"/>
    <w:rsid w:val="299824CF"/>
    <w:rsid w:val="29986C4B"/>
    <w:rsid w:val="299A59D2"/>
    <w:rsid w:val="299A5F1B"/>
    <w:rsid w:val="299A60D1"/>
    <w:rsid w:val="299B11E3"/>
    <w:rsid w:val="299B3453"/>
    <w:rsid w:val="299B5324"/>
    <w:rsid w:val="299B54DA"/>
    <w:rsid w:val="299B7BD0"/>
    <w:rsid w:val="299D30D3"/>
    <w:rsid w:val="299D6956"/>
    <w:rsid w:val="299E43D8"/>
    <w:rsid w:val="299F54DA"/>
    <w:rsid w:val="299F65D6"/>
    <w:rsid w:val="29A04058"/>
    <w:rsid w:val="29A05EB5"/>
    <w:rsid w:val="29A11AD9"/>
    <w:rsid w:val="29A1535C"/>
    <w:rsid w:val="29A22DDE"/>
    <w:rsid w:val="29A27FCC"/>
    <w:rsid w:val="29A30860"/>
    <w:rsid w:val="29A30B6B"/>
    <w:rsid w:val="29A42A5E"/>
    <w:rsid w:val="29A504DF"/>
    <w:rsid w:val="29A53D63"/>
    <w:rsid w:val="29A617E4"/>
    <w:rsid w:val="29A62ABE"/>
    <w:rsid w:val="29A719C6"/>
    <w:rsid w:val="29A77266"/>
    <w:rsid w:val="29A80C19"/>
    <w:rsid w:val="29A86EE6"/>
    <w:rsid w:val="29A94967"/>
    <w:rsid w:val="29AA23E9"/>
    <w:rsid w:val="29AB614E"/>
    <w:rsid w:val="29AB7E6A"/>
    <w:rsid w:val="29AC36EE"/>
    <w:rsid w:val="29AC58EC"/>
    <w:rsid w:val="29AD116F"/>
    <w:rsid w:val="29AD336D"/>
    <w:rsid w:val="29AD42AD"/>
    <w:rsid w:val="29AD788C"/>
    <w:rsid w:val="29AE0266"/>
    <w:rsid w:val="29AE042A"/>
    <w:rsid w:val="29AE4672"/>
    <w:rsid w:val="29AE6BF1"/>
    <w:rsid w:val="29AF20F4"/>
    <w:rsid w:val="29AF6870"/>
    <w:rsid w:val="29B019A3"/>
    <w:rsid w:val="29B042F2"/>
    <w:rsid w:val="29B11D74"/>
    <w:rsid w:val="29B23078"/>
    <w:rsid w:val="29B277F5"/>
    <w:rsid w:val="29B34495"/>
    <w:rsid w:val="29B35277"/>
    <w:rsid w:val="29B42CF8"/>
    <w:rsid w:val="29B4657B"/>
    <w:rsid w:val="29B5077A"/>
    <w:rsid w:val="29B669AE"/>
    <w:rsid w:val="29B72D20"/>
    <w:rsid w:val="29B77500"/>
    <w:rsid w:val="29B816FE"/>
    <w:rsid w:val="29B92A03"/>
    <w:rsid w:val="29B9443C"/>
    <w:rsid w:val="29B97180"/>
    <w:rsid w:val="29BA109E"/>
    <w:rsid w:val="29BC0105"/>
    <w:rsid w:val="29BD1409"/>
    <w:rsid w:val="29BD5B86"/>
    <w:rsid w:val="29BE6E8B"/>
    <w:rsid w:val="29BF490D"/>
    <w:rsid w:val="29BF52CD"/>
    <w:rsid w:val="29BF6B0B"/>
    <w:rsid w:val="29C0238E"/>
    <w:rsid w:val="29C0458C"/>
    <w:rsid w:val="29C05E6C"/>
    <w:rsid w:val="29C06030"/>
    <w:rsid w:val="29C16846"/>
    <w:rsid w:val="29C17E10"/>
    <w:rsid w:val="29C40B22"/>
    <w:rsid w:val="29C42F93"/>
    <w:rsid w:val="29C56816"/>
    <w:rsid w:val="29C64297"/>
    <w:rsid w:val="29C66496"/>
    <w:rsid w:val="29C71D19"/>
    <w:rsid w:val="29C739A3"/>
    <w:rsid w:val="29C73F17"/>
    <w:rsid w:val="29C7779A"/>
    <w:rsid w:val="29C92C9E"/>
    <w:rsid w:val="29C9741A"/>
    <w:rsid w:val="29CA071F"/>
    <w:rsid w:val="29CA1A97"/>
    <w:rsid w:val="29CB291D"/>
    <w:rsid w:val="29CB61A1"/>
    <w:rsid w:val="29CC039F"/>
    <w:rsid w:val="29CC3C22"/>
    <w:rsid w:val="29CC6106"/>
    <w:rsid w:val="29CD7843"/>
    <w:rsid w:val="29CF0F80"/>
    <w:rsid w:val="29CF4BA7"/>
    <w:rsid w:val="29D100AA"/>
    <w:rsid w:val="29D124F9"/>
    <w:rsid w:val="29D14827"/>
    <w:rsid w:val="29D222A8"/>
    <w:rsid w:val="29D25B2C"/>
    <w:rsid w:val="29D303B0"/>
    <w:rsid w:val="29D335AD"/>
    <w:rsid w:val="29D37D2A"/>
    <w:rsid w:val="29D4102F"/>
    <w:rsid w:val="29D470E3"/>
    <w:rsid w:val="29D5322D"/>
    <w:rsid w:val="29D54FEB"/>
    <w:rsid w:val="29D56336"/>
    <w:rsid w:val="29D56AB0"/>
    <w:rsid w:val="29D60CAE"/>
    <w:rsid w:val="29D741B2"/>
    <w:rsid w:val="29D976B5"/>
    <w:rsid w:val="29DA2F38"/>
    <w:rsid w:val="29DA5136"/>
    <w:rsid w:val="29DB1BF4"/>
    <w:rsid w:val="29DB1DB9"/>
    <w:rsid w:val="29DC643B"/>
    <w:rsid w:val="29DD3EBD"/>
    <w:rsid w:val="29DD60BB"/>
    <w:rsid w:val="29DE3B3C"/>
    <w:rsid w:val="29DF4E41"/>
    <w:rsid w:val="29E05285"/>
    <w:rsid w:val="29E0703F"/>
    <w:rsid w:val="29E14AC1"/>
    <w:rsid w:val="29E22543"/>
    <w:rsid w:val="29E25DC6"/>
    <w:rsid w:val="29E31555"/>
    <w:rsid w:val="29E325E0"/>
    <w:rsid w:val="29E33847"/>
    <w:rsid w:val="29E3739C"/>
    <w:rsid w:val="29E62217"/>
    <w:rsid w:val="29E647CC"/>
    <w:rsid w:val="29E835CB"/>
    <w:rsid w:val="29E83790"/>
    <w:rsid w:val="29E87CCF"/>
    <w:rsid w:val="29E95751"/>
    <w:rsid w:val="29EB0C54"/>
    <w:rsid w:val="29EB2AFB"/>
    <w:rsid w:val="29ED4157"/>
    <w:rsid w:val="29ED6C5C"/>
    <w:rsid w:val="29EE77FA"/>
    <w:rsid w:val="29EE79BF"/>
    <w:rsid w:val="29EF765A"/>
    <w:rsid w:val="29F050DC"/>
    <w:rsid w:val="29F12B5D"/>
    <w:rsid w:val="29F36060"/>
    <w:rsid w:val="29F43A2A"/>
    <w:rsid w:val="29F54404"/>
    <w:rsid w:val="29F63376"/>
    <w:rsid w:val="29F66FE5"/>
    <w:rsid w:val="29F724E8"/>
    <w:rsid w:val="29F870BA"/>
    <w:rsid w:val="29F87F6A"/>
    <w:rsid w:val="29F959EB"/>
    <w:rsid w:val="29FA346D"/>
    <w:rsid w:val="29FC6970"/>
    <w:rsid w:val="29FE32E9"/>
    <w:rsid w:val="29FE7C75"/>
    <w:rsid w:val="29FF3178"/>
    <w:rsid w:val="29FF3CC3"/>
    <w:rsid w:val="29FF7106"/>
    <w:rsid w:val="29FF78F4"/>
    <w:rsid w:val="2A005376"/>
    <w:rsid w:val="2A0061A4"/>
    <w:rsid w:val="2A014ED6"/>
    <w:rsid w:val="2A015918"/>
    <w:rsid w:val="2A01667B"/>
    <w:rsid w:val="2A020879"/>
    <w:rsid w:val="2A031B7E"/>
    <w:rsid w:val="2A0475FF"/>
    <w:rsid w:val="2A050C55"/>
    <w:rsid w:val="2A055081"/>
    <w:rsid w:val="2A0721CE"/>
    <w:rsid w:val="2A074D01"/>
    <w:rsid w:val="2A082782"/>
    <w:rsid w:val="2A090204"/>
    <w:rsid w:val="2A093747"/>
    <w:rsid w:val="2A093A87"/>
    <w:rsid w:val="2A0A1509"/>
    <w:rsid w:val="2A0A5C85"/>
    <w:rsid w:val="2A0B6CFA"/>
    <w:rsid w:val="2A0B6F8A"/>
    <w:rsid w:val="2A0C1188"/>
    <w:rsid w:val="2A0C4A0C"/>
    <w:rsid w:val="2A0C569A"/>
    <w:rsid w:val="2A0D1E04"/>
    <w:rsid w:val="2A0D248D"/>
    <w:rsid w:val="2A0D63FD"/>
    <w:rsid w:val="2A0D6C0A"/>
    <w:rsid w:val="2A0E468C"/>
    <w:rsid w:val="2A0E7F0F"/>
    <w:rsid w:val="2A0F0615"/>
    <w:rsid w:val="2A0F210D"/>
    <w:rsid w:val="2A0F5990"/>
    <w:rsid w:val="2A0F7976"/>
    <w:rsid w:val="2A0F7B8F"/>
    <w:rsid w:val="2A103412"/>
    <w:rsid w:val="2A1074FE"/>
    <w:rsid w:val="2A111A8E"/>
    <w:rsid w:val="2A136595"/>
    <w:rsid w:val="2A141E18"/>
    <w:rsid w:val="2A144016"/>
    <w:rsid w:val="2A1467BC"/>
    <w:rsid w:val="2A151A98"/>
    <w:rsid w:val="2A15789A"/>
    <w:rsid w:val="2A16511E"/>
    <w:rsid w:val="2A16751A"/>
    <w:rsid w:val="2A172D9D"/>
    <w:rsid w:val="2A175CBD"/>
    <w:rsid w:val="2A1862A0"/>
    <w:rsid w:val="2A19049E"/>
    <w:rsid w:val="2A197236"/>
    <w:rsid w:val="2A1A17A3"/>
    <w:rsid w:val="2A1B07AF"/>
    <w:rsid w:val="2A1B7225"/>
    <w:rsid w:val="2A1C3834"/>
    <w:rsid w:val="2A1C4CA6"/>
    <w:rsid w:val="2A1D6EA4"/>
    <w:rsid w:val="2A1E01A9"/>
    <w:rsid w:val="2A1E21FB"/>
    <w:rsid w:val="2A1E4926"/>
    <w:rsid w:val="2A1F23A7"/>
    <w:rsid w:val="2A1F3E3F"/>
    <w:rsid w:val="2A1F5C2B"/>
    <w:rsid w:val="2A2036AC"/>
    <w:rsid w:val="2A207E29"/>
    <w:rsid w:val="2A225F57"/>
    <w:rsid w:val="2A230DAE"/>
    <w:rsid w:val="2A234631"/>
    <w:rsid w:val="2A247694"/>
    <w:rsid w:val="2A2542B1"/>
    <w:rsid w:val="2A257B34"/>
    <w:rsid w:val="2A261D32"/>
    <w:rsid w:val="2A2777B4"/>
    <w:rsid w:val="2A280AB9"/>
    <w:rsid w:val="2A282186"/>
    <w:rsid w:val="2A29653A"/>
    <w:rsid w:val="2A2A61BA"/>
    <w:rsid w:val="2A2A6A53"/>
    <w:rsid w:val="2A2B1A3D"/>
    <w:rsid w:val="2A2B3C3C"/>
    <w:rsid w:val="2A2B40D9"/>
    <w:rsid w:val="2A2B4E3C"/>
    <w:rsid w:val="2A2D4F40"/>
    <w:rsid w:val="2A2E29C2"/>
    <w:rsid w:val="2A2E4BC0"/>
    <w:rsid w:val="2A2F2642"/>
    <w:rsid w:val="2A2F7769"/>
    <w:rsid w:val="2A2F792E"/>
    <w:rsid w:val="2A3000C3"/>
    <w:rsid w:val="2A303947"/>
    <w:rsid w:val="2A305EC5"/>
    <w:rsid w:val="2A3235C6"/>
    <w:rsid w:val="2A326E4A"/>
    <w:rsid w:val="2A331048"/>
    <w:rsid w:val="2A3325E4"/>
    <w:rsid w:val="2A3348CB"/>
    <w:rsid w:val="2A346ACA"/>
    <w:rsid w:val="2A35454B"/>
    <w:rsid w:val="2A357DCE"/>
    <w:rsid w:val="2A361FCD"/>
    <w:rsid w:val="2A364537"/>
    <w:rsid w:val="2A380D53"/>
    <w:rsid w:val="2A3854D0"/>
    <w:rsid w:val="2A3967D5"/>
    <w:rsid w:val="2A3A0118"/>
    <w:rsid w:val="2A3A4256"/>
    <w:rsid w:val="2A3A7521"/>
    <w:rsid w:val="2A3A7D8C"/>
    <w:rsid w:val="2A3B0766"/>
    <w:rsid w:val="2A3B1CD8"/>
    <w:rsid w:val="2A3D1EA3"/>
    <w:rsid w:val="2A3F4E5B"/>
    <w:rsid w:val="2A40035E"/>
    <w:rsid w:val="2A403FBB"/>
    <w:rsid w:val="2A413BE1"/>
    <w:rsid w:val="2A415DDF"/>
    <w:rsid w:val="2A423861"/>
    <w:rsid w:val="2A4312E2"/>
    <w:rsid w:val="2A435F0E"/>
    <w:rsid w:val="2A4370E4"/>
    <w:rsid w:val="2A444B66"/>
    <w:rsid w:val="2A446D64"/>
    <w:rsid w:val="2A452503"/>
    <w:rsid w:val="2A4525E7"/>
    <w:rsid w:val="2A45368C"/>
    <w:rsid w:val="2A460069"/>
    <w:rsid w:val="2A462267"/>
    <w:rsid w:val="2A465E57"/>
    <w:rsid w:val="2A471763"/>
    <w:rsid w:val="2A475AEA"/>
    <w:rsid w:val="2A477CE9"/>
    <w:rsid w:val="2A480FED"/>
    <w:rsid w:val="2A482C60"/>
    <w:rsid w:val="2A48356C"/>
    <w:rsid w:val="2A4C79F4"/>
    <w:rsid w:val="2A4E2EF7"/>
    <w:rsid w:val="2A4E61A8"/>
    <w:rsid w:val="2A4E636C"/>
    <w:rsid w:val="2A505039"/>
    <w:rsid w:val="2A5218FD"/>
    <w:rsid w:val="2A54259B"/>
    <w:rsid w:val="2A544E00"/>
    <w:rsid w:val="2A5644EE"/>
    <w:rsid w:val="2A5646B3"/>
    <w:rsid w:val="2A574846"/>
    <w:rsid w:val="2A575D85"/>
    <w:rsid w:val="2A583058"/>
    <w:rsid w:val="2A583806"/>
    <w:rsid w:val="2A591288"/>
    <w:rsid w:val="2A5A6D09"/>
    <w:rsid w:val="2A5B478B"/>
    <w:rsid w:val="2A5B7D43"/>
    <w:rsid w:val="2A5C220C"/>
    <w:rsid w:val="2A5D7C8E"/>
    <w:rsid w:val="2A5F2835"/>
    <w:rsid w:val="2A5F29FA"/>
    <w:rsid w:val="2A6075D0"/>
    <w:rsid w:val="2A614116"/>
    <w:rsid w:val="2A621B97"/>
    <w:rsid w:val="2A63541A"/>
    <w:rsid w:val="2A637619"/>
    <w:rsid w:val="2A646A64"/>
    <w:rsid w:val="2A65091E"/>
    <w:rsid w:val="2A652B1C"/>
    <w:rsid w:val="2A657603"/>
    <w:rsid w:val="2A6578AF"/>
    <w:rsid w:val="2A66059D"/>
    <w:rsid w:val="2A666276"/>
    <w:rsid w:val="2A66639F"/>
    <w:rsid w:val="2A66642C"/>
    <w:rsid w:val="2A666797"/>
    <w:rsid w:val="2A677CA8"/>
    <w:rsid w:val="2A681556"/>
    <w:rsid w:val="2A683AA1"/>
    <w:rsid w:val="2A687324"/>
    <w:rsid w:val="2A6920F5"/>
    <w:rsid w:val="2A6922B9"/>
    <w:rsid w:val="2A694DA5"/>
    <w:rsid w:val="2A6A2827"/>
    <w:rsid w:val="2A6A6FA4"/>
    <w:rsid w:val="2A6B02A8"/>
    <w:rsid w:val="2A6B366E"/>
    <w:rsid w:val="2A6D7F28"/>
    <w:rsid w:val="2A6E122D"/>
    <w:rsid w:val="2A6F6324"/>
    <w:rsid w:val="2A6F6CAF"/>
    <w:rsid w:val="2A700EAD"/>
    <w:rsid w:val="2A7121B2"/>
    <w:rsid w:val="2A71692E"/>
    <w:rsid w:val="2A71789D"/>
    <w:rsid w:val="2A720E15"/>
    <w:rsid w:val="2A7243B0"/>
    <w:rsid w:val="2A727C33"/>
    <w:rsid w:val="2A7319B4"/>
    <w:rsid w:val="2A731E32"/>
    <w:rsid w:val="2A7356B5"/>
    <w:rsid w:val="2A741800"/>
    <w:rsid w:val="2A743136"/>
    <w:rsid w:val="2A7506E8"/>
    <w:rsid w:val="2A752F2D"/>
    <w:rsid w:val="2A755335"/>
    <w:rsid w:val="2A757CA7"/>
    <w:rsid w:val="2A763ACC"/>
    <w:rsid w:val="2A766639"/>
    <w:rsid w:val="2A76793C"/>
    <w:rsid w:val="2A770838"/>
    <w:rsid w:val="2A783D3B"/>
    <w:rsid w:val="2A795BE3"/>
    <w:rsid w:val="2A7975BE"/>
    <w:rsid w:val="2A7A723E"/>
    <w:rsid w:val="2A7B2AC1"/>
    <w:rsid w:val="2A7B4CC0"/>
    <w:rsid w:val="2A7B715C"/>
    <w:rsid w:val="2A7B7321"/>
    <w:rsid w:val="2A7D01C3"/>
    <w:rsid w:val="2A7D5FC4"/>
    <w:rsid w:val="2A7E3A46"/>
    <w:rsid w:val="2A7E5C44"/>
    <w:rsid w:val="2A7F14C7"/>
    <w:rsid w:val="2A7F36C6"/>
    <w:rsid w:val="2A801147"/>
    <w:rsid w:val="2A8049CB"/>
    <w:rsid w:val="2A813D65"/>
    <w:rsid w:val="2A816BC9"/>
    <w:rsid w:val="2A82464A"/>
    <w:rsid w:val="2A827ECE"/>
    <w:rsid w:val="2A8320CC"/>
    <w:rsid w:val="2A842A4D"/>
    <w:rsid w:val="2A8433D1"/>
    <w:rsid w:val="2A850E52"/>
    <w:rsid w:val="2A8555CF"/>
    <w:rsid w:val="2A856BE0"/>
    <w:rsid w:val="2A863051"/>
    <w:rsid w:val="2A8675BA"/>
    <w:rsid w:val="2A870159"/>
    <w:rsid w:val="2A8916D2"/>
    <w:rsid w:val="2A893FD5"/>
    <w:rsid w:val="2A897858"/>
    <w:rsid w:val="2A8A1A57"/>
    <w:rsid w:val="2A8A20AC"/>
    <w:rsid w:val="2A8B2D5C"/>
    <w:rsid w:val="2A8C07DD"/>
    <w:rsid w:val="2A8C4F5A"/>
    <w:rsid w:val="2A8C5B46"/>
    <w:rsid w:val="2A8E045D"/>
    <w:rsid w:val="2A8E3CE0"/>
    <w:rsid w:val="2A9050DC"/>
    <w:rsid w:val="2A9067BA"/>
    <w:rsid w:val="2A9071E3"/>
    <w:rsid w:val="2A9071FF"/>
    <w:rsid w:val="2A916E63"/>
    <w:rsid w:val="2A9248E5"/>
    <w:rsid w:val="2A924AAB"/>
    <w:rsid w:val="2A925337"/>
    <w:rsid w:val="2A930168"/>
    <w:rsid w:val="2A932366"/>
    <w:rsid w:val="2A945BEA"/>
    <w:rsid w:val="2A947DE8"/>
    <w:rsid w:val="2A95250A"/>
    <w:rsid w:val="2A955869"/>
    <w:rsid w:val="2A9610ED"/>
    <w:rsid w:val="2A9630A9"/>
    <w:rsid w:val="2A970D6C"/>
    <w:rsid w:val="2A976B6E"/>
    <w:rsid w:val="2A9845F0"/>
    <w:rsid w:val="2A984622"/>
    <w:rsid w:val="2A9867EE"/>
    <w:rsid w:val="2A994270"/>
    <w:rsid w:val="2A997AF3"/>
    <w:rsid w:val="2A9A5574"/>
    <w:rsid w:val="2A9B72D8"/>
    <w:rsid w:val="2A9B7773"/>
    <w:rsid w:val="2A9C0A77"/>
    <w:rsid w:val="2A9C7924"/>
    <w:rsid w:val="2A9D068C"/>
    <w:rsid w:val="2A9D0851"/>
    <w:rsid w:val="2A9D64F9"/>
    <w:rsid w:val="2A9E122B"/>
    <w:rsid w:val="2A9F0F97"/>
    <w:rsid w:val="2A9F19FC"/>
    <w:rsid w:val="2A9F1DCA"/>
    <w:rsid w:val="2A9F6179"/>
    <w:rsid w:val="2AA027A4"/>
    <w:rsid w:val="2AA0747E"/>
    <w:rsid w:val="2AA0795F"/>
    <w:rsid w:val="2AA14EFF"/>
    <w:rsid w:val="2AA16BB2"/>
    <w:rsid w:val="2AA16D68"/>
    <w:rsid w:val="2AA170D3"/>
    <w:rsid w:val="2AA270FE"/>
    <w:rsid w:val="2AA34B7F"/>
    <w:rsid w:val="2AA42601"/>
    <w:rsid w:val="2AA4545A"/>
    <w:rsid w:val="2AA45E84"/>
    <w:rsid w:val="2AA4785E"/>
    <w:rsid w:val="2AA50082"/>
    <w:rsid w:val="2AA61387"/>
    <w:rsid w:val="2AA65B04"/>
    <w:rsid w:val="2AA9450A"/>
    <w:rsid w:val="2AAA2228"/>
    <w:rsid w:val="2AAA613F"/>
    <w:rsid w:val="2AAA7D8D"/>
    <w:rsid w:val="2AAB2C02"/>
    <w:rsid w:val="2AAB306F"/>
    <w:rsid w:val="2AAB7A0D"/>
    <w:rsid w:val="2AAC3290"/>
    <w:rsid w:val="2AAD417B"/>
    <w:rsid w:val="2AAF1F86"/>
    <w:rsid w:val="2AAF4215"/>
    <w:rsid w:val="2AAF58B8"/>
    <w:rsid w:val="2AB06457"/>
    <w:rsid w:val="2AB22C1B"/>
    <w:rsid w:val="2AB3069D"/>
    <w:rsid w:val="2AB53BA0"/>
    <w:rsid w:val="2AB61621"/>
    <w:rsid w:val="2AB770A3"/>
    <w:rsid w:val="2AB9434D"/>
    <w:rsid w:val="2ABD0FAC"/>
    <w:rsid w:val="2ABD7C6A"/>
    <w:rsid w:val="2ABE32E0"/>
    <w:rsid w:val="2ABE6A2E"/>
    <w:rsid w:val="2ABF44AF"/>
    <w:rsid w:val="2AC01F31"/>
    <w:rsid w:val="2AC12920"/>
    <w:rsid w:val="2AC32EB5"/>
    <w:rsid w:val="2AC55FB0"/>
    <w:rsid w:val="2AC563B9"/>
    <w:rsid w:val="2AC63E3A"/>
    <w:rsid w:val="2AC66B4F"/>
    <w:rsid w:val="2AC718BC"/>
    <w:rsid w:val="2AC8733D"/>
    <w:rsid w:val="2AC90642"/>
    <w:rsid w:val="2AC92840"/>
    <w:rsid w:val="2ACA60C4"/>
    <w:rsid w:val="2ACB21DF"/>
    <w:rsid w:val="2ACB3B45"/>
    <w:rsid w:val="2ACB6F40"/>
    <w:rsid w:val="2ACB72AC"/>
    <w:rsid w:val="2ACB7982"/>
    <w:rsid w:val="2ACD1247"/>
    <w:rsid w:val="2ACF254B"/>
    <w:rsid w:val="2AD07FCD"/>
    <w:rsid w:val="2AD16FAD"/>
    <w:rsid w:val="2AD17C4D"/>
    <w:rsid w:val="2AD256CE"/>
    <w:rsid w:val="2AD33150"/>
    <w:rsid w:val="2AD410C5"/>
    <w:rsid w:val="2AD44C9E"/>
    <w:rsid w:val="2AD56653"/>
    <w:rsid w:val="2AD67958"/>
    <w:rsid w:val="2AD82E5B"/>
    <w:rsid w:val="2AD908DC"/>
    <w:rsid w:val="2AD94591"/>
    <w:rsid w:val="2ADA18D3"/>
    <w:rsid w:val="2ADA635E"/>
    <w:rsid w:val="2ADB055C"/>
    <w:rsid w:val="2ADB3DDF"/>
    <w:rsid w:val="2ADC5FDE"/>
    <w:rsid w:val="2ADC66A8"/>
    <w:rsid w:val="2ADE0984"/>
    <w:rsid w:val="2ADE14E1"/>
    <w:rsid w:val="2ADF07C0"/>
    <w:rsid w:val="2ADF6F62"/>
    <w:rsid w:val="2AE01EFD"/>
    <w:rsid w:val="2AE049E4"/>
    <w:rsid w:val="2AE12465"/>
    <w:rsid w:val="2AE15CE9"/>
    <w:rsid w:val="2AE17EE7"/>
    <w:rsid w:val="2AE25969"/>
    <w:rsid w:val="2AE311EC"/>
    <w:rsid w:val="2AE568ED"/>
    <w:rsid w:val="2AE6612C"/>
    <w:rsid w:val="2AE77BF2"/>
    <w:rsid w:val="2AE90B77"/>
    <w:rsid w:val="2AE930F5"/>
    <w:rsid w:val="2AE9314E"/>
    <w:rsid w:val="2AE952F3"/>
    <w:rsid w:val="2AEA2D75"/>
    <w:rsid w:val="2AEB17BD"/>
    <w:rsid w:val="2AEB407A"/>
    <w:rsid w:val="2AEC1AFB"/>
    <w:rsid w:val="2AEC6278"/>
    <w:rsid w:val="2AED2B71"/>
    <w:rsid w:val="2AED3CFA"/>
    <w:rsid w:val="2AEE177B"/>
    <w:rsid w:val="2AEE4FFE"/>
    <w:rsid w:val="2AEF2A80"/>
    <w:rsid w:val="2AEF71FD"/>
    <w:rsid w:val="2AF000D8"/>
    <w:rsid w:val="2AF00502"/>
    <w:rsid w:val="2AF059EC"/>
    <w:rsid w:val="2AF20181"/>
    <w:rsid w:val="2AF23A05"/>
    <w:rsid w:val="2AF35C03"/>
    <w:rsid w:val="2AF46F08"/>
    <w:rsid w:val="2AF50EB8"/>
    <w:rsid w:val="2AF51106"/>
    <w:rsid w:val="2AF54989"/>
    <w:rsid w:val="2AF66B88"/>
    <w:rsid w:val="2AF725F5"/>
    <w:rsid w:val="2AF75C96"/>
    <w:rsid w:val="2AF7727E"/>
    <w:rsid w:val="2AF8208B"/>
    <w:rsid w:val="2AF8590E"/>
    <w:rsid w:val="2AF93390"/>
    <w:rsid w:val="2AF93B6E"/>
    <w:rsid w:val="2AF9470D"/>
    <w:rsid w:val="2AF97B0C"/>
    <w:rsid w:val="2AFA4548"/>
    <w:rsid w:val="2AFA52AB"/>
    <w:rsid w:val="2AFB6893"/>
    <w:rsid w:val="2AFC4314"/>
    <w:rsid w:val="2AFC6512"/>
    <w:rsid w:val="2AFD1D96"/>
    <w:rsid w:val="2AFE7BD8"/>
    <w:rsid w:val="2AFF093C"/>
    <w:rsid w:val="2AFF5299"/>
    <w:rsid w:val="2AFF7497"/>
    <w:rsid w:val="2B01079C"/>
    <w:rsid w:val="2B01299A"/>
    <w:rsid w:val="2B01621D"/>
    <w:rsid w:val="2B02041C"/>
    <w:rsid w:val="2B023C9F"/>
    <w:rsid w:val="2B035E9D"/>
    <w:rsid w:val="2B04158B"/>
    <w:rsid w:val="2B04391F"/>
    <w:rsid w:val="2B054C24"/>
    <w:rsid w:val="2B067511"/>
    <w:rsid w:val="2B070127"/>
    <w:rsid w:val="2B0748A3"/>
    <w:rsid w:val="2B082325"/>
    <w:rsid w:val="2B097498"/>
    <w:rsid w:val="2B0A0BD5"/>
    <w:rsid w:val="2B0B15B0"/>
    <w:rsid w:val="2B0C45AE"/>
    <w:rsid w:val="2B0D2030"/>
    <w:rsid w:val="2B0D2CED"/>
    <w:rsid w:val="2B0D67AD"/>
    <w:rsid w:val="2B0E422E"/>
    <w:rsid w:val="2B0F1CB0"/>
    <w:rsid w:val="2B0F5533"/>
    <w:rsid w:val="2B110A36"/>
    <w:rsid w:val="2B1159A3"/>
    <w:rsid w:val="2B1164DB"/>
    <w:rsid w:val="2B1206B6"/>
    <w:rsid w:val="2B12637D"/>
    <w:rsid w:val="2B133F39"/>
    <w:rsid w:val="2B136138"/>
    <w:rsid w:val="2B136F1C"/>
    <w:rsid w:val="2B1419BB"/>
    <w:rsid w:val="2B143BB9"/>
    <w:rsid w:val="2B1478F6"/>
    <w:rsid w:val="2B151034"/>
    <w:rsid w:val="2B151462"/>
    <w:rsid w:val="2B160E6F"/>
    <w:rsid w:val="2B1803C1"/>
    <w:rsid w:val="2B1A38C4"/>
    <w:rsid w:val="2B1A44FF"/>
    <w:rsid w:val="2B1A46C4"/>
    <w:rsid w:val="2B1B0B22"/>
    <w:rsid w:val="2B1C4849"/>
    <w:rsid w:val="2B1D22CA"/>
    <w:rsid w:val="2B1E7D4C"/>
    <w:rsid w:val="2B1F57CD"/>
    <w:rsid w:val="2B210CD1"/>
    <w:rsid w:val="2B226752"/>
    <w:rsid w:val="2B232A0B"/>
    <w:rsid w:val="2B241C55"/>
    <w:rsid w:val="2B243F83"/>
    <w:rsid w:val="2B265158"/>
    <w:rsid w:val="2B272BDA"/>
    <w:rsid w:val="2B28065B"/>
    <w:rsid w:val="2B2960DD"/>
    <w:rsid w:val="2B2A3B5F"/>
    <w:rsid w:val="2B2B0B8D"/>
    <w:rsid w:val="2B2B15E0"/>
    <w:rsid w:val="2B2C172B"/>
    <w:rsid w:val="2B2E2565"/>
    <w:rsid w:val="2B2E2E69"/>
    <w:rsid w:val="2B2F3843"/>
    <w:rsid w:val="2B30012B"/>
    <w:rsid w:val="2B300496"/>
    <w:rsid w:val="2B3012EB"/>
    <w:rsid w:val="2B3134E9"/>
    <w:rsid w:val="2B316D6D"/>
    <w:rsid w:val="2B320F6B"/>
    <w:rsid w:val="2B3247EE"/>
    <w:rsid w:val="2B3269EC"/>
    <w:rsid w:val="2B332270"/>
    <w:rsid w:val="2B33446E"/>
    <w:rsid w:val="2B336ED3"/>
    <w:rsid w:val="2B341EF0"/>
    <w:rsid w:val="2B355773"/>
    <w:rsid w:val="2B357971"/>
    <w:rsid w:val="2B3631F4"/>
    <w:rsid w:val="2B3653F3"/>
    <w:rsid w:val="2B372E74"/>
    <w:rsid w:val="2B3808F6"/>
    <w:rsid w:val="2B382728"/>
    <w:rsid w:val="2B3866F7"/>
    <w:rsid w:val="2B392F3E"/>
    <w:rsid w:val="2B394179"/>
    <w:rsid w:val="2B396377"/>
    <w:rsid w:val="2B3A1BFB"/>
    <w:rsid w:val="2B3A3DF9"/>
    <w:rsid w:val="2B3A767C"/>
    <w:rsid w:val="2B3B187A"/>
    <w:rsid w:val="2B3C2B7F"/>
    <w:rsid w:val="2B3D0601"/>
    <w:rsid w:val="2B3E27FF"/>
    <w:rsid w:val="2B3E6082"/>
    <w:rsid w:val="2B3F7ED0"/>
    <w:rsid w:val="2B400DAF"/>
    <w:rsid w:val="2B40163B"/>
    <w:rsid w:val="2B405D02"/>
    <w:rsid w:val="2B411285"/>
    <w:rsid w:val="2B413784"/>
    <w:rsid w:val="2B4140B5"/>
    <w:rsid w:val="2B417007"/>
    <w:rsid w:val="2B421205"/>
    <w:rsid w:val="2B421FE8"/>
    <w:rsid w:val="2B43250A"/>
    <w:rsid w:val="2B4329C2"/>
    <w:rsid w:val="2B447F8C"/>
    <w:rsid w:val="2B45218A"/>
    <w:rsid w:val="2B455A0D"/>
    <w:rsid w:val="2B46348F"/>
    <w:rsid w:val="2B47568D"/>
    <w:rsid w:val="2B486052"/>
    <w:rsid w:val="2B490B90"/>
    <w:rsid w:val="2B492CDC"/>
    <w:rsid w:val="2B494413"/>
    <w:rsid w:val="2B4A4093"/>
    <w:rsid w:val="2B4B1B15"/>
    <w:rsid w:val="2B4B2AFB"/>
    <w:rsid w:val="2B4B7916"/>
    <w:rsid w:val="2B4C5398"/>
    <w:rsid w:val="2B4D2E1A"/>
    <w:rsid w:val="2B4E089B"/>
    <w:rsid w:val="2B4E4183"/>
    <w:rsid w:val="2B4F37FA"/>
    <w:rsid w:val="2B4F631D"/>
    <w:rsid w:val="2B511820"/>
    <w:rsid w:val="2B513A1E"/>
    <w:rsid w:val="2B524D23"/>
    <w:rsid w:val="2B5327A4"/>
    <w:rsid w:val="2B552424"/>
    <w:rsid w:val="2B563729"/>
    <w:rsid w:val="2B5711AB"/>
    <w:rsid w:val="2B58197D"/>
    <w:rsid w:val="2B5833A9"/>
    <w:rsid w:val="2B586C2C"/>
    <w:rsid w:val="2B59251B"/>
    <w:rsid w:val="2B5A3C59"/>
    <w:rsid w:val="2B5A68AC"/>
    <w:rsid w:val="2B5B7BB1"/>
    <w:rsid w:val="2B5C1DAF"/>
    <w:rsid w:val="2B5D5F1F"/>
    <w:rsid w:val="2B5D7831"/>
    <w:rsid w:val="2B5E4A9B"/>
    <w:rsid w:val="2B5E52B2"/>
    <w:rsid w:val="2B5E5327"/>
    <w:rsid w:val="2B5E5693"/>
    <w:rsid w:val="2B5F2D34"/>
    <w:rsid w:val="2B6007B5"/>
    <w:rsid w:val="2B604039"/>
    <w:rsid w:val="2B607E88"/>
    <w:rsid w:val="2B611ABA"/>
    <w:rsid w:val="2B62123C"/>
    <w:rsid w:val="2B62173A"/>
    <w:rsid w:val="2B62753C"/>
    <w:rsid w:val="2B631F9F"/>
    <w:rsid w:val="2B634FBD"/>
    <w:rsid w:val="2B6371BC"/>
    <w:rsid w:val="2B642A3F"/>
    <w:rsid w:val="2B644C3D"/>
    <w:rsid w:val="2B660140"/>
    <w:rsid w:val="2B665F42"/>
    <w:rsid w:val="2B681445"/>
    <w:rsid w:val="2B68600A"/>
    <w:rsid w:val="2B6969E4"/>
    <w:rsid w:val="2B696BA9"/>
    <w:rsid w:val="2B696EC7"/>
    <w:rsid w:val="2B6A4948"/>
    <w:rsid w:val="2B6A6B46"/>
    <w:rsid w:val="2B6B0121"/>
    <w:rsid w:val="2B6B0546"/>
    <w:rsid w:val="2B6B06FC"/>
    <w:rsid w:val="2B6C0AFC"/>
    <w:rsid w:val="2B6C2049"/>
    <w:rsid w:val="2B6C794F"/>
    <w:rsid w:val="2B6E0DD0"/>
    <w:rsid w:val="2B6E554D"/>
    <w:rsid w:val="2B6F2FCE"/>
    <w:rsid w:val="2B6F6851"/>
    <w:rsid w:val="2B700A50"/>
    <w:rsid w:val="2B7042D3"/>
    <w:rsid w:val="2B711D54"/>
    <w:rsid w:val="2B724D2B"/>
    <w:rsid w:val="2B7319D4"/>
    <w:rsid w:val="2B735258"/>
    <w:rsid w:val="2B735A8E"/>
    <w:rsid w:val="2B742CD9"/>
    <w:rsid w:val="2B746468"/>
    <w:rsid w:val="2B747F71"/>
    <w:rsid w:val="2B7703BB"/>
    <w:rsid w:val="2B770F5A"/>
    <w:rsid w:val="2B774C6A"/>
    <w:rsid w:val="2B7816DF"/>
    <w:rsid w:val="2B781AF8"/>
    <w:rsid w:val="2B785E5C"/>
    <w:rsid w:val="2B7924D3"/>
    <w:rsid w:val="2B7938DE"/>
    <w:rsid w:val="2B7A135F"/>
    <w:rsid w:val="2B7A4BE2"/>
    <w:rsid w:val="2B7B4862"/>
    <w:rsid w:val="2B7C00E6"/>
    <w:rsid w:val="2B7C45EA"/>
    <w:rsid w:val="2B7D2B4A"/>
    <w:rsid w:val="2B805868"/>
    <w:rsid w:val="2B806AEC"/>
    <w:rsid w:val="2B820819"/>
    <w:rsid w:val="2B821FEF"/>
    <w:rsid w:val="2B827A70"/>
    <w:rsid w:val="2B8313B8"/>
    <w:rsid w:val="2B8354F2"/>
    <w:rsid w:val="2B842931"/>
    <w:rsid w:val="2B842F73"/>
    <w:rsid w:val="2B8509F5"/>
    <w:rsid w:val="2B866477"/>
    <w:rsid w:val="2B873EF8"/>
    <w:rsid w:val="2B8760F7"/>
    <w:rsid w:val="2B885D8C"/>
    <w:rsid w:val="2B894ABF"/>
    <w:rsid w:val="2B8A3D12"/>
    <w:rsid w:val="2B8A4E7D"/>
    <w:rsid w:val="2B8D0C77"/>
    <w:rsid w:val="2B8D5E01"/>
    <w:rsid w:val="2B8E1652"/>
    <w:rsid w:val="2B8E1816"/>
    <w:rsid w:val="2B8F1305"/>
    <w:rsid w:val="2B906D86"/>
    <w:rsid w:val="2B913769"/>
    <w:rsid w:val="2B914808"/>
    <w:rsid w:val="2B922289"/>
    <w:rsid w:val="2B9327F9"/>
    <w:rsid w:val="2B935881"/>
    <w:rsid w:val="2B94578C"/>
    <w:rsid w:val="2B95320E"/>
    <w:rsid w:val="2B960C8F"/>
    <w:rsid w:val="2B964513"/>
    <w:rsid w:val="2B967998"/>
    <w:rsid w:val="2B971F94"/>
    <w:rsid w:val="2B976711"/>
    <w:rsid w:val="2B977B28"/>
    <w:rsid w:val="2B980D20"/>
    <w:rsid w:val="2B9810D6"/>
    <w:rsid w:val="2B984192"/>
    <w:rsid w:val="2B987A16"/>
    <w:rsid w:val="2B9A2F19"/>
    <w:rsid w:val="2B9A7696"/>
    <w:rsid w:val="2B9B099A"/>
    <w:rsid w:val="2B9B2B99"/>
    <w:rsid w:val="2B9B5117"/>
    <w:rsid w:val="2B9C4B6B"/>
    <w:rsid w:val="2B9D3E9D"/>
    <w:rsid w:val="2B9D609C"/>
    <w:rsid w:val="2B9F159F"/>
    <w:rsid w:val="2BA066B9"/>
    <w:rsid w:val="2BA207D1"/>
    <w:rsid w:val="2BA33828"/>
    <w:rsid w:val="2BA35DA7"/>
    <w:rsid w:val="2BA412AA"/>
    <w:rsid w:val="2BA45A27"/>
    <w:rsid w:val="2BA534A8"/>
    <w:rsid w:val="2BA56D2B"/>
    <w:rsid w:val="2BA60F2A"/>
    <w:rsid w:val="2BA611ED"/>
    <w:rsid w:val="2BA7222F"/>
    <w:rsid w:val="2BA769AB"/>
    <w:rsid w:val="2BA87CB0"/>
    <w:rsid w:val="2BA91EAE"/>
    <w:rsid w:val="2BA936A8"/>
    <w:rsid w:val="2BAA5F79"/>
    <w:rsid w:val="2BAA613D"/>
    <w:rsid w:val="2BAA6202"/>
    <w:rsid w:val="2BAB0C35"/>
    <w:rsid w:val="2BAB53B1"/>
    <w:rsid w:val="2BAC76B6"/>
    <w:rsid w:val="2BAD08B5"/>
    <w:rsid w:val="2BAD3023"/>
    <w:rsid w:val="2BAD4138"/>
    <w:rsid w:val="2BAE1BB9"/>
    <w:rsid w:val="2BB01839"/>
    <w:rsid w:val="2BB12B3E"/>
    <w:rsid w:val="2BB172BB"/>
    <w:rsid w:val="2BB205C0"/>
    <w:rsid w:val="2BB248C1"/>
    <w:rsid w:val="2BB24D3C"/>
    <w:rsid w:val="2BB327BE"/>
    <w:rsid w:val="2BB34E4D"/>
    <w:rsid w:val="2BB35003"/>
    <w:rsid w:val="2BB36041"/>
    <w:rsid w:val="2BB45CC1"/>
    <w:rsid w:val="2BB51544"/>
    <w:rsid w:val="2BB53743"/>
    <w:rsid w:val="2BB563D7"/>
    <w:rsid w:val="2BB72B78"/>
    <w:rsid w:val="2BB77950"/>
    <w:rsid w:val="2BB77B14"/>
    <w:rsid w:val="2BB804EE"/>
    <w:rsid w:val="2BB806B3"/>
    <w:rsid w:val="2BB824C9"/>
    <w:rsid w:val="2BBA7BCA"/>
    <w:rsid w:val="2BBB31A5"/>
    <w:rsid w:val="2BBB344E"/>
    <w:rsid w:val="2BBB564C"/>
    <w:rsid w:val="2BBC30CD"/>
    <w:rsid w:val="2BBC3D43"/>
    <w:rsid w:val="2BBC6951"/>
    <w:rsid w:val="2BBD43D2"/>
    <w:rsid w:val="2BBE1E54"/>
    <w:rsid w:val="2BBE65D0"/>
    <w:rsid w:val="2BBF5E5B"/>
    <w:rsid w:val="2BC01AD4"/>
    <w:rsid w:val="2BC17555"/>
    <w:rsid w:val="2BC24FD7"/>
    <w:rsid w:val="2BC32A58"/>
    <w:rsid w:val="2BC35E3C"/>
    <w:rsid w:val="2BC362DB"/>
    <w:rsid w:val="2BC43D5D"/>
    <w:rsid w:val="2BC55F5B"/>
    <w:rsid w:val="2BC67260"/>
    <w:rsid w:val="2BC7145E"/>
    <w:rsid w:val="2BC74CE2"/>
    <w:rsid w:val="2BC901E5"/>
    <w:rsid w:val="2BCA23E3"/>
    <w:rsid w:val="2BCA5C66"/>
    <w:rsid w:val="2BCA60F5"/>
    <w:rsid w:val="2BCB7E65"/>
    <w:rsid w:val="2BCC3368"/>
    <w:rsid w:val="2BCD0DE9"/>
    <w:rsid w:val="2BCD6BEB"/>
    <w:rsid w:val="2BCF42EC"/>
    <w:rsid w:val="2BD03982"/>
    <w:rsid w:val="2BD07B70"/>
    <w:rsid w:val="2BD10CEF"/>
    <w:rsid w:val="2BD177EF"/>
    <w:rsid w:val="2BD30AF4"/>
    <w:rsid w:val="2BD3734B"/>
    <w:rsid w:val="2BD43FF7"/>
    <w:rsid w:val="2BD63C77"/>
    <w:rsid w:val="2BD670F1"/>
    <w:rsid w:val="2BD74F7C"/>
    <w:rsid w:val="2BD8066A"/>
    <w:rsid w:val="2BD829FE"/>
    <w:rsid w:val="2BD8717A"/>
    <w:rsid w:val="2BD9047F"/>
    <w:rsid w:val="2BD91045"/>
    <w:rsid w:val="2BDA7216"/>
    <w:rsid w:val="2BDB00FF"/>
    <w:rsid w:val="2BDB3982"/>
    <w:rsid w:val="2BDC5B80"/>
    <w:rsid w:val="2BDD6E85"/>
    <w:rsid w:val="2BDE1084"/>
    <w:rsid w:val="2BDE46D5"/>
    <w:rsid w:val="2BDE4899"/>
    <w:rsid w:val="2BDE4907"/>
    <w:rsid w:val="2BDF3837"/>
    <w:rsid w:val="2BDF6B05"/>
    <w:rsid w:val="2BE121FF"/>
    <w:rsid w:val="2BE1588C"/>
    <w:rsid w:val="2BE2738B"/>
    <w:rsid w:val="2BE27A8A"/>
    <w:rsid w:val="2BE30D8F"/>
    <w:rsid w:val="2BE46810"/>
    <w:rsid w:val="2BE61D13"/>
    <w:rsid w:val="2BE83F94"/>
    <w:rsid w:val="2BE85216"/>
    <w:rsid w:val="2BE92C98"/>
    <w:rsid w:val="2BEB3C1D"/>
    <w:rsid w:val="2BEC169E"/>
    <w:rsid w:val="2BED66EB"/>
    <w:rsid w:val="2BED77E9"/>
    <w:rsid w:val="2BEE4BA1"/>
    <w:rsid w:val="2BEF2623"/>
    <w:rsid w:val="2BEF49DC"/>
    <w:rsid w:val="2BF000A4"/>
    <w:rsid w:val="2BF23854"/>
    <w:rsid w:val="2BF3422E"/>
    <w:rsid w:val="2BF343F3"/>
    <w:rsid w:val="2BF5452C"/>
    <w:rsid w:val="2BF61FAE"/>
    <w:rsid w:val="2BF76EE4"/>
    <w:rsid w:val="2BF77A2F"/>
    <w:rsid w:val="2BF854B1"/>
    <w:rsid w:val="2BF92F32"/>
    <w:rsid w:val="2BFA09B4"/>
    <w:rsid w:val="2BFA11C0"/>
    <w:rsid w:val="2BFB1CB9"/>
    <w:rsid w:val="2BFC07F2"/>
    <w:rsid w:val="2BFC3EB7"/>
    <w:rsid w:val="2BFC773A"/>
    <w:rsid w:val="2BFD7DB0"/>
    <w:rsid w:val="2BFE3CB2"/>
    <w:rsid w:val="2BFF522B"/>
    <w:rsid w:val="2C006140"/>
    <w:rsid w:val="2C01033F"/>
    <w:rsid w:val="2C021643"/>
    <w:rsid w:val="2C025DC0"/>
    <w:rsid w:val="2C033842"/>
    <w:rsid w:val="2C0370C5"/>
    <w:rsid w:val="2C040A80"/>
    <w:rsid w:val="2C0547C6"/>
    <w:rsid w:val="2C077CC9"/>
    <w:rsid w:val="2C083572"/>
    <w:rsid w:val="2C08574B"/>
    <w:rsid w:val="2C090FCE"/>
    <w:rsid w:val="2C0931CD"/>
    <w:rsid w:val="2C0A0C4E"/>
    <w:rsid w:val="2C0A4AEB"/>
    <w:rsid w:val="2C0C4151"/>
    <w:rsid w:val="2C0D77A1"/>
    <w:rsid w:val="2C0F0959"/>
    <w:rsid w:val="2C102B57"/>
    <w:rsid w:val="2C113E5C"/>
    <w:rsid w:val="2C12605B"/>
    <w:rsid w:val="2C133ADC"/>
    <w:rsid w:val="2C13735F"/>
    <w:rsid w:val="2C1443AA"/>
    <w:rsid w:val="2C152862"/>
    <w:rsid w:val="2C1602E4"/>
    <w:rsid w:val="2C164A61"/>
    <w:rsid w:val="2C165923"/>
    <w:rsid w:val="2C1724E2"/>
    <w:rsid w:val="2C1837E7"/>
    <w:rsid w:val="2C187060"/>
    <w:rsid w:val="2C191269"/>
    <w:rsid w:val="2C195441"/>
    <w:rsid w:val="2C1957AC"/>
    <w:rsid w:val="2C197A3A"/>
    <w:rsid w:val="2C1B357C"/>
    <w:rsid w:val="2C1C21ED"/>
    <w:rsid w:val="2C1C43EC"/>
    <w:rsid w:val="2C1C696A"/>
    <w:rsid w:val="2C1D7C6F"/>
    <w:rsid w:val="2C1E56F0"/>
    <w:rsid w:val="2C1E78EF"/>
    <w:rsid w:val="2C1F3172"/>
    <w:rsid w:val="2C202DF2"/>
    <w:rsid w:val="2C210873"/>
    <w:rsid w:val="2C215D81"/>
    <w:rsid w:val="2C216675"/>
    <w:rsid w:val="2C2240F7"/>
    <w:rsid w:val="2C226920"/>
    <w:rsid w:val="2C233D76"/>
    <w:rsid w:val="2C2374BE"/>
    <w:rsid w:val="2C2417F8"/>
    <w:rsid w:val="2C2475FA"/>
    <w:rsid w:val="2C250873"/>
    <w:rsid w:val="2C25727A"/>
    <w:rsid w:val="2C264CFB"/>
    <w:rsid w:val="2C271FB0"/>
    <w:rsid w:val="2C276000"/>
    <w:rsid w:val="2C277A68"/>
    <w:rsid w:val="2C283529"/>
    <w:rsid w:val="2C283A81"/>
    <w:rsid w:val="2C291503"/>
    <w:rsid w:val="2C293F03"/>
    <w:rsid w:val="2C2940C8"/>
    <w:rsid w:val="2C2959EE"/>
    <w:rsid w:val="2C2960C4"/>
    <w:rsid w:val="2C2D4686"/>
    <w:rsid w:val="2C2D6BBA"/>
    <w:rsid w:val="2C2D7F09"/>
    <w:rsid w:val="2C2E2107"/>
    <w:rsid w:val="2C2E7758"/>
    <w:rsid w:val="2C2F0132"/>
    <w:rsid w:val="2C300CD1"/>
    <w:rsid w:val="2C300E8E"/>
    <w:rsid w:val="2C31308C"/>
    <w:rsid w:val="2C315A5A"/>
    <w:rsid w:val="2C31690F"/>
    <w:rsid w:val="2C32224A"/>
    <w:rsid w:val="2C331E12"/>
    <w:rsid w:val="2C33658F"/>
    <w:rsid w:val="2C341A92"/>
    <w:rsid w:val="2C347894"/>
    <w:rsid w:val="2C355316"/>
    <w:rsid w:val="2C357514"/>
    <w:rsid w:val="2C362D97"/>
    <w:rsid w:val="2C372A17"/>
    <w:rsid w:val="2C373FA2"/>
    <w:rsid w:val="2C3758DA"/>
    <w:rsid w:val="2C3801CB"/>
    <w:rsid w:val="2C38629A"/>
    <w:rsid w:val="2C395F1A"/>
    <w:rsid w:val="2C3A399C"/>
    <w:rsid w:val="2C3B141D"/>
    <w:rsid w:val="2C3B721F"/>
    <w:rsid w:val="2C3D26A8"/>
    <w:rsid w:val="2C3D4920"/>
    <w:rsid w:val="2C3F36A7"/>
    <w:rsid w:val="2C3F3C21"/>
    <w:rsid w:val="2C401128"/>
    <w:rsid w:val="2C4058A5"/>
    <w:rsid w:val="2C416BAA"/>
    <w:rsid w:val="2C420DA8"/>
    <w:rsid w:val="2C4237D4"/>
    <w:rsid w:val="2C42462B"/>
    <w:rsid w:val="2C425D39"/>
    <w:rsid w:val="2C4320AD"/>
    <w:rsid w:val="2C436713"/>
    <w:rsid w:val="2C43682A"/>
    <w:rsid w:val="2C4442AB"/>
    <w:rsid w:val="2C44486D"/>
    <w:rsid w:val="2C447B2E"/>
    <w:rsid w:val="2C447E50"/>
    <w:rsid w:val="2C451D2D"/>
    <w:rsid w:val="2C4555B0"/>
    <w:rsid w:val="2C4627F2"/>
    <w:rsid w:val="2C4629A8"/>
    <w:rsid w:val="2C462B5E"/>
    <w:rsid w:val="2C462EC9"/>
    <w:rsid w:val="2C4677AE"/>
    <w:rsid w:val="2C47211C"/>
    <w:rsid w:val="2C4722D2"/>
    <w:rsid w:val="2C493FB6"/>
    <w:rsid w:val="2C4A579D"/>
    <w:rsid w:val="2C4A7F23"/>
    <w:rsid w:val="2C4B1C25"/>
    <w:rsid w:val="2C4C4F3B"/>
    <w:rsid w:val="2C4C55F8"/>
    <w:rsid w:val="2C4D29BC"/>
    <w:rsid w:val="2C4D6197"/>
    <w:rsid w:val="2C50779E"/>
    <w:rsid w:val="2C5113C3"/>
    <w:rsid w:val="2C5348C6"/>
    <w:rsid w:val="2C536453"/>
    <w:rsid w:val="2C5408D6"/>
    <w:rsid w:val="2C542347"/>
    <w:rsid w:val="2C547DC9"/>
    <w:rsid w:val="2C570D4D"/>
    <w:rsid w:val="2C575892"/>
    <w:rsid w:val="2C5867CF"/>
    <w:rsid w:val="2C594250"/>
    <w:rsid w:val="2C5A1CD2"/>
    <w:rsid w:val="2C5B0548"/>
    <w:rsid w:val="2C5B070C"/>
    <w:rsid w:val="2C5B6C5B"/>
    <w:rsid w:val="2C5B7754"/>
    <w:rsid w:val="2C5C10E7"/>
    <w:rsid w:val="2C5D7445"/>
    <w:rsid w:val="2C5E06D8"/>
    <w:rsid w:val="2C5E2660"/>
    <w:rsid w:val="2C5E2824"/>
    <w:rsid w:val="2C5F615A"/>
    <w:rsid w:val="2C610F9B"/>
    <w:rsid w:val="2C614EE0"/>
    <w:rsid w:val="2C620039"/>
    <w:rsid w:val="2C622962"/>
    <w:rsid w:val="2C6270DE"/>
    <w:rsid w:val="2C6303E3"/>
    <w:rsid w:val="2C634B60"/>
    <w:rsid w:val="2C63688F"/>
    <w:rsid w:val="2C637B18"/>
    <w:rsid w:val="2C645E65"/>
    <w:rsid w:val="2C646BB5"/>
    <w:rsid w:val="2C665AE5"/>
    <w:rsid w:val="2C671380"/>
    <w:rsid w:val="2C673566"/>
    <w:rsid w:val="2C676DE9"/>
    <w:rsid w:val="2C681F1F"/>
    <w:rsid w:val="2C6820E3"/>
    <w:rsid w:val="2C68486B"/>
    <w:rsid w:val="2C6A7D6E"/>
    <w:rsid w:val="2C6B57F0"/>
    <w:rsid w:val="2C6C3271"/>
    <w:rsid w:val="2C6C4A11"/>
    <w:rsid w:val="2C6C546F"/>
    <w:rsid w:val="2C6C79EE"/>
    <w:rsid w:val="2C6D2EF1"/>
    <w:rsid w:val="2C6E0973"/>
    <w:rsid w:val="2C6E6774"/>
    <w:rsid w:val="2C6E6CED"/>
    <w:rsid w:val="2C6F41F6"/>
    <w:rsid w:val="2C6F63F4"/>
    <w:rsid w:val="2C6F788B"/>
    <w:rsid w:val="2C701C77"/>
    <w:rsid w:val="2C703E76"/>
    <w:rsid w:val="2C712816"/>
    <w:rsid w:val="2C7217DF"/>
    <w:rsid w:val="2C72517A"/>
    <w:rsid w:val="2C727379"/>
    <w:rsid w:val="2C732BFC"/>
    <w:rsid w:val="2C74067E"/>
    <w:rsid w:val="2C74287C"/>
    <w:rsid w:val="2C753B81"/>
    <w:rsid w:val="2C761602"/>
    <w:rsid w:val="2C76358B"/>
    <w:rsid w:val="2C765D7F"/>
    <w:rsid w:val="2C773801"/>
    <w:rsid w:val="2C774E6F"/>
    <w:rsid w:val="2C775033"/>
    <w:rsid w:val="2C777084"/>
    <w:rsid w:val="2C781282"/>
    <w:rsid w:val="2C792587"/>
    <w:rsid w:val="2C7A714B"/>
    <w:rsid w:val="2C7B2207"/>
    <w:rsid w:val="2C7B5A8A"/>
    <w:rsid w:val="2C7C109E"/>
    <w:rsid w:val="2C7C1263"/>
    <w:rsid w:val="2C7C6E78"/>
    <w:rsid w:val="2C7C7C88"/>
    <w:rsid w:val="2C7D0F8D"/>
    <w:rsid w:val="2C7D1A78"/>
    <w:rsid w:val="2C7D1C3D"/>
    <w:rsid w:val="2C7F4490"/>
    <w:rsid w:val="2C801F12"/>
    <w:rsid w:val="2C802A45"/>
    <w:rsid w:val="2C817993"/>
    <w:rsid w:val="2C821B92"/>
    <w:rsid w:val="2C832715"/>
    <w:rsid w:val="2C832E96"/>
    <w:rsid w:val="2C835E6C"/>
    <w:rsid w:val="2C837613"/>
    <w:rsid w:val="2C840918"/>
    <w:rsid w:val="2C846A0A"/>
    <w:rsid w:val="2C850598"/>
    <w:rsid w:val="2C852B16"/>
    <w:rsid w:val="2C856399"/>
    <w:rsid w:val="2C866019"/>
    <w:rsid w:val="2C867F83"/>
    <w:rsid w:val="2C88031F"/>
    <w:rsid w:val="2C8814FC"/>
    <w:rsid w:val="2C88731E"/>
    <w:rsid w:val="2C8A2821"/>
    <w:rsid w:val="2C8C5D24"/>
    <w:rsid w:val="2C8C7F23"/>
    <w:rsid w:val="2C8D37A6"/>
    <w:rsid w:val="2C8D572B"/>
    <w:rsid w:val="2C8E6CA9"/>
    <w:rsid w:val="2C8F0EA7"/>
    <w:rsid w:val="2C8F472B"/>
    <w:rsid w:val="2C9021AC"/>
    <w:rsid w:val="2C906929"/>
    <w:rsid w:val="2C9139C3"/>
    <w:rsid w:val="2C9143AA"/>
    <w:rsid w:val="2C917C2E"/>
    <w:rsid w:val="2C921E2C"/>
    <w:rsid w:val="2C9378AD"/>
    <w:rsid w:val="2C952D0F"/>
    <w:rsid w:val="2C952DB1"/>
    <w:rsid w:val="2C9640B5"/>
    <w:rsid w:val="2C971B37"/>
    <w:rsid w:val="2C974E26"/>
    <w:rsid w:val="2C9762B4"/>
    <w:rsid w:val="2C9917B7"/>
    <w:rsid w:val="2C99503A"/>
    <w:rsid w:val="2C9A4B66"/>
    <w:rsid w:val="2C9A6F3E"/>
    <w:rsid w:val="2C9A7102"/>
    <w:rsid w:val="2C9A7238"/>
    <w:rsid w:val="2C9B4CBA"/>
    <w:rsid w:val="2C9C5FBF"/>
    <w:rsid w:val="2C9D1056"/>
    <w:rsid w:val="2C9D5C3F"/>
    <w:rsid w:val="2C9E1BF4"/>
    <w:rsid w:val="2C9E36C0"/>
    <w:rsid w:val="2C9F1142"/>
    <w:rsid w:val="2C9F2793"/>
    <w:rsid w:val="2C9F6F43"/>
    <w:rsid w:val="2CA049C5"/>
    <w:rsid w:val="2CA06BC3"/>
    <w:rsid w:val="2CA12446"/>
    <w:rsid w:val="2CA14645"/>
    <w:rsid w:val="2CA14E8E"/>
    <w:rsid w:val="2CA27EC8"/>
    <w:rsid w:val="2CA3594A"/>
    <w:rsid w:val="2CA64350"/>
    <w:rsid w:val="2CA67F3B"/>
    <w:rsid w:val="2CA70915"/>
    <w:rsid w:val="2CA70AD9"/>
    <w:rsid w:val="2CA71DD1"/>
    <w:rsid w:val="2CA83FD0"/>
    <w:rsid w:val="2CA91E8E"/>
    <w:rsid w:val="2CA92052"/>
    <w:rsid w:val="2CAA23A2"/>
    <w:rsid w:val="2CAA2A2D"/>
    <w:rsid w:val="2CAA2D56"/>
    <w:rsid w:val="2CAA45D4"/>
    <w:rsid w:val="2CAB07D7"/>
    <w:rsid w:val="2CAB4F54"/>
    <w:rsid w:val="2CAC29D6"/>
    <w:rsid w:val="2CAC3307"/>
    <w:rsid w:val="2CAC416A"/>
    <w:rsid w:val="2CAC6259"/>
    <w:rsid w:val="2CAD0457"/>
    <w:rsid w:val="2CAE175C"/>
    <w:rsid w:val="2CAF60BD"/>
    <w:rsid w:val="2CB10399"/>
    <w:rsid w:val="2CB17636"/>
    <w:rsid w:val="2CB3174D"/>
    <w:rsid w:val="2CB52E8B"/>
    <w:rsid w:val="2CB63A29"/>
    <w:rsid w:val="2CB66B69"/>
    <w:rsid w:val="2CB745EA"/>
    <w:rsid w:val="2CB8206C"/>
    <w:rsid w:val="2CB9711D"/>
    <w:rsid w:val="2CB97AED"/>
    <w:rsid w:val="2CBA556F"/>
    <w:rsid w:val="2CBA5C99"/>
    <w:rsid w:val="2CBB2FF0"/>
    <w:rsid w:val="2CBB4816"/>
    <w:rsid w:val="2CBD0633"/>
    <w:rsid w:val="2CBE11D1"/>
    <w:rsid w:val="2CBE19F6"/>
    <w:rsid w:val="2CBF1BAC"/>
    <w:rsid w:val="2CBF3DCB"/>
    <w:rsid w:val="2CC1297B"/>
    <w:rsid w:val="2CC2469D"/>
    <w:rsid w:val="2CC35400"/>
    <w:rsid w:val="2CC51381"/>
    <w:rsid w:val="2CC66E03"/>
    <w:rsid w:val="2CC70108"/>
    <w:rsid w:val="2CC713D9"/>
    <w:rsid w:val="2CC74884"/>
    <w:rsid w:val="2CC755FB"/>
    <w:rsid w:val="2CC77EF2"/>
    <w:rsid w:val="2CC80997"/>
    <w:rsid w:val="2CC80D03"/>
    <w:rsid w:val="2CC85B89"/>
    <w:rsid w:val="2CC9146B"/>
    <w:rsid w:val="2CC91630"/>
    <w:rsid w:val="2CCA108C"/>
    <w:rsid w:val="2CCA5809"/>
    <w:rsid w:val="2CCB29E4"/>
    <w:rsid w:val="2CCB328B"/>
    <w:rsid w:val="2CCB6B0E"/>
    <w:rsid w:val="2CCC458F"/>
    <w:rsid w:val="2CCD678E"/>
    <w:rsid w:val="2CCE420F"/>
    <w:rsid w:val="2CCE7A93"/>
    <w:rsid w:val="2CCF1C91"/>
    <w:rsid w:val="2CCF5514"/>
    <w:rsid w:val="2CD02F96"/>
    <w:rsid w:val="2CD06CD5"/>
    <w:rsid w:val="2CD10A17"/>
    <w:rsid w:val="2CD15194"/>
    <w:rsid w:val="2CD26499"/>
    <w:rsid w:val="2CD30697"/>
    <w:rsid w:val="2CD30D2B"/>
    <w:rsid w:val="2CD435DF"/>
    <w:rsid w:val="2CD46119"/>
    <w:rsid w:val="2CD5161C"/>
    <w:rsid w:val="2CD522A4"/>
    <w:rsid w:val="2CD53B9A"/>
    <w:rsid w:val="2CD5741D"/>
    <w:rsid w:val="2CD62E42"/>
    <w:rsid w:val="2CD6709D"/>
    <w:rsid w:val="2CD723C8"/>
    <w:rsid w:val="2CD7381C"/>
    <w:rsid w:val="2CD74B1F"/>
    <w:rsid w:val="2CD803A2"/>
    <w:rsid w:val="2CDA38A5"/>
    <w:rsid w:val="2CDA5AA3"/>
    <w:rsid w:val="2CDA5AF8"/>
    <w:rsid w:val="2CDA6697"/>
    <w:rsid w:val="2CDA7095"/>
    <w:rsid w:val="2CDB3525"/>
    <w:rsid w:val="2CDB7071"/>
    <w:rsid w:val="2CDC0FA6"/>
    <w:rsid w:val="2CDC6DA8"/>
    <w:rsid w:val="2CDD6A28"/>
    <w:rsid w:val="2CE03230"/>
    <w:rsid w:val="2CE079AD"/>
    <w:rsid w:val="2CE22EB0"/>
    <w:rsid w:val="2CE341B5"/>
    <w:rsid w:val="2CE412D1"/>
    <w:rsid w:val="2CE463B3"/>
    <w:rsid w:val="2CE53E34"/>
    <w:rsid w:val="2CE576B8"/>
    <w:rsid w:val="2CE618B6"/>
    <w:rsid w:val="2CE72BBB"/>
    <w:rsid w:val="2CE7730B"/>
    <w:rsid w:val="2CE8063C"/>
    <w:rsid w:val="2CEA1FC1"/>
    <w:rsid w:val="2CEA3B3F"/>
    <w:rsid w:val="2CEB15C1"/>
    <w:rsid w:val="2CEB25AB"/>
    <w:rsid w:val="2CEB5D3E"/>
    <w:rsid w:val="2CEC7043"/>
    <w:rsid w:val="2CED1241"/>
    <w:rsid w:val="2CEE2546"/>
    <w:rsid w:val="2CEE4744"/>
    <w:rsid w:val="2CEE4C77"/>
    <w:rsid w:val="2CEE6CC2"/>
    <w:rsid w:val="2CEF21C5"/>
    <w:rsid w:val="2CEF5652"/>
    <w:rsid w:val="2CEF7FC7"/>
    <w:rsid w:val="2CF07C47"/>
    <w:rsid w:val="2CF134CA"/>
    <w:rsid w:val="2CF156C9"/>
    <w:rsid w:val="2CF20F4C"/>
    <w:rsid w:val="2CF2314A"/>
    <w:rsid w:val="2CF30BCC"/>
    <w:rsid w:val="2CF34D78"/>
    <w:rsid w:val="2CF369CD"/>
    <w:rsid w:val="2CF37DC3"/>
    <w:rsid w:val="2CF40EA6"/>
    <w:rsid w:val="2CF4664D"/>
    <w:rsid w:val="2CF47382"/>
    <w:rsid w:val="2CF540CF"/>
    <w:rsid w:val="2CF5678B"/>
    <w:rsid w:val="2CF653D4"/>
    <w:rsid w:val="2CF72E55"/>
    <w:rsid w:val="2CF775D2"/>
    <w:rsid w:val="2CF96358"/>
    <w:rsid w:val="2CFA0557"/>
    <w:rsid w:val="2CFA3DDA"/>
    <w:rsid w:val="2CFA5AB0"/>
    <w:rsid w:val="2CFB185B"/>
    <w:rsid w:val="2CFB5FD8"/>
    <w:rsid w:val="2CFC72DD"/>
    <w:rsid w:val="2CFD14DB"/>
    <w:rsid w:val="2CFD4D5E"/>
    <w:rsid w:val="2CFD7BC7"/>
    <w:rsid w:val="2CFE0766"/>
    <w:rsid w:val="2CFF0262"/>
    <w:rsid w:val="2D002460"/>
    <w:rsid w:val="2D005CE3"/>
    <w:rsid w:val="2D012AC1"/>
    <w:rsid w:val="2D013765"/>
    <w:rsid w:val="2D017EE1"/>
    <w:rsid w:val="2D034995"/>
    <w:rsid w:val="2D036C68"/>
    <w:rsid w:val="2D040E66"/>
    <w:rsid w:val="2D055D4A"/>
    <w:rsid w:val="2D0568E8"/>
    <w:rsid w:val="2D061DEB"/>
    <w:rsid w:val="2D064369"/>
    <w:rsid w:val="2D067BEC"/>
    <w:rsid w:val="2D0706BD"/>
    <w:rsid w:val="2D07786C"/>
    <w:rsid w:val="2D090B71"/>
    <w:rsid w:val="2D092D6F"/>
    <w:rsid w:val="2D0A13DA"/>
    <w:rsid w:val="2D0A65F3"/>
    <w:rsid w:val="2D0B1F79"/>
    <w:rsid w:val="2D0B6272"/>
    <w:rsid w:val="2D0C1AF6"/>
    <w:rsid w:val="2D0C2F66"/>
    <w:rsid w:val="2D0D1776"/>
    <w:rsid w:val="2D0E2A7A"/>
    <w:rsid w:val="2D0E4090"/>
    <w:rsid w:val="2D0E4FF9"/>
    <w:rsid w:val="2D0F04FC"/>
    <w:rsid w:val="2D0F4C2F"/>
    <w:rsid w:val="2D104A12"/>
    <w:rsid w:val="2D1057CD"/>
    <w:rsid w:val="2D1073FE"/>
    <w:rsid w:val="2D113745"/>
    <w:rsid w:val="2D114186"/>
    <w:rsid w:val="2D1278E5"/>
    <w:rsid w:val="2D132E1F"/>
    <w:rsid w:val="2D13367F"/>
    <w:rsid w:val="2D136F02"/>
    <w:rsid w:val="2D137721"/>
    <w:rsid w:val="2D140C99"/>
    <w:rsid w:val="2D141100"/>
    <w:rsid w:val="2D1623D7"/>
    <w:rsid w:val="2D167E87"/>
    <w:rsid w:val="2D172F75"/>
    <w:rsid w:val="2D18338A"/>
    <w:rsid w:val="2D19235F"/>
    <w:rsid w:val="2D1A4EC9"/>
    <w:rsid w:val="2D1A688D"/>
    <w:rsid w:val="2D1A7254"/>
    <w:rsid w:val="2D1B430E"/>
    <w:rsid w:val="2D1D7812"/>
    <w:rsid w:val="2D205F22"/>
    <w:rsid w:val="2D20628D"/>
    <w:rsid w:val="2D23171B"/>
    <w:rsid w:val="2D233DAE"/>
    <w:rsid w:val="2D244788"/>
    <w:rsid w:val="2D24494D"/>
    <w:rsid w:val="2D24719C"/>
    <w:rsid w:val="2D247E3D"/>
    <w:rsid w:val="2D254C1E"/>
    <w:rsid w:val="2D2626A0"/>
    <w:rsid w:val="2D265EC5"/>
    <w:rsid w:val="2D283624"/>
    <w:rsid w:val="2D2C202A"/>
    <w:rsid w:val="2D2D7AAC"/>
    <w:rsid w:val="2D2E332F"/>
    <w:rsid w:val="2D2E420C"/>
    <w:rsid w:val="2D2F2FAF"/>
    <w:rsid w:val="2D2F7B08"/>
    <w:rsid w:val="2D300A31"/>
    <w:rsid w:val="2D3055C0"/>
    <w:rsid w:val="2D305785"/>
    <w:rsid w:val="2D311D35"/>
    <w:rsid w:val="2D31615F"/>
    <w:rsid w:val="2D3164B2"/>
    <w:rsid w:val="2D3277B7"/>
    <w:rsid w:val="2D3319B5"/>
    <w:rsid w:val="2D33789C"/>
    <w:rsid w:val="2D340277"/>
    <w:rsid w:val="2D347437"/>
    <w:rsid w:val="2D354EB8"/>
    <w:rsid w:val="2D3661BD"/>
    <w:rsid w:val="2D372553"/>
    <w:rsid w:val="2D373C3F"/>
    <w:rsid w:val="2D3816C0"/>
    <w:rsid w:val="2D3A1340"/>
    <w:rsid w:val="2D3A4BC3"/>
    <w:rsid w:val="2D3C00C6"/>
    <w:rsid w:val="2D3D22E5"/>
    <w:rsid w:val="2D3E35CA"/>
    <w:rsid w:val="2D3E57C8"/>
    <w:rsid w:val="2D3E7CFB"/>
    <w:rsid w:val="2D3E7D46"/>
    <w:rsid w:val="2D3F104B"/>
    <w:rsid w:val="2D400CCB"/>
    <w:rsid w:val="2D403277"/>
    <w:rsid w:val="2D406ACD"/>
    <w:rsid w:val="2D4106A3"/>
    <w:rsid w:val="2D411E12"/>
    <w:rsid w:val="2D41454E"/>
    <w:rsid w:val="2D41674C"/>
    <w:rsid w:val="2D421FD0"/>
    <w:rsid w:val="2D4241CE"/>
    <w:rsid w:val="2D4454D3"/>
    <w:rsid w:val="2D4476D1"/>
    <w:rsid w:val="2D452F54"/>
    <w:rsid w:val="2D454904"/>
    <w:rsid w:val="2D455153"/>
    <w:rsid w:val="2D462BD4"/>
    <w:rsid w:val="2D46604D"/>
    <w:rsid w:val="2D466457"/>
    <w:rsid w:val="2D473ED9"/>
    <w:rsid w:val="2D48195B"/>
    <w:rsid w:val="2D486A1B"/>
    <w:rsid w:val="2D4875BA"/>
    <w:rsid w:val="2D4A096F"/>
    <w:rsid w:val="2D4B705C"/>
    <w:rsid w:val="2D4C0361"/>
    <w:rsid w:val="2D4C1EE7"/>
    <w:rsid w:val="2D4C4ADE"/>
    <w:rsid w:val="2D4D255F"/>
    <w:rsid w:val="2D4F12E5"/>
    <w:rsid w:val="2D4F3FFF"/>
    <w:rsid w:val="2D4F5A62"/>
    <w:rsid w:val="2D5034E4"/>
    <w:rsid w:val="2D506D67"/>
    <w:rsid w:val="2D510F65"/>
    <w:rsid w:val="2D52226A"/>
    <w:rsid w:val="2D526117"/>
    <w:rsid w:val="2D5269E7"/>
    <w:rsid w:val="2D536E7A"/>
    <w:rsid w:val="2D541EEA"/>
    <w:rsid w:val="2D54576D"/>
    <w:rsid w:val="2D5531EF"/>
    <w:rsid w:val="2D55796B"/>
    <w:rsid w:val="2D562E6F"/>
    <w:rsid w:val="2D5653ED"/>
    <w:rsid w:val="2D5708F0"/>
    <w:rsid w:val="2D5766F2"/>
    <w:rsid w:val="2D586372"/>
    <w:rsid w:val="2D591BF5"/>
    <w:rsid w:val="2D5938BF"/>
    <w:rsid w:val="2D593DF3"/>
    <w:rsid w:val="2D5A77C0"/>
    <w:rsid w:val="2D5B4FFC"/>
    <w:rsid w:val="2D5B50F8"/>
    <w:rsid w:val="2D5B72F6"/>
    <w:rsid w:val="2D5C4D78"/>
    <w:rsid w:val="2D5D05FB"/>
    <w:rsid w:val="2D5D27F9"/>
    <w:rsid w:val="2D5E027B"/>
    <w:rsid w:val="2D5E3AFE"/>
    <w:rsid w:val="2D5E607D"/>
    <w:rsid w:val="2D5F4233"/>
    <w:rsid w:val="2D5F5CFD"/>
    <w:rsid w:val="2D60377E"/>
    <w:rsid w:val="2D607001"/>
    <w:rsid w:val="2D614A83"/>
    <w:rsid w:val="2D626C81"/>
    <w:rsid w:val="2D634703"/>
    <w:rsid w:val="2D637F86"/>
    <w:rsid w:val="2D643EE1"/>
    <w:rsid w:val="2D645A08"/>
    <w:rsid w:val="2D653D1D"/>
    <w:rsid w:val="2D657C06"/>
    <w:rsid w:val="2D660F0B"/>
    <w:rsid w:val="2D66545A"/>
    <w:rsid w:val="2D665687"/>
    <w:rsid w:val="2D673109"/>
    <w:rsid w:val="2D675E34"/>
    <w:rsid w:val="2D67698C"/>
    <w:rsid w:val="2D682829"/>
    <w:rsid w:val="2D6A05F9"/>
    <w:rsid w:val="2D6A408E"/>
    <w:rsid w:val="2D6B5392"/>
    <w:rsid w:val="2D6C2E14"/>
    <w:rsid w:val="2D6D0895"/>
    <w:rsid w:val="2D6D5012"/>
    <w:rsid w:val="2D6E2A94"/>
    <w:rsid w:val="2D6E2C02"/>
    <w:rsid w:val="2D6E6317"/>
    <w:rsid w:val="2D6F37A1"/>
    <w:rsid w:val="2D6F3D99"/>
    <w:rsid w:val="2D70181A"/>
    <w:rsid w:val="2D714B55"/>
    <w:rsid w:val="2D726F1C"/>
    <w:rsid w:val="2D73279F"/>
    <w:rsid w:val="2D73499D"/>
    <w:rsid w:val="2D736C6D"/>
    <w:rsid w:val="2D74241F"/>
    <w:rsid w:val="2D7479D0"/>
    <w:rsid w:val="2D7503AA"/>
    <w:rsid w:val="2D763723"/>
    <w:rsid w:val="2D765006"/>
    <w:rsid w:val="2D765922"/>
    <w:rsid w:val="2D7711A5"/>
    <w:rsid w:val="2D7733A3"/>
    <w:rsid w:val="2D780E25"/>
    <w:rsid w:val="2D7846A8"/>
    <w:rsid w:val="2D7968A6"/>
    <w:rsid w:val="2D7A4328"/>
    <w:rsid w:val="2D7A7BAB"/>
    <w:rsid w:val="2D7B562D"/>
    <w:rsid w:val="2D7C30AE"/>
    <w:rsid w:val="2D7D0B30"/>
    <w:rsid w:val="2D801AB4"/>
    <w:rsid w:val="2D824FB8"/>
    <w:rsid w:val="2D832920"/>
    <w:rsid w:val="2D832A39"/>
    <w:rsid w:val="2D8404BB"/>
    <w:rsid w:val="2D8432FA"/>
    <w:rsid w:val="2D84762D"/>
    <w:rsid w:val="2D8639BE"/>
    <w:rsid w:val="2D864873"/>
    <w:rsid w:val="2D866360"/>
    <w:rsid w:val="2D87143F"/>
    <w:rsid w:val="2D875092"/>
    <w:rsid w:val="2D885FB0"/>
    <w:rsid w:val="2D886EC1"/>
    <w:rsid w:val="2D894942"/>
    <w:rsid w:val="2D8A23C4"/>
    <w:rsid w:val="2D8A7365"/>
    <w:rsid w:val="2D8B7F03"/>
    <w:rsid w:val="2D8C58C7"/>
    <w:rsid w:val="2D8D1641"/>
    <w:rsid w:val="2D8D21DF"/>
    <w:rsid w:val="2D8D3349"/>
    <w:rsid w:val="2D8E0DCA"/>
    <w:rsid w:val="2D8F684C"/>
    <w:rsid w:val="2D901D4F"/>
    <w:rsid w:val="2D915EEA"/>
    <w:rsid w:val="2D9177D0"/>
    <w:rsid w:val="2D925252"/>
    <w:rsid w:val="2D925870"/>
    <w:rsid w:val="2D932CD3"/>
    <w:rsid w:val="2D940EA8"/>
    <w:rsid w:val="2D946557"/>
    <w:rsid w:val="2D946DE9"/>
    <w:rsid w:val="2D9500FB"/>
    <w:rsid w:val="2D953FD8"/>
    <w:rsid w:val="2D9561D7"/>
    <w:rsid w:val="2D961A5A"/>
    <w:rsid w:val="2D965464"/>
    <w:rsid w:val="2D9716DA"/>
    <w:rsid w:val="2D974F5D"/>
    <w:rsid w:val="2D9829DE"/>
    <w:rsid w:val="2D9A5EE2"/>
    <w:rsid w:val="2D9B00E0"/>
    <w:rsid w:val="2D9B4590"/>
    <w:rsid w:val="2D9C13E5"/>
    <w:rsid w:val="2D9C512F"/>
    <w:rsid w:val="2D9D6E66"/>
    <w:rsid w:val="2D9E1065"/>
    <w:rsid w:val="2D9E48E8"/>
    <w:rsid w:val="2D9E56F5"/>
    <w:rsid w:val="2D9E64E4"/>
    <w:rsid w:val="2D9F180A"/>
    <w:rsid w:val="2D9F6AE6"/>
    <w:rsid w:val="2D9F7082"/>
    <w:rsid w:val="2D9F7247"/>
    <w:rsid w:val="2DA04568"/>
    <w:rsid w:val="2DA059AB"/>
    <w:rsid w:val="2DA07DEB"/>
    <w:rsid w:val="2DA11FE9"/>
    <w:rsid w:val="2DA1586C"/>
    <w:rsid w:val="2DA2135E"/>
    <w:rsid w:val="2DA23D5C"/>
    <w:rsid w:val="2DA27A6B"/>
    <w:rsid w:val="2DA30D70"/>
    <w:rsid w:val="2DA31D38"/>
    <w:rsid w:val="2DA354EC"/>
    <w:rsid w:val="2DA42F6E"/>
    <w:rsid w:val="2DA467F1"/>
    <w:rsid w:val="2DA47D6E"/>
    <w:rsid w:val="2DA532B1"/>
    <w:rsid w:val="2DA53476"/>
    <w:rsid w:val="2DA57B8D"/>
    <w:rsid w:val="2DA73EF2"/>
    <w:rsid w:val="2DA7482A"/>
    <w:rsid w:val="2DA77776"/>
    <w:rsid w:val="2DA851F7"/>
    <w:rsid w:val="2DA92C79"/>
    <w:rsid w:val="2DAA28F9"/>
    <w:rsid w:val="2DAB037A"/>
    <w:rsid w:val="2DAB617C"/>
    <w:rsid w:val="2DAB7EBB"/>
    <w:rsid w:val="2DAC3BFD"/>
    <w:rsid w:val="2DAD15F8"/>
    <w:rsid w:val="2DAD387D"/>
    <w:rsid w:val="2DAD50ED"/>
    <w:rsid w:val="2DAE12FF"/>
    <w:rsid w:val="2DAE1C1A"/>
    <w:rsid w:val="2DAE7101"/>
    <w:rsid w:val="2DAF6D80"/>
    <w:rsid w:val="2DB12284"/>
    <w:rsid w:val="2DB15421"/>
    <w:rsid w:val="2DB1578C"/>
    <w:rsid w:val="2DB15B07"/>
    <w:rsid w:val="2DB24153"/>
    <w:rsid w:val="2DB2578B"/>
    <w:rsid w:val="2DB27D05"/>
    <w:rsid w:val="2DB43208"/>
    <w:rsid w:val="2DB70EB7"/>
    <w:rsid w:val="2DB77A10"/>
    <w:rsid w:val="2DB92F13"/>
    <w:rsid w:val="2DBA0995"/>
    <w:rsid w:val="2DBA2E0B"/>
    <w:rsid w:val="2DBA5111"/>
    <w:rsid w:val="2DBB2B93"/>
    <w:rsid w:val="2DBC0615"/>
    <w:rsid w:val="2DBC10FE"/>
    <w:rsid w:val="2DBC3E98"/>
    <w:rsid w:val="2DBD6096"/>
    <w:rsid w:val="2DBE739B"/>
    <w:rsid w:val="2DBF09AB"/>
    <w:rsid w:val="2DBF701B"/>
    <w:rsid w:val="2DC076DD"/>
    <w:rsid w:val="2DC07893"/>
    <w:rsid w:val="2DC10320"/>
    <w:rsid w:val="2DC17BD8"/>
    <w:rsid w:val="2DC20777"/>
    <w:rsid w:val="2DC25DA1"/>
    <w:rsid w:val="2DC33823"/>
    <w:rsid w:val="2DC35A21"/>
    <w:rsid w:val="2DC412A4"/>
    <w:rsid w:val="2DC41CF0"/>
    <w:rsid w:val="2DC4288F"/>
    <w:rsid w:val="2DC434A2"/>
    <w:rsid w:val="2DC50F24"/>
    <w:rsid w:val="2DC526CA"/>
    <w:rsid w:val="2DC56D26"/>
    <w:rsid w:val="2DC647A7"/>
    <w:rsid w:val="2DC669A6"/>
    <w:rsid w:val="2DC72229"/>
    <w:rsid w:val="2DC77CAA"/>
    <w:rsid w:val="2DC8572C"/>
    <w:rsid w:val="2DCA0C2F"/>
    <w:rsid w:val="2DCB2E2D"/>
    <w:rsid w:val="2DCB66B1"/>
    <w:rsid w:val="2DCC08AF"/>
    <w:rsid w:val="2DCC4132"/>
    <w:rsid w:val="2DCD6330"/>
    <w:rsid w:val="2DCE15AF"/>
    <w:rsid w:val="2DCE3DB2"/>
    <w:rsid w:val="2DCF0BED"/>
    <w:rsid w:val="2DCF1834"/>
    <w:rsid w:val="2DCF214E"/>
    <w:rsid w:val="2DD240A1"/>
    <w:rsid w:val="2DD2603B"/>
    <w:rsid w:val="2DD3023A"/>
    <w:rsid w:val="2DD33ABD"/>
    <w:rsid w:val="2DD4153F"/>
    <w:rsid w:val="2DD5373D"/>
    <w:rsid w:val="2DD56FC0"/>
    <w:rsid w:val="2DD611BE"/>
    <w:rsid w:val="2DD64A42"/>
    <w:rsid w:val="2DD702D0"/>
    <w:rsid w:val="2DD724C3"/>
    <w:rsid w:val="2DD76C40"/>
    <w:rsid w:val="2DD846C1"/>
    <w:rsid w:val="2DD87F45"/>
    <w:rsid w:val="2DD959C6"/>
    <w:rsid w:val="2DD97BC5"/>
    <w:rsid w:val="2DDA5646"/>
    <w:rsid w:val="2DDB0EC9"/>
    <w:rsid w:val="2DDB30C8"/>
    <w:rsid w:val="2DDC694B"/>
    <w:rsid w:val="2DDD44FF"/>
    <w:rsid w:val="2DDE1E4E"/>
    <w:rsid w:val="2DDE2EA9"/>
    <w:rsid w:val="2DDE404C"/>
    <w:rsid w:val="2DDF67DB"/>
    <w:rsid w:val="2DE02DD3"/>
    <w:rsid w:val="2DE071B6"/>
    <w:rsid w:val="2DE10854"/>
    <w:rsid w:val="2DE16FF1"/>
    <w:rsid w:val="2DE262D6"/>
    <w:rsid w:val="2DE312CD"/>
    <w:rsid w:val="2DE33AEA"/>
    <w:rsid w:val="2DE33D57"/>
    <w:rsid w:val="2DE41E6C"/>
    <w:rsid w:val="2DE5725A"/>
    <w:rsid w:val="2DE64CDC"/>
    <w:rsid w:val="2DE801DF"/>
    <w:rsid w:val="2DE95C61"/>
    <w:rsid w:val="2DEA36E2"/>
    <w:rsid w:val="2DEB68B1"/>
    <w:rsid w:val="2DEC5D5C"/>
    <w:rsid w:val="2DEC6433"/>
    <w:rsid w:val="2DEC7614"/>
    <w:rsid w:val="2DED4667"/>
    <w:rsid w:val="2DEF2105"/>
    <w:rsid w:val="2DEF7B6A"/>
    <w:rsid w:val="2DF02CA4"/>
    <w:rsid w:val="2DF055EB"/>
    <w:rsid w:val="2DF1306D"/>
    <w:rsid w:val="2DF45796"/>
    <w:rsid w:val="2DF74F76"/>
    <w:rsid w:val="2DF778AD"/>
    <w:rsid w:val="2DF80479"/>
    <w:rsid w:val="2DF829F8"/>
    <w:rsid w:val="2DF90E26"/>
    <w:rsid w:val="2DF919BD"/>
    <w:rsid w:val="2DFA177E"/>
    <w:rsid w:val="2DFB01CE"/>
    <w:rsid w:val="2DFB0384"/>
    <w:rsid w:val="2DFB14DA"/>
    <w:rsid w:val="2DFB2564"/>
    <w:rsid w:val="2DFB7200"/>
    <w:rsid w:val="2DFB7E63"/>
    <w:rsid w:val="2DFC3ADD"/>
    <w:rsid w:val="2DFC4C81"/>
    <w:rsid w:val="2DFC6E80"/>
    <w:rsid w:val="2DFD44B7"/>
    <w:rsid w:val="2DFD467B"/>
    <w:rsid w:val="2DFD4901"/>
    <w:rsid w:val="2DFE2383"/>
    <w:rsid w:val="2DFE521A"/>
    <w:rsid w:val="2DFF5C06"/>
    <w:rsid w:val="2E003688"/>
    <w:rsid w:val="2E005886"/>
    <w:rsid w:val="2E006793"/>
    <w:rsid w:val="2E013307"/>
    <w:rsid w:val="2E016B8B"/>
    <w:rsid w:val="2E02460C"/>
    <w:rsid w:val="2E03208E"/>
    <w:rsid w:val="2E047B0F"/>
    <w:rsid w:val="2E051D0E"/>
    <w:rsid w:val="2E055591"/>
    <w:rsid w:val="2E060932"/>
    <w:rsid w:val="2E063012"/>
    <w:rsid w:val="2E075211"/>
    <w:rsid w:val="2E082C92"/>
    <w:rsid w:val="2E084AD9"/>
    <w:rsid w:val="2E086516"/>
    <w:rsid w:val="2E090714"/>
    <w:rsid w:val="2E0B3C17"/>
    <w:rsid w:val="2E0B6A2C"/>
    <w:rsid w:val="2E0B749A"/>
    <w:rsid w:val="2E0C1698"/>
    <w:rsid w:val="2E0C75CB"/>
    <w:rsid w:val="2E0E4B9C"/>
    <w:rsid w:val="2E0F261D"/>
    <w:rsid w:val="2E10009F"/>
    <w:rsid w:val="2E105B20"/>
    <w:rsid w:val="2E1113A3"/>
    <w:rsid w:val="2E121023"/>
    <w:rsid w:val="2E123636"/>
    <w:rsid w:val="2E126E25"/>
    <w:rsid w:val="2E142328"/>
    <w:rsid w:val="2E144526"/>
    <w:rsid w:val="2E151FA8"/>
    <w:rsid w:val="2E15574D"/>
    <w:rsid w:val="2E155912"/>
    <w:rsid w:val="2E157DAA"/>
    <w:rsid w:val="2E167A29"/>
    <w:rsid w:val="2E176445"/>
    <w:rsid w:val="2E176E8B"/>
    <w:rsid w:val="2E180404"/>
    <w:rsid w:val="2E180D2E"/>
    <w:rsid w:val="2E184747"/>
    <w:rsid w:val="2E1867B0"/>
    <w:rsid w:val="2E1909AE"/>
    <w:rsid w:val="2E194231"/>
    <w:rsid w:val="2E1B3EB1"/>
    <w:rsid w:val="2E1B7734"/>
    <w:rsid w:val="2E1C2EF5"/>
    <w:rsid w:val="2E1E06B9"/>
    <w:rsid w:val="2E1F28B7"/>
    <w:rsid w:val="2E205BAC"/>
    <w:rsid w:val="2E2312BE"/>
    <w:rsid w:val="2E241400"/>
    <w:rsid w:val="2E2547C1"/>
    <w:rsid w:val="2E257E86"/>
    <w:rsid w:val="2E262242"/>
    <w:rsid w:val="2E265AC6"/>
    <w:rsid w:val="2E2677B0"/>
    <w:rsid w:val="2E273353"/>
    <w:rsid w:val="2E273547"/>
    <w:rsid w:val="2E277CC4"/>
    <w:rsid w:val="2E280FC9"/>
    <w:rsid w:val="2E283EF2"/>
    <w:rsid w:val="2E285745"/>
    <w:rsid w:val="2E290C48"/>
    <w:rsid w:val="2E296A4A"/>
    <w:rsid w:val="2E2A66CA"/>
    <w:rsid w:val="2E2B1F4D"/>
    <w:rsid w:val="2E2B414C"/>
    <w:rsid w:val="2E2B600A"/>
    <w:rsid w:val="2E2D5450"/>
    <w:rsid w:val="2E2D7583"/>
    <w:rsid w:val="2E2D764F"/>
    <w:rsid w:val="2E2E1B4B"/>
    <w:rsid w:val="2E2E2ED2"/>
    <w:rsid w:val="2E2E50D0"/>
    <w:rsid w:val="2E2F0953"/>
    <w:rsid w:val="2E2F0CC0"/>
    <w:rsid w:val="2E2F2B52"/>
    <w:rsid w:val="2E3014D6"/>
    <w:rsid w:val="2E303E57"/>
    <w:rsid w:val="2E321FE3"/>
    <w:rsid w:val="2E323AD6"/>
    <w:rsid w:val="2E32735A"/>
    <w:rsid w:val="2E33325B"/>
    <w:rsid w:val="2E33418C"/>
    <w:rsid w:val="2E354A5B"/>
    <w:rsid w:val="2E355705"/>
    <w:rsid w:val="2E3558C9"/>
    <w:rsid w:val="2E3624DD"/>
    <w:rsid w:val="2E3662A3"/>
    <w:rsid w:val="2E3737E1"/>
    <w:rsid w:val="2E377F5E"/>
    <w:rsid w:val="2E396CE5"/>
    <w:rsid w:val="2E3A4766"/>
    <w:rsid w:val="2E3B1934"/>
    <w:rsid w:val="2E3B1AF8"/>
    <w:rsid w:val="2E3C7C69"/>
    <w:rsid w:val="2E3D1E67"/>
    <w:rsid w:val="2E3E316C"/>
    <w:rsid w:val="2E3F0BEE"/>
    <w:rsid w:val="2E3F45EA"/>
    <w:rsid w:val="2E3F536B"/>
    <w:rsid w:val="2E40086E"/>
    <w:rsid w:val="2E405189"/>
    <w:rsid w:val="2E40666F"/>
    <w:rsid w:val="2E4140F1"/>
    <w:rsid w:val="2E415B63"/>
    <w:rsid w:val="2E421B72"/>
    <w:rsid w:val="2E4317F2"/>
    <w:rsid w:val="2E4375F4"/>
    <w:rsid w:val="2E440655"/>
    <w:rsid w:val="2E447274"/>
    <w:rsid w:val="2E452AF7"/>
    <w:rsid w:val="2E4814FD"/>
    <w:rsid w:val="2E48330B"/>
    <w:rsid w:val="2E493EAA"/>
    <w:rsid w:val="2E496F7F"/>
    <w:rsid w:val="2E4A4A00"/>
    <w:rsid w:val="2E4B5422"/>
    <w:rsid w:val="2E4B55E7"/>
    <w:rsid w:val="2E4D4120"/>
    <w:rsid w:val="2E4E3407"/>
    <w:rsid w:val="2E4F0AB3"/>
    <w:rsid w:val="2E4F0E88"/>
    <w:rsid w:val="2E501652"/>
    <w:rsid w:val="2E50690A"/>
    <w:rsid w:val="2E5121F0"/>
    <w:rsid w:val="2E516BDC"/>
    <w:rsid w:val="2E521E0D"/>
    <w:rsid w:val="2E545310"/>
    <w:rsid w:val="2E57625B"/>
    <w:rsid w:val="2E591798"/>
    <w:rsid w:val="2E5A7219"/>
    <w:rsid w:val="2E5C264E"/>
    <w:rsid w:val="2E5C271C"/>
    <w:rsid w:val="2E5D019E"/>
    <w:rsid w:val="2E5D3029"/>
    <w:rsid w:val="2E5D38F8"/>
    <w:rsid w:val="2E5E5C1F"/>
    <w:rsid w:val="2E5F45A1"/>
    <w:rsid w:val="2E5F4766"/>
    <w:rsid w:val="2E6049A6"/>
    <w:rsid w:val="2E614626"/>
    <w:rsid w:val="2E627EA9"/>
    <w:rsid w:val="2E65302C"/>
    <w:rsid w:val="2E66136F"/>
    <w:rsid w:val="2E667F96"/>
    <w:rsid w:val="2E671D49"/>
    <w:rsid w:val="2E67652F"/>
    <w:rsid w:val="2E6828E8"/>
    <w:rsid w:val="2E683FB0"/>
    <w:rsid w:val="2E6952B5"/>
    <w:rsid w:val="2E697834"/>
    <w:rsid w:val="2E6A2D37"/>
    <w:rsid w:val="2E6A3E61"/>
    <w:rsid w:val="2E6A74B4"/>
    <w:rsid w:val="2E6B4F35"/>
    <w:rsid w:val="2E6C29B7"/>
    <w:rsid w:val="2E6D0438"/>
    <w:rsid w:val="2E6D478D"/>
    <w:rsid w:val="2E6E34C0"/>
    <w:rsid w:val="2E6E5EBA"/>
    <w:rsid w:val="2E6F2F9F"/>
    <w:rsid w:val="2E6F71BF"/>
    <w:rsid w:val="2E7013BD"/>
    <w:rsid w:val="2E704C40"/>
    <w:rsid w:val="2E7126C2"/>
    <w:rsid w:val="2E716E3E"/>
    <w:rsid w:val="2E732342"/>
    <w:rsid w:val="2E7510C8"/>
    <w:rsid w:val="2E7542BF"/>
    <w:rsid w:val="2E7632C6"/>
    <w:rsid w:val="2E766B49"/>
    <w:rsid w:val="2E770D48"/>
    <w:rsid w:val="2E791CCC"/>
    <w:rsid w:val="2E79424B"/>
    <w:rsid w:val="2E797ACE"/>
    <w:rsid w:val="2E7A04EE"/>
    <w:rsid w:val="2E7A5550"/>
    <w:rsid w:val="2E7A774E"/>
    <w:rsid w:val="2E7B2FD1"/>
    <w:rsid w:val="2E7C2C51"/>
    <w:rsid w:val="2E7C66DE"/>
    <w:rsid w:val="2E7D5295"/>
    <w:rsid w:val="2E7D5411"/>
    <w:rsid w:val="2E7D64D4"/>
    <w:rsid w:val="2E7E2FE0"/>
    <w:rsid w:val="2E7E6154"/>
    <w:rsid w:val="2E7F3BD6"/>
    <w:rsid w:val="2E801657"/>
    <w:rsid w:val="2E81295C"/>
    <w:rsid w:val="2E812AB8"/>
    <w:rsid w:val="2E814EDA"/>
    <w:rsid w:val="2E8170D9"/>
    <w:rsid w:val="2E8203DE"/>
    <w:rsid w:val="2E8226AB"/>
    <w:rsid w:val="2E8361EB"/>
    <w:rsid w:val="2E8438E1"/>
    <w:rsid w:val="2E851362"/>
    <w:rsid w:val="2E863561"/>
    <w:rsid w:val="2E866DE4"/>
    <w:rsid w:val="2E870FE2"/>
    <w:rsid w:val="2E873255"/>
    <w:rsid w:val="2E874865"/>
    <w:rsid w:val="2E8822E7"/>
    <w:rsid w:val="2E886A64"/>
    <w:rsid w:val="2E8944E5"/>
    <w:rsid w:val="2E8A1747"/>
    <w:rsid w:val="2E8A1F67"/>
    <w:rsid w:val="2E8A57EA"/>
    <w:rsid w:val="2E8B49B7"/>
    <w:rsid w:val="2E8B79E8"/>
    <w:rsid w:val="2E8B7F59"/>
    <w:rsid w:val="2E8C546A"/>
    <w:rsid w:val="2E8C7A38"/>
    <w:rsid w:val="2E8D2EEB"/>
    <w:rsid w:val="2E8D5F30"/>
    <w:rsid w:val="2E8D60F4"/>
    <w:rsid w:val="2E8E6ACF"/>
    <w:rsid w:val="2E8F1C72"/>
    <w:rsid w:val="2E8F3DE9"/>
    <w:rsid w:val="2E8F63EE"/>
    <w:rsid w:val="2E900048"/>
    <w:rsid w:val="2E9076F3"/>
    <w:rsid w:val="2E9118F2"/>
    <w:rsid w:val="2E915175"/>
    <w:rsid w:val="2E917373"/>
    <w:rsid w:val="2E922324"/>
    <w:rsid w:val="2E922BF6"/>
    <w:rsid w:val="2E9279E9"/>
    <w:rsid w:val="2E930678"/>
    <w:rsid w:val="2E932876"/>
    <w:rsid w:val="2E932CFE"/>
    <w:rsid w:val="2E9402F8"/>
    <w:rsid w:val="2E9460F9"/>
    <w:rsid w:val="2E953B7B"/>
    <w:rsid w:val="2E955D79"/>
    <w:rsid w:val="2E97127C"/>
    <w:rsid w:val="2E9757EF"/>
    <w:rsid w:val="2E97707E"/>
    <w:rsid w:val="2E984B00"/>
    <w:rsid w:val="2E986CFE"/>
    <w:rsid w:val="2E993699"/>
    <w:rsid w:val="2E994780"/>
    <w:rsid w:val="2E996D68"/>
    <w:rsid w:val="2E9A1EAA"/>
    <w:rsid w:val="2E9A2201"/>
    <w:rsid w:val="2E9A2736"/>
    <w:rsid w:val="2E9B04A6"/>
    <w:rsid w:val="2E9B3506"/>
    <w:rsid w:val="2E9B7C83"/>
    <w:rsid w:val="2E9C0F87"/>
    <w:rsid w:val="2E9D6A09"/>
    <w:rsid w:val="2E9E23F9"/>
    <w:rsid w:val="2E9E25BD"/>
    <w:rsid w:val="2E9E448B"/>
    <w:rsid w:val="2E9F1F0C"/>
    <w:rsid w:val="2E9F315C"/>
    <w:rsid w:val="2E9F6689"/>
    <w:rsid w:val="2EA0410A"/>
    <w:rsid w:val="2EA0798E"/>
    <w:rsid w:val="2EA14510"/>
    <w:rsid w:val="2EA150AF"/>
    <w:rsid w:val="2EA1540F"/>
    <w:rsid w:val="2EA22E91"/>
    <w:rsid w:val="2EA27D69"/>
    <w:rsid w:val="2EA30912"/>
    <w:rsid w:val="2EA3508F"/>
    <w:rsid w:val="2EA4738B"/>
    <w:rsid w:val="2EA50592"/>
    <w:rsid w:val="2EA66014"/>
    <w:rsid w:val="2EA73A95"/>
    <w:rsid w:val="2EA81517"/>
    <w:rsid w:val="2EA84D5E"/>
    <w:rsid w:val="2EA84D9A"/>
    <w:rsid w:val="2EA85434"/>
    <w:rsid w:val="2EA9281C"/>
    <w:rsid w:val="2EA944D2"/>
    <w:rsid w:val="2EA94A1A"/>
    <w:rsid w:val="2EA96F98"/>
    <w:rsid w:val="2EAB5D1F"/>
    <w:rsid w:val="2EAB7F1D"/>
    <w:rsid w:val="2EAC496F"/>
    <w:rsid w:val="2EAE60AC"/>
    <w:rsid w:val="2EAE6CA3"/>
    <w:rsid w:val="2EAF4725"/>
    <w:rsid w:val="2EAF7625"/>
    <w:rsid w:val="2EB17C28"/>
    <w:rsid w:val="2EB2173C"/>
    <w:rsid w:val="2EB2312B"/>
    <w:rsid w:val="2EB30BAD"/>
    <w:rsid w:val="2EB61B31"/>
    <w:rsid w:val="2EB7753B"/>
    <w:rsid w:val="2EB775B3"/>
    <w:rsid w:val="2EB85034"/>
    <w:rsid w:val="2EB8596B"/>
    <w:rsid w:val="2EB8678E"/>
    <w:rsid w:val="2EB92AB6"/>
    <w:rsid w:val="2EBA0537"/>
    <w:rsid w:val="2EBB5FB9"/>
    <w:rsid w:val="2EBC0FFC"/>
    <w:rsid w:val="2EBC3A3B"/>
    <w:rsid w:val="2EBD0E37"/>
    <w:rsid w:val="2EBD14BC"/>
    <w:rsid w:val="2EBD19D6"/>
    <w:rsid w:val="2EBE6F3E"/>
    <w:rsid w:val="2EC03AEE"/>
    <w:rsid w:val="2EC17EC2"/>
    <w:rsid w:val="2EC25944"/>
    <w:rsid w:val="2EC35C05"/>
    <w:rsid w:val="2EC467A4"/>
    <w:rsid w:val="2EC52083"/>
    <w:rsid w:val="2EC568C9"/>
    <w:rsid w:val="2EC60C00"/>
    <w:rsid w:val="2EC71DCC"/>
    <w:rsid w:val="2EC7564F"/>
    <w:rsid w:val="2EC929D3"/>
    <w:rsid w:val="2EC92D50"/>
    <w:rsid w:val="2ECA07D2"/>
    <w:rsid w:val="2ECB4055"/>
    <w:rsid w:val="2ECB6253"/>
    <w:rsid w:val="2ECC3CD5"/>
    <w:rsid w:val="2ECC4AEA"/>
    <w:rsid w:val="2ECD1756"/>
    <w:rsid w:val="2ECE4FDA"/>
    <w:rsid w:val="2ECE6063"/>
    <w:rsid w:val="2ECF2A5B"/>
    <w:rsid w:val="2ECF4C5A"/>
    <w:rsid w:val="2ECF6A3D"/>
    <w:rsid w:val="2ED004DD"/>
    <w:rsid w:val="2ED026DB"/>
    <w:rsid w:val="2ED1015D"/>
    <w:rsid w:val="2ED139E0"/>
    <w:rsid w:val="2ED21461"/>
    <w:rsid w:val="2ED33660"/>
    <w:rsid w:val="2ED420CE"/>
    <w:rsid w:val="2ED52630"/>
    <w:rsid w:val="2ED52C6D"/>
    <w:rsid w:val="2ED56B63"/>
    <w:rsid w:val="2ED645E4"/>
    <w:rsid w:val="2ED67E68"/>
    <w:rsid w:val="2ED72066"/>
    <w:rsid w:val="2ED741E5"/>
    <w:rsid w:val="2ED743AA"/>
    <w:rsid w:val="2ED758E9"/>
    <w:rsid w:val="2ED962FD"/>
    <w:rsid w:val="2ED97CB8"/>
    <w:rsid w:val="2EDA2FEB"/>
    <w:rsid w:val="2EDA686E"/>
    <w:rsid w:val="2EDB42EF"/>
    <w:rsid w:val="2EDC0415"/>
    <w:rsid w:val="2EDD77F3"/>
    <w:rsid w:val="2EDE198D"/>
    <w:rsid w:val="2EDE4B41"/>
    <w:rsid w:val="2EDE5274"/>
    <w:rsid w:val="2EDF252C"/>
    <w:rsid w:val="2EDF7472"/>
    <w:rsid w:val="2EE030CB"/>
    <w:rsid w:val="2EE23C7A"/>
    <w:rsid w:val="2EE26E88"/>
    <w:rsid w:val="2EE338FA"/>
    <w:rsid w:val="2EE3501E"/>
    <w:rsid w:val="2EE3584F"/>
    <w:rsid w:val="2EE4137C"/>
    <w:rsid w:val="2EE45BBD"/>
    <w:rsid w:val="2EE45D81"/>
    <w:rsid w:val="2EE4717D"/>
    <w:rsid w:val="2EE54BFF"/>
    <w:rsid w:val="2EE56DFD"/>
    <w:rsid w:val="2EE6487F"/>
    <w:rsid w:val="2EE70102"/>
    <w:rsid w:val="2EE72300"/>
    <w:rsid w:val="2EE87D82"/>
    <w:rsid w:val="2EE93605"/>
    <w:rsid w:val="2EE95803"/>
    <w:rsid w:val="2EEA1087"/>
    <w:rsid w:val="2EEA3285"/>
    <w:rsid w:val="2EEB0D06"/>
    <w:rsid w:val="2EEC200B"/>
    <w:rsid w:val="2EEE547C"/>
    <w:rsid w:val="2EEF2F90"/>
    <w:rsid w:val="2EF0518E"/>
    <w:rsid w:val="2EF10F8E"/>
    <w:rsid w:val="2EF12C10"/>
    <w:rsid w:val="2EF16493"/>
    <w:rsid w:val="2EF17594"/>
    <w:rsid w:val="2EF17758"/>
    <w:rsid w:val="2EF20132"/>
    <w:rsid w:val="2EF30CD1"/>
    <w:rsid w:val="2EF43B94"/>
    <w:rsid w:val="2EF51616"/>
    <w:rsid w:val="2EF54E99"/>
    <w:rsid w:val="2EF56FF0"/>
    <w:rsid w:val="2EF67098"/>
    <w:rsid w:val="2EF7039C"/>
    <w:rsid w:val="2EF8259B"/>
    <w:rsid w:val="2EF84D3C"/>
    <w:rsid w:val="2EF84F00"/>
    <w:rsid w:val="2EF85E1E"/>
    <w:rsid w:val="2EF9001C"/>
    <w:rsid w:val="2EF9389F"/>
    <w:rsid w:val="2EFA1321"/>
    <w:rsid w:val="2EFA351F"/>
    <w:rsid w:val="2EFA6479"/>
    <w:rsid w:val="2EFC4824"/>
    <w:rsid w:val="2EFC79F2"/>
    <w:rsid w:val="2EFD22A6"/>
    <w:rsid w:val="2EFE1F25"/>
    <w:rsid w:val="2EFE7D27"/>
    <w:rsid w:val="2EFF1945"/>
    <w:rsid w:val="2EFF57A9"/>
    <w:rsid w:val="2EFF79A7"/>
    <w:rsid w:val="2F002653"/>
    <w:rsid w:val="2F010CAC"/>
    <w:rsid w:val="2F012EAA"/>
    <w:rsid w:val="2F0241AF"/>
    <w:rsid w:val="2F031C30"/>
    <w:rsid w:val="2F0363AD"/>
    <w:rsid w:val="2F043E2F"/>
    <w:rsid w:val="2F0476B2"/>
    <w:rsid w:val="2F055134"/>
    <w:rsid w:val="2F062BB5"/>
    <w:rsid w:val="2F070637"/>
    <w:rsid w:val="2F074DB3"/>
    <w:rsid w:val="2F077E50"/>
    <w:rsid w:val="2F0809EF"/>
    <w:rsid w:val="2F082835"/>
    <w:rsid w:val="2F0860B8"/>
    <w:rsid w:val="2F0A1DA3"/>
    <w:rsid w:val="2F0A1F67"/>
    <w:rsid w:val="2F0B37BA"/>
    <w:rsid w:val="2F0C4ABE"/>
    <w:rsid w:val="2F0D2540"/>
    <w:rsid w:val="2F0D661F"/>
    <w:rsid w:val="2F0D6CBD"/>
    <w:rsid w:val="2F0E56BC"/>
    <w:rsid w:val="2F0F21C0"/>
    <w:rsid w:val="2F0F5433"/>
    <w:rsid w:val="2F0F5A43"/>
    <w:rsid w:val="2F1039AD"/>
    <w:rsid w:val="2F107C41"/>
    <w:rsid w:val="2F11754B"/>
    <w:rsid w:val="2F1200EA"/>
    <w:rsid w:val="2F120BC6"/>
    <w:rsid w:val="2F123144"/>
    <w:rsid w:val="2F134449"/>
    <w:rsid w:val="2F141ECB"/>
    <w:rsid w:val="2F15794C"/>
    <w:rsid w:val="2F1653CE"/>
    <w:rsid w:val="2F1808D1"/>
    <w:rsid w:val="2F196353"/>
    <w:rsid w:val="2F1A1856"/>
    <w:rsid w:val="2F1A3DD4"/>
    <w:rsid w:val="2F1A5892"/>
    <w:rsid w:val="2F1C4D59"/>
    <w:rsid w:val="2F1D2C30"/>
    <w:rsid w:val="2F1D72A2"/>
    <w:rsid w:val="2F1D7458"/>
    <w:rsid w:val="2F1D79A9"/>
    <w:rsid w:val="2F1E268B"/>
    <w:rsid w:val="2F1E6340"/>
    <w:rsid w:val="2F1E64F6"/>
    <w:rsid w:val="2F1E6861"/>
    <w:rsid w:val="2F1F5CDD"/>
    <w:rsid w:val="2F226C62"/>
    <w:rsid w:val="2F2345B2"/>
    <w:rsid w:val="2F234777"/>
    <w:rsid w:val="2F242165"/>
    <w:rsid w:val="2F257BE7"/>
    <w:rsid w:val="2F265668"/>
    <w:rsid w:val="2F280B6B"/>
    <w:rsid w:val="2F287C43"/>
    <w:rsid w:val="2F287E07"/>
    <w:rsid w:val="2F2909A6"/>
    <w:rsid w:val="2F2965ED"/>
    <w:rsid w:val="2F2A1380"/>
    <w:rsid w:val="2F2A1F1F"/>
    <w:rsid w:val="2F2A406E"/>
    <w:rsid w:val="2F2B1AF0"/>
    <w:rsid w:val="2F2B28F9"/>
    <w:rsid w:val="2F2C2DF5"/>
    <w:rsid w:val="2F2D4FF3"/>
    <w:rsid w:val="2F2E1CE2"/>
    <w:rsid w:val="2F2E2A75"/>
    <w:rsid w:val="2F2F3D79"/>
    <w:rsid w:val="2F3017FB"/>
    <w:rsid w:val="2F305F78"/>
    <w:rsid w:val="2F3139F9"/>
    <w:rsid w:val="2F31727D"/>
    <w:rsid w:val="2F33497E"/>
    <w:rsid w:val="2F342400"/>
    <w:rsid w:val="2F3517DE"/>
    <w:rsid w:val="2F371186"/>
    <w:rsid w:val="2F373384"/>
    <w:rsid w:val="2F394689"/>
    <w:rsid w:val="2F3A210B"/>
    <w:rsid w:val="2F3A381B"/>
    <w:rsid w:val="2F3A4309"/>
    <w:rsid w:val="2F3A5A0E"/>
    <w:rsid w:val="2F3C308F"/>
    <w:rsid w:val="2F3C780C"/>
    <w:rsid w:val="2F3D0B11"/>
    <w:rsid w:val="2F3E04FF"/>
    <w:rsid w:val="2F3F109E"/>
    <w:rsid w:val="2F401A95"/>
    <w:rsid w:val="2F401C3D"/>
    <w:rsid w:val="2F406212"/>
    <w:rsid w:val="2F412617"/>
    <w:rsid w:val="2F421715"/>
    <w:rsid w:val="2F44049C"/>
    <w:rsid w:val="2F44456A"/>
    <w:rsid w:val="2F44472E"/>
    <w:rsid w:val="2F444C18"/>
    <w:rsid w:val="2F447837"/>
    <w:rsid w:val="2F46399F"/>
    <w:rsid w:val="2F471420"/>
    <w:rsid w:val="2F475B9D"/>
    <w:rsid w:val="2F48361F"/>
    <w:rsid w:val="2F486EA2"/>
    <w:rsid w:val="2F487DBF"/>
    <w:rsid w:val="2F4910A0"/>
    <w:rsid w:val="2F4A6B22"/>
    <w:rsid w:val="2F4B2025"/>
    <w:rsid w:val="2F4B7E26"/>
    <w:rsid w:val="2F4C28B1"/>
    <w:rsid w:val="2F4C2A75"/>
    <w:rsid w:val="2F4C58A8"/>
    <w:rsid w:val="2F4D332A"/>
    <w:rsid w:val="2F4F682D"/>
    <w:rsid w:val="2F5042AE"/>
    <w:rsid w:val="2F5064AC"/>
    <w:rsid w:val="2F511D30"/>
    <w:rsid w:val="2F513F2E"/>
    <w:rsid w:val="2F5219B0"/>
    <w:rsid w:val="2F525233"/>
    <w:rsid w:val="2F5277B1"/>
    <w:rsid w:val="2F537431"/>
    <w:rsid w:val="2F53767E"/>
    <w:rsid w:val="2F540059"/>
    <w:rsid w:val="2F540736"/>
    <w:rsid w:val="2F540DBC"/>
    <w:rsid w:val="2F544EB3"/>
    <w:rsid w:val="2F552934"/>
    <w:rsid w:val="2F5561B7"/>
    <w:rsid w:val="2F5603B6"/>
    <w:rsid w:val="2F562335"/>
    <w:rsid w:val="2F563C39"/>
    <w:rsid w:val="2F575E37"/>
    <w:rsid w:val="2F5838B9"/>
    <w:rsid w:val="2F58713C"/>
    <w:rsid w:val="2F59133A"/>
    <w:rsid w:val="2F5B00C1"/>
    <w:rsid w:val="2F5C22BF"/>
    <w:rsid w:val="2F5C5B42"/>
    <w:rsid w:val="2F5C639F"/>
    <w:rsid w:val="2F5E1045"/>
    <w:rsid w:val="2F5F3244"/>
    <w:rsid w:val="2F5F6AC7"/>
    <w:rsid w:val="2F604549"/>
    <w:rsid w:val="2F611FCA"/>
    <w:rsid w:val="2F616747"/>
    <w:rsid w:val="2F6241C8"/>
    <w:rsid w:val="2F627A4C"/>
    <w:rsid w:val="2F631C4A"/>
    <w:rsid w:val="2F633B47"/>
    <w:rsid w:val="2F633D0C"/>
    <w:rsid w:val="2F636EC1"/>
    <w:rsid w:val="2F643F15"/>
    <w:rsid w:val="2F64514D"/>
    <w:rsid w:val="2F660650"/>
    <w:rsid w:val="2F666452"/>
    <w:rsid w:val="2F673ED3"/>
    <w:rsid w:val="2F6760D2"/>
    <w:rsid w:val="2F6767FD"/>
    <w:rsid w:val="2F683B53"/>
    <w:rsid w:val="2F6915D5"/>
    <w:rsid w:val="2F6A4E58"/>
    <w:rsid w:val="2F6A7056"/>
    <w:rsid w:val="2F6B035B"/>
    <w:rsid w:val="2F6B12EF"/>
    <w:rsid w:val="2F6B28DA"/>
    <w:rsid w:val="2F6C2559"/>
    <w:rsid w:val="2F6C5DDD"/>
    <w:rsid w:val="2F6D385E"/>
    <w:rsid w:val="2F6D7FDB"/>
    <w:rsid w:val="2F6E12E0"/>
    <w:rsid w:val="2F6E5A5D"/>
    <w:rsid w:val="2F6F4B44"/>
    <w:rsid w:val="2F7047E3"/>
    <w:rsid w:val="2F7160BD"/>
    <w:rsid w:val="2F724463"/>
    <w:rsid w:val="2F731EE4"/>
    <w:rsid w:val="2F735E66"/>
    <w:rsid w:val="2F745424"/>
    <w:rsid w:val="2F745945"/>
    <w:rsid w:val="2F747966"/>
    <w:rsid w:val="2F762E69"/>
    <w:rsid w:val="2F77416E"/>
    <w:rsid w:val="2F782E8B"/>
    <w:rsid w:val="2F78636C"/>
    <w:rsid w:val="2F793DEE"/>
    <w:rsid w:val="2F7A4403"/>
    <w:rsid w:val="2F7B2B74"/>
    <w:rsid w:val="2F7E3AF9"/>
    <w:rsid w:val="2F7F34D2"/>
    <w:rsid w:val="2F8224FF"/>
    <w:rsid w:val="2F827A5E"/>
    <w:rsid w:val="2F835A02"/>
    <w:rsid w:val="2F843483"/>
    <w:rsid w:val="2F843CC3"/>
    <w:rsid w:val="2F850F05"/>
    <w:rsid w:val="2F874408"/>
    <w:rsid w:val="2F875DDB"/>
    <w:rsid w:val="2F881E8A"/>
    <w:rsid w:val="2F8867B5"/>
    <w:rsid w:val="2F89790B"/>
    <w:rsid w:val="2F8B2E0E"/>
    <w:rsid w:val="2F8C0890"/>
    <w:rsid w:val="2F8C1E45"/>
    <w:rsid w:val="2F8D6311"/>
    <w:rsid w:val="2F8E3D93"/>
    <w:rsid w:val="2F8F3C58"/>
    <w:rsid w:val="2F8F3F5D"/>
    <w:rsid w:val="2F904AFB"/>
    <w:rsid w:val="2F907296"/>
    <w:rsid w:val="2F920BF0"/>
    <w:rsid w:val="2F92601C"/>
    <w:rsid w:val="2F926239"/>
    <w:rsid w:val="2F945C9C"/>
    <w:rsid w:val="2F95371E"/>
    <w:rsid w:val="2F956FA1"/>
    <w:rsid w:val="2F964A23"/>
    <w:rsid w:val="2F9822A3"/>
    <w:rsid w:val="2F992124"/>
    <w:rsid w:val="2F992C7E"/>
    <w:rsid w:val="2F9A3429"/>
    <w:rsid w:val="2F9A43BB"/>
    <w:rsid w:val="2F9B0EAA"/>
    <w:rsid w:val="2F9B4D95"/>
    <w:rsid w:val="2F9B5627"/>
    <w:rsid w:val="2F9C0B2A"/>
    <w:rsid w:val="2F9D43AD"/>
    <w:rsid w:val="2F9D630E"/>
    <w:rsid w:val="2F9D65AC"/>
    <w:rsid w:val="2F9E402D"/>
    <w:rsid w:val="2F9F5447"/>
    <w:rsid w:val="2FA05332"/>
    <w:rsid w:val="2FA07530"/>
    <w:rsid w:val="2FA12DB4"/>
    <w:rsid w:val="2FA14FB2"/>
    <w:rsid w:val="2FA22A33"/>
    <w:rsid w:val="2FA304B5"/>
    <w:rsid w:val="2FA32702"/>
    <w:rsid w:val="2FA33D38"/>
    <w:rsid w:val="2FA362B7"/>
    <w:rsid w:val="2FA417BA"/>
    <w:rsid w:val="2FA5723B"/>
    <w:rsid w:val="2FA60605"/>
    <w:rsid w:val="2FA6143A"/>
    <w:rsid w:val="2FA64CBD"/>
    <w:rsid w:val="2FA7273E"/>
    <w:rsid w:val="2FA76EBB"/>
    <w:rsid w:val="2FA801C0"/>
    <w:rsid w:val="2FA8493D"/>
    <w:rsid w:val="2FA923BE"/>
    <w:rsid w:val="2FA9730B"/>
    <w:rsid w:val="2FAA7E40"/>
    <w:rsid w:val="2FAB1145"/>
    <w:rsid w:val="2FAB58C1"/>
    <w:rsid w:val="2FAC3343"/>
    <w:rsid w:val="2FAD4648"/>
    <w:rsid w:val="2FAD7704"/>
    <w:rsid w:val="2FAE20C9"/>
    <w:rsid w:val="2FAE2B60"/>
    <w:rsid w:val="2FAE6846"/>
    <w:rsid w:val="2FAE6957"/>
    <w:rsid w:val="2FAF353A"/>
    <w:rsid w:val="2FAF5153"/>
    <w:rsid w:val="2FAF5BAA"/>
    <w:rsid w:val="2FB01D49"/>
    <w:rsid w:val="2FB1304E"/>
    <w:rsid w:val="2FB177CB"/>
    <w:rsid w:val="2FB20AD0"/>
    <w:rsid w:val="2FB2524C"/>
    <w:rsid w:val="2FB2548D"/>
    <w:rsid w:val="2FB25651"/>
    <w:rsid w:val="2FB36551"/>
    <w:rsid w:val="2FB43FD3"/>
    <w:rsid w:val="2FB4573E"/>
    <w:rsid w:val="2FB50308"/>
    <w:rsid w:val="2FB51A54"/>
    <w:rsid w:val="2FB60CE2"/>
    <w:rsid w:val="2FB8241F"/>
    <w:rsid w:val="2FB9045A"/>
    <w:rsid w:val="2FB92659"/>
    <w:rsid w:val="2FBA00DA"/>
    <w:rsid w:val="2FBA5EDC"/>
    <w:rsid w:val="2FBB395D"/>
    <w:rsid w:val="2FBB5B5C"/>
    <w:rsid w:val="2FBD105F"/>
    <w:rsid w:val="2FBD1134"/>
    <w:rsid w:val="2FBD48E2"/>
    <w:rsid w:val="2FBE18E4"/>
    <w:rsid w:val="2FBE6AE0"/>
    <w:rsid w:val="2FBF6E64"/>
    <w:rsid w:val="2FC01FE3"/>
    <w:rsid w:val="2FC20D6A"/>
    <w:rsid w:val="2FC254E7"/>
    <w:rsid w:val="2FC367EB"/>
    <w:rsid w:val="2FC409EA"/>
    <w:rsid w:val="2FC43258"/>
    <w:rsid w:val="2FC4426D"/>
    <w:rsid w:val="2FC51CEF"/>
    <w:rsid w:val="2FC53C32"/>
    <w:rsid w:val="2FC5646B"/>
    <w:rsid w:val="2FC67A85"/>
    <w:rsid w:val="2FC72478"/>
    <w:rsid w:val="2FC751F2"/>
    <w:rsid w:val="2FC873F0"/>
    <w:rsid w:val="2FC94E71"/>
    <w:rsid w:val="2FCA28F3"/>
    <w:rsid w:val="2FCA3FE7"/>
    <w:rsid w:val="2FCA6176"/>
    <w:rsid w:val="2FCB0375"/>
    <w:rsid w:val="2FCB3BF8"/>
    <w:rsid w:val="2FCC1679"/>
    <w:rsid w:val="2FCC3878"/>
    <w:rsid w:val="2FCD159E"/>
    <w:rsid w:val="2FCE1DB4"/>
    <w:rsid w:val="2FCE4B7C"/>
    <w:rsid w:val="2FCE6D7B"/>
    <w:rsid w:val="2FD0227E"/>
    <w:rsid w:val="2FD02D60"/>
    <w:rsid w:val="2FD04090"/>
    <w:rsid w:val="2FD065E6"/>
    <w:rsid w:val="2FD23583"/>
    <w:rsid w:val="2FD25781"/>
    <w:rsid w:val="2FD31004"/>
    <w:rsid w:val="2FD40C84"/>
    <w:rsid w:val="2FD44507"/>
    <w:rsid w:val="2FD46A86"/>
    <w:rsid w:val="2FD56706"/>
    <w:rsid w:val="2FD64187"/>
    <w:rsid w:val="2FD67A0A"/>
    <w:rsid w:val="2FD71C09"/>
    <w:rsid w:val="2FD8768A"/>
    <w:rsid w:val="2FD9098F"/>
    <w:rsid w:val="2FD9660F"/>
    <w:rsid w:val="2FD96870"/>
    <w:rsid w:val="2FD96B30"/>
    <w:rsid w:val="2FDA2DB1"/>
    <w:rsid w:val="2FDA6411"/>
    <w:rsid w:val="2FDB060F"/>
    <w:rsid w:val="2FDB3E92"/>
    <w:rsid w:val="2FDB4C6B"/>
    <w:rsid w:val="2FDC1914"/>
    <w:rsid w:val="2FDC6090"/>
    <w:rsid w:val="2FDD7395"/>
    <w:rsid w:val="2FDE1594"/>
    <w:rsid w:val="2FDE58A3"/>
    <w:rsid w:val="2FDE6606"/>
    <w:rsid w:val="2FDF2898"/>
    <w:rsid w:val="2FDF7015"/>
    <w:rsid w:val="2FE0031A"/>
    <w:rsid w:val="2FE079BA"/>
    <w:rsid w:val="2FE07B7F"/>
    <w:rsid w:val="2FE1071D"/>
    <w:rsid w:val="2FE31C96"/>
    <w:rsid w:val="2FE5320F"/>
    <w:rsid w:val="2FE547A2"/>
    <w:rsid w:val="2FE62223"/>
    <w:rsid w:val="2FE77CA5"/>
    <w:rsid w:val="2FE801F5"/>
    <w:rsid w:val="2FE85327"/>
    <w:rsid w:val="2FE85726"/>
    <w:rsid w:val="2FE87E8A"/>
    <w:rsid w:val="2FE931A8"/>
    <w:rsid w:val="2FE96F27"/>
    <w:rsid w:val="2FE970DD"/>
    <w:rsid w:val="2FE97B1E"/>
    <w:rsid w:val="2FEA0C29"/>
    <w:rsid w:val="2FEB7E18"/>
    <w:rsid w:val="2FEC412C"/>
    <w:rsid w:val="2FED1391"/>
    <w:rsid w:val="2FED7630"/>
    <w:rsid w:val="2FEE50B1"/>
    <w:rsid w:val="2FEF2ACF"/>
    <w:rsid w:val="2FF005B4"/>
    <w:rsid w:val="2FF14047"/>
    <w:rsid w:val="2FF16036"/>
    <w:rsid w:val="2FF23AB7"/>
    <w:rsid w:val="2FF56B39"/>
    <w:rsid w:val="2FF722FC"/>
    <w:rsid w:val="2FF7281C"/>
    <w:rsid w:val="2FF77F3F"/>
    <w:rsid w:val="2FF80E15"/>
    <w:rsid w:val="2FF811E4"/>
    <w:rsid w:val="2FF81244"/>
    <w:rsid w:val="2FF859C1"/>
    <w:rsid w:val="2FF9238E"/>
    <w:rsid w:val="2FFA0EC4"/>
    <w:rsid w:val="2FFA4747"/>
    <w:rsid w:val="2FFB21C9"/>
    <w:rsid w:val="2FFB6945"/>
    <w:rsid w:val="2FFC43C7"/>
    <w:rsid w:val="2FFC7C4A"/>
    <w:rsid w:val="2FFD1E48"/>
    <w:rsid w:val="2FFE314D"/>
    <w:rsid w:val="2FFE78CA"/>
    <w:rsid w:val="2FFF0BCF"/>
    <w:rsid w:val="2FFF534B"/>
    <w:rsid w:val="2FFF63F9"/>
    <w:rsid w:val="30002DCD"/>
    <w:rsid w:val="30006650"/>
    <w:rsid w:val="3001084F"/>
    <w:rsid w:val="300140D2"/>
    <w:rsid w:val="300310AF"/>
    <w:rsid w:val="30033D52"/>
    <w:rsid w:val="300375D5"/>
    <w:rsid w:val="300417D3"/>
    <w:rsid w:val="30041C4E"/>
    <w:rsid w:val="30045A3B"/>
    <w:rsid w:val="30047255"/>
    <w:rsid w:val="30052AD8"/>
    <w:rsid w:val="3005551A"/>
    <w:rsid w:val="30062758"/>
    <w:rsid w:val="30063D65"/>
    <w:rsid w:val="30074904"/>
    <w:rsid w:val="30083A5D"/>
    <w:rsid w:val="30085C5B"/>
    <w:rsid w:val="300A6F60"/>
    <w:rsid w:val="300B49E1"/>
    <w:rsid w:val="300C2463"/>
    <w:rsid w:val="300D5966"/>
    <w:rsid w:val="300E7B64"/>
    <w:rsid w:val="300F0E69"/>
    <w:rsid w:val="300F55E6"/>
    <w:rsid w:val="30102A86"/>
    <w:rsid w:val="30113460"/>
    <w:rsid w:val="3012656A"/>
    <w:rsid w:val="30133FEC"/>
    <w:rsid w:val="301349D9"/>
    <w:rsid w:val="30134B9E"/>
    <w:rsid w:val="3013786F"/>
    <w:rsid w:val="30141A6E"/>
    <w:rsid w:val="301452F1"/>
    <w:rsid w:val="30146F4B"/>
    <w:rsid w:val="301472B6"/>
    <w:rsid w:val="30152D72"/>
    <w:rsid w:val="301533B0"/>
    <w:rsid w:val="3015575C"/>
    <w:rsid w:val="301574EF"/>
    <w:rsid w:val="301607F4"/>
    <w:rsid w:val="30164F71"/>
    <w:rsid w:val="3016768F"/>
    <w:rsid w:val="30167854"/>
    <w:rsid w:val="30176275"/>
    <w:rsid w:val="30180474"/>
    <w:rsid w:val="30180C08"/>
    <w:rsid w:val="30180DCD"/>
    <w:rsid w:val="30191779"/>
    <w:rsid w:val="301917A7"/>
    <w:rsid w:val="30195EF5"/>
    <w:rsid w:val="301A3977"/>
    <w:rsid w:val="301A71FA"/>
    <w:rsid w:val="301C26FD"/>
    <w:rsid w:val="301C3A83"/>
    <w:rsid w:val="301C48FC"/>
    <w:rsid w:val="301C6E7A"/>
    <w:rsid w:val="301D017F"/>
    <w:rsid w:val="301D32E3"/>
    <w:rsid w:val="301E5C00"/>
    <w:rsid w:val="301F59D6"/>
    <w:rsid w:val="30201103"/>
    <w:rsid w:val="30203302"/>
    <w:rsid w:val="30210D83"/>
    <w:rsid w:val="30212840"/>
    <w:rsid w:val="30216B85"/>
    <w:rsid w:val="302204C8"/>
    <w:rsid w:val="30221FB4"/>
    <w:rsid w:val="30224607"/>
    <w:rsid w:val="30227AED"/>
    <w:rsid w:val="30232088"/>
    <w:rsid w:val="3024558B"/>
    <w:rsid w:val="3025300D"/>
    <w:rsid w:val="30257789"/>
    <w:rsid w:val="30260A8E"/>
    <w:rsid w:val="30272C8D"/>
    <w:rsid w:val="30276510"/>
    <w:rsid w:val="302846F7"/>
    <w:rsid w:val="302A7494"/>
    <w:rsid w:val="302B1693"/>
    <w:rsid w:val="302C2998"/>
    <w:rsid w:val="302C7114"/>
    <w:rsid w:val="302D0419"/>
    <w:rsid w:val="302F391C"/>
    <w:rsid w:val="30301E9F"/>
    <w:rsid w:val="30304791"/>
    <w:rsid w:val="30304946"/>
    <w:rsid w:val="30305B1B"/>
    <w:rsid w:val="30313158"/>
    <w:rsid w:val="30313418"/>
    <w:rsid w:val="3031359C"/>
    <w:rsid w:val="3032101E"/>
    <w:rsid w:val="30323FB6"/>
    <w:rsid w:val="303248A1"/>
    <w:rsid w:val="30332322"/>
    <w:rsid w:val="30334B55"/>
    <w:rsid w:val="30344521"/>
    <w:rsid w:val="30347DA4"/>
    <w:rsid w:val="30351FA2"/>
    <w:rsid w:val="30357A24"/>
    <w:rsid w:val="303632A7"/>
    <w:rsid w:val="30372F27"/>
    <w:rsid w:val="303809A8"/>
    <w:rsid w:val="303867AA"/>
    <w:rsid w:val="30390D84"/>
    <w:rsid w:val="3039422C"/>
    <w:rsid w:val="3039642A"/>
    <w:rsid w:val="303A1CAD"/>
    <w:rsid w:val="303B24C1"/>
    <w:rsid w:val="303B772F"/>
    <w:rsid w:val="303C73AF"/>
    <w:rsid w:val="303D06B3"/>
    <w:rsid w:val="303E28B2"/>
    <w:rsid w:val="303E6135"/>
    <w:rsid w:val="303F598D"/>
    <w:rsid w:val="303F652C"/>
    <w:rsid w:val="30401638"/>
    <w:rsid w:val="30405DB5"/>
    <w:rsid w:val="30413836"/>
    <w:rsid w:val="304170BA"/>
    <w:rsid w:val="304212B8"/>
    <w:rsid w:val="304325BD"/>
    <w:rsid w:val="30436D3A"/>
    <w:rsid w:val="3044101E"/>
    <w:rsid w:val="30443C64"/>
    <w:rsid w:val="304447BB"/>
    <w:rsid w:val="3045258A"/>
    <w:rsid w:val="30455AC0"/>
    <w:rsid w:val="3046275B"/>
    <w:rsid w:val="30463541"/>
    <w:rsid w:val="304732FA"/>
    <w:rsid w:val="304944C6"/>
    <w:rsid w:val="304C544B"/>
    <w:rsid w:val="304D174B"/>
    <w:rsid w:val="304F7365"/>
    <w:rsid w:val="30523594"/>
    <w:rsid w:val="30527354"/>
    <w:rsid w:val="30530F4B"/>
    <w:rsid w:val="30534132"/>
    <w:rsid w:val="30534DD6"/>
    <w:rsid w:val="30542857"/>
    <w:rsid w:val="305556AB"/>
    <w:rsid w:val="305637DC"/>
    <w:rsid w:val="3057125D"/>
    <w:rsid w:val="30580BC9"/>
    <w:rsid w:val="3059019D"/>
    <w:rsid w:val="30590D3B"/>
    <w:rsid w:val="30594760"/>
    <w:rsid w:val="305A21E2"/>
    <w:rsid w:val="305B22B4"/>
    <w:rsid w:val="305B7C64"/>
    <w:rsid w:val="305C317B"/>
    <w:rsid w:val="305C56E5"/>
    <w:rsid w:val="305D69EA"/>
    <w:rsid w:val="305E0BE8"/>
    <w:rsid w:val="306040EB"/>
    <w:rsid w:val="306153F0"/>
    <w:rsid w:val="30622E72"/>
    <w:rsid w:val="30626EBE"/>
    <w:rsid w:val="30642AF1"/>
    <w:rsid w:val="30646375"/>
    <w:rsid w:val="30653DF6"/>
    <w:rsid w:val="30665FF5"/>
    <w:rsid w:val="30673A76"/>
    <w:rsid w:val="306772F9"/>
    <w:rsid w:val="306814F8"/>
    <w:rsid w:val="30684D7B"/>
    <w:rsid w:val="306A027E"/>
    <w:rsid w:val="306A49FB"/>
    <w:rsid w:val="306B247C"/>
    <w:rsid w:val="306B4F17"/>
    <w:rsid w:val="306B5282"/>
    <w:rsid w:val="306C3781"/>
    <w:rsid w:val="306C7EFE"/>
    <w:rsid w:val="306D1203"/>
    <w:rsid w:val="306D3401"/>
    <w:rsid w:val="306E6C84"/>
    <w:rsid w:val="306F4706"/>
    <w:rsid w:val="3072568A"/>
    <w:rsid w:val="30727889"/>
    <w:rsid w:val="3073530A"/>
    <w:rsid w:val="30742D8C"/>
    <w:rsid w:val="307440EA"/>
    <w:rsid w:val="3075660F"/>
    <w:rsid w:val="3076628F"/>
    <w:rsid w:val="30766E97"/>
    <w:rsid w:val="30776BDB"/>
    <w:rsid w:val="30777594"/>
    <w:rsid w:val="30780656"/>
    <w:rsid w:val="30781792"/>
    <w:rsid w:val="307856A7"/>
    <w:rsid w:val="30797214"/>
    <w:rsid w:val="307A3BB2"/>
    <w:rsid w:val="307A4C95"/>
    <w:rsid w:val="307A6E68"/>
    <w:rsid w:val="307A7389"/>
    <w:rsid w:val="307B1892"/>
    <w:rsid w:val="307B2717"/>
    <w:rsid w:val="307C2430"/>
    <w:rsid w:val="307C3A1B"/>
    <w:rsid w:val="307D149D"/>
    <w:rsid w:val="307D5C1A"/>
    <w:rsid w:val="307E369B"/>
    <w:rsid w:val="307E39A9"/>
    <w:rsid w:val="307E6F1F"/>
    <w:rsid w:val="30802422"/>
    <w:rsid w:val="30806B9E"/>
    <w:rsid w:val="30814620"/>
    <w:rsid w:val="308220A2"/>
    <w:rsid w:val="30825925"/>
    <w:rsid w:val="308333A6"/>
    <w:rsid w:val="30837A14"/>
    <w:rsid w:val="30840E28"/>
    <w:rsid w:val="308455A5"/>
    <w:rsid w:val="30850AA8"/>
    <w:rsid w:val="30871DAD"/>
    <w:rsid w:val="3087288E"/>
    <w:rsid w:val="308800EC"/>
    <w:rsid w:val="30881A2C"/>
    <w:rsid w:val="3088782E"/>
    <w:rsid w:val="30891124"/>
    <w:rsid w:val="308952B0"/>
    <w:rsid w:val="308974AE"/>
    <w:rsid w:val="308A4F2F"/>
    <w:rsid w:val="308B29B1"/>
    <w:rsid w:val="308C5F1F"/>
    <w:rsid w:val="308D1737"/>
    <w:rsid w:val="308D3CB6"/>
    <w:rsid w:val="308D5EB4"/>
    <w:rsid w:val="308E3936"/>
    <w:rsid w:val="308E71B9"/>
    <w:rsid w:val="308E72D3"/>
    <w:rsid w:val="308E7498"/>
    <w:rsid w:val="308F4C3A"/>
    <w:rsid w:val="309015AF"/>
    <w:rsid w:val="30906E39"/>
    <w:rsid w:val="3091013E"/>
    <w:rsid w:val="309148BA"/>
    <w:rsid w:val="3092233C"/>
    <w:rsid w:val="30922964"/>
    <w:rsid w:val="30925BBF"/>
    <w:rsid w:val="30933641"/>
    <w:rsid w:val="30937DBD"/>
    <w:rsid w:val="3094583F"/>
    <w:rsid w:val="30954A7B"/>
    <w:rsid w:val="30954C40"/>
    <w:rsid w:val="30956B44"/>
    <w:rsid w:val="30960D42"/>
    <w:rsid w:val="309645C5"/>
    <w:rsid w:val="309646AE"/>
    <w:rsid w:val="30964BCF"/>
    <w:rsid w:val="3096561A"/>
    <w:rsid w:val="30972047"/>
    <w:rsid w:val="30973E22"/>
    <w:rsid w:val="309767C4"/>
    <w:rsid w:val="30982634"/>
    <w:rsid w:val="30984245"/>
    <w:rsid w:val="30986B93"/>
    <w:rsid w:val="30987AC8"/>
    <w:rsid w:val="30997731"/>
    <w:rsid w:val="309A7748"/>
    <w:rsid w:val="309B0A4D"/>
    <w:rsid w:val="309B5550"/>
    <w:rsid w:val="309C1A0D"/>
    <w:rsid w:val="309D06CD"/>
    <w:rsid w:val="309D2F86"/>
    <w:rsid w:val="309D614E"/>
    <w:rsid w:val="309E3BD0"/>
    <w:rsid w:val="309F44FF"/>
    <w:rsid w:val="309F7453"/>
    <w:rsid w:val="30A02989"/>
    <w:rsid w:val="30A070D3"/>
    <w:rsid w:val="30A12956"/>
    <w:rsid w:val="30A225D6"/>
    <w:rsid w:val="30A26452"/>
    <w:rsid w:val="30A30058"/>
    <w:rsid w:val="30A36FF1"/>
    <w:rsid w:val="30A371B5"/>
    <w:rsid w:val="30A438DB"/>
    <w:rsid w:val="30A471F6"/>
    <w:rsid w:val="30A5056A"/>
    <w:rsid w:val="30A5135D"/>
    <w:rsid w:val="30A567B5"/>
    <w:rsid w:val="30A65D73"/>
    <w:rsid w:val="30A76A5E"/>
    <w:rsid w:val="30A82681"/>
    <w:rsid w:val="30A844DF"/>
    <w:rsid w:val="30A87D63"/>
    <w:rsid w:val="30A957E4"/>
    <w:rsid w:val="30AA3266"/>
    <w:rsid w:val="30AA79E3"/>
    <w:rsid w:val="30AB5338"/>
    <w:rsid w:val="30AB577E"/>
    <w:rsid w:val="30AD68B0"/>
    <w:rsid w:val="30AE1C6C"/>
    <w:rsid w:val="30AF76EE"/>
    <w:rsid w:val="30B00B8C"/>
    <w:rsid w:val="30B0516F"/>
    <w:rsid w:val="30B20672"/>
    <w:rsid w:val="30B21F41"/>
    <w:rsid w:val="30B401E5"/>
    <w:rsid w:val="30B4367E"/>
    <w:rsid w:val="30B43B75"/>
    <w:rsid w:val="30B515F7"/>
    <w:rsid w:val="30B54058"/>
    <w:rsid w:val="30B57959"/>
    <w:rsid w:val="30BA044C"/>
    <w:rsid w:val="30BA5A7F"/>
    <w:rsid w:val="30BB3500"/>
    <w:rsid w:val="30BC0F82"/>
    <w:rsid w:val="30BC19C5"/>
    <w:rsid w:val="30BD6A03"/>
    <w:rsid w:val="30BE1F06"/>
    <w:rsid w:val="30BE2F3E"/>
    <w:rsid w:val="30BF7988"/>
    <w:rsid w:val="30C044B7"/>
    <w:rsid w:val="30C14E91"/>
    <w:rsid w:val="30C15055"/>
    <w:rsid w:val="30C2090D"/>
    <w:rsid w:val="30C23ADA"/>
    <w:rsid w:val="30C41C15"/>
    <w:rsid w:val="30C51891"/>
    <w:rsid w:val="30C57D0B"/>
    <w:rsid w:val="30C60521"/>
    <w:rsid w:val="30C606E6"/>
    <w:rsid w:val="30C62B96"/>
    <w:rsid w:val="30C67313"/>
    <w:rsid w:val="30C70618"/>
    <w:rsid w:val="30C90297"/>
    <w:rsid w:val="30C93B1B"/>
    <w:rsid w:val="30CC121C"/>
    <w:rsid w:val="30CC52EF"/>
    <w:rsid w:val="30CD6C9E"/>
    <w:rsid w:val="30CE471F"/>
    <w:rsid w:val="30CE7FA2"/>
    <w:rsid w:val="30CF21A1"/>
    <w:rsid w:val="30D034A6"/>
    <w:rsid w:val="30D0646D"/>
    <w:rsid w:val="30D1097F"/>
    <w:rsid w:val="30D23125"/>
    <w:rsid w:val="30D2549E"/>
    <w:rsid w:val="30D269A9"/>
    <w:rsid w:val="30D30BA7"/>
    <w:rsid w:val="30D31EF8"/>
    <w:rsid w:val="30D3442A"/>
    <w:rsid w:val="30D46628"/>
    <w:rsid w:val="30D540AA"/>
    <w:rsid w:val="30D5792D"/>
    <w:rsid w:val="30D64BAF"/>
    <w:rsid w:val="30D64D73"/>
    <w:rsid w:val="30D675AD"/>
    <w:rsid w:val="30D7502F"/>
    <w:rsid w:val="30D7574D"/>
    <w:rsid w:val="30D808B2"/>
    <w:rsid w:val="30D82AB0"/>
    <w:rsid w:val="30D96334"/>
    <w:rsid w:val="30DA5FB3"/>
    <w:rsid w:val="30DB1837"/>
    <w:rsid w:val="30DB3A35"/>
    <w:rsid w:val="30DC72B8"/>
    <w:rsid w:val="30DD17B8"/>
    <w:rsid w:val="30DD197C"/>
    <w:rsid w:val="30DD4D3A"/>
    <w:rsid w:val="30DD6F38"/>
    <w:rsid w:val="30DE27BB"/>
    <w:rsid w:val="30DE6686"/>
    <w:rsid w:val="30DF243B"/>
    <w:rsid w:val="30DF5CBE"/>
    <w:rsid w:val="30DF7E9D"/>
    <w:rsid w:val="30E03740"/>
    <w:rsid w:val="30E038CF"/>
    <w:rsid w:val="30E058DE"/>
    <w:rsid w:val="30E06BCF"/>
    <w:rsid w:val="30E16343"/>
    <w:rsid w:val="30E346C5"/>
    <w:rsid w:val="30E359E7"/>
    <w:rsid w:val="30E42146"/>
    <w:rsid w:val="30E468C3"/>
    <w:rsid w:val="30E47124"/>
    <w:rsid w:val="30E54344"/>
    <w:rsid w:val="30E57BC8"/>
    <w:rsid w:val="30E57CC3"/>
    <w:rsid w:val="30E65649"/>
    <w:rsid w:val="30E71077"/>
    <w:rsid w:val="30E730CB"/>
    <w:rsid w:val="30E852C9"/>
    <w:rsid w:val="30E965CE"/>
    <w:rsid w:val="30EA404F"/>
    <w:rsid w:val="30EB1AD1"/>
    <w:rsid w:val="30EB3D2E"/>
    <w:rsid w:val="30EB3EF2"/>
    <w:rsid w:val="30EB624E"/>
    <w:rsid w:val="30EC4708"/>
    <w:rsid w:val="30EC7553"/>
    <w:rsid w:val="30ED2F06"/>
    <w:rsid w:val="30EE2A56"/>
    <w:rsid w:val="30EE4C54"/>
    <w:rsid w:val="30EE71D2"/>
    <w:rsid w:val="30EF0E8C"/>
    <w:rsid w:val="30EF26D5"/>
    <w:rsid w:val="30EF681F"/>
    <w:rsid w:val="30EF69E4"/>
    <w:rsid w:val="30F00157"/>
    <w:rsid w:val="30F05F59"/>
    <w:rsid w:val="30F139DA"/>
    <w:rsid w:val="30F2145C"/>
    <w:rsid w:val="30F2365A"/>
    <w:rsid w:val="30F42A4E"/>
    <w:rsid w:val="30F46B5D"/>
    <w:rsid w:val="30F5164D"/>
    <w:rsid w:val="30F523E0"/>
    <w:rsid w:val="30F535ED"/>
    <w:rsid w:val="30F545DF"/>
    <w:rsid w:val="30F63FC7"/>
    <w:rsid w:val="30F67E62"/>
    <w:rsid w:val="30F73365"/>
    <w:rsid w:val="30F77AE2"/>
    <w:rsid w:val="30F92FE5"/>
    <w:rsid w:val="30F962A3"/>
    <w:rsid w:val="30F96868"/>
    <w:rsid w:val="30FA0A66"/>
    <w:rsid w:val="30FB1D6B"/>
    <w:rsid w:val="30FB552D"/>
    <w:rsid w:val="30FC4781"/>
    <w:rsid w:val="30FC4AEC"/>
    <w:rsid w:val="30FC51C2"/>
    <w:rsid w:val="30FD19EB"/>
    <w:rsid w:val="30FD3EF5"/>
    <w:rsid w:val="30FE230E"/>
    <w:rsid w:val="30FE2A72"/>
    <w:rsid w:val="30FE2CF0"/>
    <w:rsid w:val="30FF0771"/>
    <w:rsid w:val="30FF4EEE"/>
    <w:rsid w:val="31003887"/>
    <w:rsid w:val="310061F3"/>
    <w:rsid w:val="310103F1"/>
    <w:rsid w:val="31013C75"/>
    <w:rsid w:val="310338F4"/>
    <w:rsid w:val="3103706A"/>
    <w:rsid w:val="31037178"/>
    <w:rsid w:val="31041376"/>
    <w:rsid w:val="31044BF9"/>
    <w:rsid w:val="31056DF8"/>
    <w:rsid w:val="310600FC"/>
    <w:rsid w:val="310622FB"/>
    <w:rsid w:val="31077D7C"/>
    <w:rsid w:val="310811F3"/>
    <w:rsid w:val="310857FE"/>
    <w:rsid w:val="3109327F"/>
    <w:rsid w:val="310A276C"/>
    <w:rsid w:val="310B3EA9"/>
    <w:rsid w:val="310B4584"/>
    <w:rsid w:val="310C2006"/>
    <w:rsid w:val="310D1C85"/>
    <w:rsid w:val="310D5422"/>
    <w:rsid w:val="310D7A87"/>
    <w:rsid w:val="310E2F8A"/>
    <w:rsid w:val="310E5509"/>
    <w:rsid w:val="310E5DFD"/>
    <w:rsid w:val="310E7707"/>
    <w:rsid w:val="310F5189"/>
    <w:rsid w:val="31102C0A"/>
    <w:rsid w:val="31137412"/>
    <w:rsid w:val="31152915"/>
    <w:rsid w:val="31152A06"/>
    <w:rsid w:val="31160397"/>
    <w:rsid w:val="311635A4"/>
    <w:rsid w:val="31175E18"/>
    <w:rsid w:val="3118389A"/>
    <w:rsid w:val="31191C5C"/>
    <w:rsid w:val="31192501"/>
    <w:rsid w:val="311A0623"/>
    <w:rsid w:val="311A07D9"/>
    <w:rsid w:val="311A6D9D"/>
    <w:rsid w:val="311B7355"/>
    <w:rsid w:val="311C22A0"/>
    <w:rsid w:val="311D7D22"/>
    <w:rsid w:val="311E2ED7"/>
    <w:rsid w:val="311F22C5"/>
    <w:rsid w:val="311F3225"/>
    <w:rsid w:val="31202E64"/>
    <w:rsid w:val="31216728"/>
    <w:rsid w:val="31231C2B"/>
    <w:rsid w:val="3125512E"/>
    <w:rsid w:val="312566B9"/>
    <w:rsid w:val="312760B3"/>
    <w:rsid w:val="31283B34"/>
    <w:rsid w:val="31283BAD"/>
    <w:rsid w:val="312915B6"/>
    <w:rsid w:val="31291B85"/>
    <w:rsid w:val="31291E9E"/>
    <w:rsid w:val="312A4E39"/>
    <w:rsid w:val="312B28BA"/>
    <w:rsid w:val="312B4AB9"/>
    <w:rsid w:val="312C3C9C"/>
    <w:rsid w:val="312D5DBE"/>
    <w:rsid w:val="312F6D42"/>
    <w:rsid w:val="31306953"/>
    <w:rsid w:val="31312245"/>
    <w:rsid w:val="313169C2"/>
    <w:rsid w:val="31327CC7"/>
    <w:rsid w:val="31327ECB"/>
    <w:rsid w:val="31330A6A"/>
    <w:rsid w:val="31335748"/>
    <w:rsid w:val="313421A7"/>
    <w:rsid w:val="313431CA"/>
    <w:rsid w:val="31347947"/>
    <w:rsid w:val="31350C4C"/>
    <w:rsid w:val="31352B82"/>
    <w:rsid w:val="313553C8"/>
    <w:rsid w:val="31362E4A"/>
    <w:rsid w:val="3136355C"/>
    <w:rsid w:val="3136601F"/>
    <w:rsid w:val="313708CB"/>
    <w:rsid w:val="3137414F"/>
    <w:rsid w:val="31375428"/>
    <w:rsid w:val="31383DEF"/>
    <w:rsid w:val="31384C99"/>
    <w:rsid w:val="3138634D"/>
    <w:rsid w:val="31393DCE"/>
    <w:rsid w:val="31395673"/>
    <w:rsid w:val="31397652"/>
    <w:rsid w:val="313A1850"/>
    <w:rsid w:val="313B6BEC"/>
    <w:rsid w:val="313C05D6"/>
    <w:rsid w:val="313E0D04"/>
    <w:rsid w:val="314011DB"/>
    <w:rsid w:val="31406FDD"/>
    <w:rsid w:val="31414A5E"/>
    <w:rsid w:val="314224E0"/>
    <w:rsid w:val="314239BA"/>
    <w:rsid w:val="314246DE"/>
    <w:rsid w:val="31437F61"/>
    <w:rsid w:val="31460CCA"/>
    <w:rsid w:val="31460EE6"/>
    <w:rsid w:val="314630E4"/>
    <w:rsid w:val="31466937"/>
    <w:rsid w:val="3146704B"/>
    <w:rsid w:val="31467379"/>
    <w:rsid w:val="314676E4"/>
    <w:rsid w:val="31480788"/>
    <w:rsid w:val="31481E6B"/>
    <w:rsid w:val="31491162"/>
    <w:rsid w:val="314A1AEA"/>
    <w:rsid w:val="314A536E"/>
    <w:rsid w:val="314B756C"/>
    <w:rsid w:val="314C0871"/>
    <w:rsid w:val="314C4FED"/>
    <w:rsid w:val="314D2A6F"/>
    <w:rsid w:val="314D3E18"/>
    <w:rsid w:val="314E3D74"/>
    <w:rsid w:val="3150690A"/>
    <w:rsid w:val="31514CF8"/>
    <w:rsid w:val="315174A9"/>
    <w:rsid w:val="3152277A"/>
    <w:rsid w:val="31530A22"/>
    <w:rsid w:val="31532AB8"/>
    <w:rsid w:val="31534978"/>
    <w:rsid w:val="315415C0"/>
    <w:rsid w:val="315536FF"/>
    <w:rsid w:val="315619EE"/>
    <w:rsid w:val="31562B39"/>
    <w:rsid w:val="315658FD"/>
    <w:rsid w:val="31570E00"/>
    <w:rsid w:val="3157337F"/>
    <w:rsid w:val="315840B2"/>
    <w:rsid w:val="31584683"/>
    <w:rsid w:val="315869BA"/>
    <w:rsid w:val="315A562B"/>
    <w:rsid w:val="315A57EF"/>
    <w:rsid w:val="315B7806"/>
    <w:rsid w:val="315C308A"/>
    <w:rsid w:val="315C449C"/>
    <w:rsid w:val="315C5288"/>
    <w:rsid w:val="315D0B0B"/>
    <w:rsid w:val="315E078B"/>
    <w:rsid w:val="315E0E80"/>
    <w:rsid w:val="315E658D"/>
    <w:rsid w:val="315F1A90"/>
    <w:rsid w:val="316025BD"/>
    <w:rsid w:val="31607511"/>
    <w:rsid w:val="31612F97"/>
    <w:rsid w:val="31622A14"/>
    <w:rsid w:val="31623972"/>
    <w:rsid w:val="31627191"/>
    <w:rsid w:val="31634C13"/>
    <w:rsid w:val="31642694"/>
    <w:rsid w:val="31653999"/>
    <w:rsid w:val="31665B97"/>
    <w:rsid w:val="31666628"/>
    <w:rsid w:val="31687D65"/>
    <w:rsid w:val="31696B1C"/>
    <w:rsid w:val="316C3324"/>
    <w:rsid w:val="316C7AA1"/>
    <w:rsid w:val="316D0DA5"/>
    <w:rsid w:val="316D3DD0"/>
    <w:rsid w:val="316D5522"/>
    <w:rsid w:val="316E496E"/>
    <w:rsid w:val="316F0A25"/>
    <w:rsid w:val="316F5349"/>
    <w:rsid w:val="31701D2A"/>
    <w:rsid w:val="31703F28"/>
    <w:rsid w:val="31705EE7"/>
    <w:rsid w:val="31707C28"/>
    <w:rsid w:val="317119AA"/>
    <w:rsid w:val="31716A86"/>
    <w:rsid w:val="317177AC"/>
    <w:rsid w:val="3172522D"/>
    <w:rsid w:val="3172742B"/>
    <w:rsid w:val="31727460"/>
    <w:rsid w:val="31732CAF"/>
    <w:rsid w:val="31740730"/>
    <w:rsid w:val="317409D9"/>
    <w:rsid w:val="3174292F"/>
    <w:rsid w:val="31751578"/>
    <w:rsid w:val="31765E32"/>
    <w:rsid w:val="31772CB5"/>
    <w:rsid w:val="31794069"/>
    <w:rsid w:val="317A063D"/>
    <w:rsid w:val="317B5B3D"/>
    <w:rsid w:val="317B6345"/>
    <w:rsid w:val="317C6EE4"/>
    <w:rsid w:val="317E6AC1"/>
    <w:rsid w:val="317F0FFC"/>
    <w:rsid w:val="317F180E"/>
    <w:rsid w:val="317F4543"/>
    <w:rsid w:val="31800A61"/>
    <w:rsid w:val="31817A46"/>
    <w:rsid w:val="31822F4F"/>
    <w:rsid w:val="318254C8"/>
    <w:rsid w:val="31832F49"/>
    <w:rsid w:val="318409CB"/>
    <w:rsid w:val="3184468C"/>
    <w:rsid w:val="3185644C"/>
    <w:rsid w:val="31865C05"/>
    <w:rsid w:val="3187194F"/>
    <w:rsid w:val="31887D1C"/>
    <w:rsid w:val="31894E52"/>
    <w:rsid w:val="318A10D1"/>
    <w:rsid w:val="318A28D4"/>
    <w:rsid w:val="318B0355"/>
    <w:rsid w:val="318D33AD"/>
    <w:rsid w:val="318E12DA"/>
    <w:rsid w:val="318E3ACA"/>
    <w:rsid w:val="31900060"/>
    <w:rsid w:val="3190225F"/>
    <w:rsid w:val="31923564"/>
    <w:rsid w:val="31925762"/>
    <w:rsid w:val="319331E3"/>
    <w:rsid w:val="319375DC"/>
    <w:rsid w:val="31940C65"/>
    <w:rsid w:val="31950990"/>
    <w:rsid w:val="3195152F"/>
    <w:rsid w:val="319516F4"/>
    <w:rsid w:val="319544E8"/>
    <w:rsid w:val="319566E7"/>
    <w:rsid w:val="31961F6A"/>
    <w:rsid w:val="3196684B"/>
    <w:rsid w:val="31972AA8"/>
    <w:rsid w:val="31972C6C"/>
    <w:rsid w:val="3197546D"/>
    <w:rsid w:val="31982EEE"/>
    <w:rsid w:val="31983647"/>
    <w:rsid w:val="3198380B"/>
    <w:rsid w:val="31990970"/>
    <w:rsid w:val="319A4BC0"/>
    <w:rsid w:val="319B05F0"/>
    <w:rsid w:val="319C18F5"/>
    <w:rsid w:val="319D7376"/>
    <w:rsid w:val="319E4598"/>
    <w:rsid w:val="319F2879"/>
    <w:rsid w:val="319F6FF6"/>
    <w:rsid w:val="31A002FB"/>
    <w:rsid w:val="31A04A78"/>
    <w:rsid w:val="31A06F23"/>
    <w:rsid w:val="31A1198D"/>
    <w:rsid w:val="31A124F9"/>
    <w:rsid w:val="31A15D7C"/>
    <w:rsid w:val="31A22367"/>
    <w:rsid w:val="31A2252C"/>
    <w:rsid w:val="31A237FE"/>
    <w:rsid w:val="31A27F7B"/>
    <w:rsid w:val="31A32F06"/>
    <w:rsid w:val="31A41E31"/>
    <w:rsid w:val="31A4347E"/>
    <w:rsid w:val="31A46D01"/>
    <w:rsid w:val="31A50EFF"/>
    <w:rsid w:val="31A551E2"/>
    <w:rsid w:val="31A62204"/>
    <w:rsid w:val="31A74402"/>
    <w:rsid w:val="31A77C86"/>
    <w:rsid w:val="31A81E84"/>
    <w:rsid w:val="31A93189"/>
    <w:rsid w:val="31AA2E09"/>
    <w:rsid w:val="31AC1DEB"/>
    <w:rsid w:val="31AC410D"/>
    <w:rsid w:val="31AC796C"/>
    <w:rsid w:val="31AD1B8F"/>
    <w:rsid w:val="31AD669F"/>
    <w:rsid w:val="31AE7611"/>
    <w:rsid w:val="31B00595"/>
    <w:rsid w:val="31B0547C"/>
    <w:rsid w:val="31B12793"/>
    <w:rsid w:val="31B15E56"/>
    <w:rsid w:val="31B16017"/>
    <w:rsid w:val="31B20D48"/>
    <w:rsid w:val="31B23A98"/>
    <w:rsid w:val="31B269F5"/>
    <w:rsid w:val="31B3766D"/>
    <w:rsid w:val="31B46F9B"/>
    <w:rsid w:val="31B47F6E"/>
    <w:rsid w:val="31B54A1D"/>
    <w:rsid w:val="31B6249E"/>
    <w:rsid w:val="31B66C1B"/>
    <w:rsid w:val="31B72085"/>
    <w:rsid w:val="31B77F20"/>
    <w:rsid w:val="31B82709"/>
    <w:rsid w:val="31B859A2"/>
    <w:rsid w:val="31B935FE"/>
    <w:rsid w:val="31B97BA0"/>
    <w:rsid w:val="31BA18BD"/>
    <w:rsid w:val="31BA5621"/>
    <w:rsid w:val="31BB30A3"/>
    <w:rsid w:val="31BC5716"/>
    <w:rsid w:val="31BD23A5"/>
    <w:rsid w:val="31BE4028"/>
    <w:rsid w:val="31BF1021"/>
    <w:rsid w:val="31BF1AA9"/>
    <w:rsid w:val="31C04FAC"/>
    <w:rsid w:val="31C0752B"/>
    <w:rsid w:val="31C11945"/>
    <w:rsid w:val="31C12A2E"/>
    <w:rsid w:val="31C262B1"/>
    <w:rsid w:val="31C33D33"/>
    <w:rsid w:val="31C417B4"/>
    <w:rsid w:val="31C43A5C"/>
    <w:rsid w:val="31C51434"/>
    <w:rsid w:val="31C545FB"/>
    <w:rsid w:val="31C57236"/>
    <w:rsid w:val="31C64CB7"/>
    <w:rsid w:val="31C64FD5"/>
    <w:rsid w:val="31C6519A"/>
    <w:rsid w:val="31C66EB6"/>
    <w:rsid w:val="31C72739"/>
    <w:rsid w:val="31C801BA"/>
    <w:rsid w:val="31C823B9"/>
    <w:rsid w:val="31C85C3C"/>
    <w:rsid w:val="31C9409A"/>
    <w:rsid w:val="31C97E3A"/>
    <w:rsid w:val="31CA58BC"/>
    <w:rsid w:val="31CB0666"/>
    <w:rsid w:val="31CB333D"/>
    <w:rsid w:val="31CC0DBF"/>
    <w:rsid w:val="31CC1DA3"/>
    <w:rsid w:val="31CC4642"/>
    <w:rsid w:val="31CD20C4"/>
    <w:rsid w:val="31CD277D"/>
    <w:rsid w:val="31CE7B45"/>
    <w:rsid w:val="31D03048"/>
    <w:rsid w:val="31D05482"/>
    <w:rsid w:val="31D10ACA"/>
    <w:rsid w:val="31D15247"/>
    <w:rsid w:val="31D22CC8"/>
    <w:rsid w:val="31D2654B"/>
    <w:rsid w:val="31D3074A"/>
    <w:rsid w:val="31D33FCD"/>
    <w:rsid w:val="31D350D8"/>
    <w:rsid w:val="31D4754B"/>
    <w:rsid w:val="31D53C4D"/>
    <w:rsid w:val="31D574D0"/>
    <w:rsid w:val="31D64F52"/>
    <w:rsid w:val="31D729D3"/>
    <w:rsid w:val="31D77150"/>
    <w:rsid w:val="31D82653"/>
    <w:rsid w:val="31D84BD1"/>
    <w:rsid w:val="31D95ED6"/>
    <w:rsid w:val="31DA3958"/>
    <w:rsid w:val="31DA4319"/>
    <w:rsid w:val="31DA5B56"/>
    <w:rsid w:val="31DC1059"/>
    <w:rsid w:val="31DC56CD"/>
    <w:rsid w:val="31DC5891"/>
    <w:rsid w:val="31DD48DC"/>
    <w:rsid w:val="31DE235E"/>
    <w:rsid w:val="31DF79A9"/>
    <w:rsid w:val="31DF7DE0"/>
    <w:rsid w:val="31E00548"/>
    <w:rsid w:val="31E032E3"/>
    <w:rsid w:val="31E267E6"/>
    <w:rsid w:val="31E41239"/>
    <w:rsid w:val="31E42E75"/>
    <w:rsid w:val="31E5776A"/>
    <w:rsid w:val="31E645B2"/>
    <w:rsid w:val="31E651EC"/>
    <w:rsid w:val="31E72C6D"/>
    <w:rsid w:val="31E74F8D"/>
    <w:rsid w:val="31EB1674"/>
    <w:rsid w:val="31EC11BC"/>
    <w:rsid w:val="31EE28F9"/>
    <w:rsid w:val="31EF007A"/>
    <w:rsid w:val="31EF3881"/>
    <w:rsid w:val="31F05AFB"/>
    <w:rsid w:val="31F1357D"/>
    <w:rsid w:val="31F1484C"/>
    <w:rsid w:val="31F14A11"/>
    <w:rsid w:val="31F20FFF"/>
    <w:rsid w:val="31F340BE"/>
    <w:rsid w:val="31F3494A"/>
    <w:rsid w:val="31F36A80"/>
    <w:rsid w:val="31F43311"/>
    <w:rsid w:val="31F44502"/>
    <w:rsid w:val="31F4557C"/>
    <w:rsid w:val="31F51F83"/>
    <w:rsid w:val="31F63288"/>
    <w:rsid w:val="31F67A05"/>
    <w:rsid w:val="31F80989"/>
    <w:rsid w:val="31F82F08"/>
    <w:rsid w:val="31F8678B"/>
    <w:rsid w:val="31F9640B"/>
    <w:rsid w:val="31FA1C8E"/>
    <w:rsid w:val="31FB7710"/>
    <w:rsid w:val="31FC7390"/>
    <w:rsid w:val="31FE3C23"/>
    <w:rsid w:val="31FF0314"/>
    <w:rsid w:val="32003B98"/>
    <w:rsid w:val="32005D96"/>
    <w:rsid w:val="3201033B"/>
    <w:rsid w:val="32013817"/>
    <w:rsid w:val="32016F71"/>
    <w:rsid w:val="32021299"/>
    <w:rsid w:val="32021A78"/>
    <w:rsid w:val="320318B4"/>
    <w:rsid w:val="32035AEE"/>
    <w:rsid w:val="3204001F"/>
    <w:rsid w:val="32055AA1"/>
    <w:rsid w:val="32063522"/>
    <w:rsid w:val="3206472E"/>
    <w:rsid w:val="32067C9F"/>
    <w:rsid w:val="320831A2"/>
    <w:rsid w:val="32090C24"/>
    <w:rsid w:val="320944A7"/>
    <w:rsid w:val="320A66A5"/>
    <w:rsid w:val="320B4127"/>
    <w:rsid w:val="320C542C"/>
    <w:rsid w:val="320D2EAD"/>
    <w:rsid w:val="320E1ED6"/>
    <w:rsid w:val="320E50AB"/>
    <w:rsid w:val="320E6283"/>
    <w:rsid w:val="320F2B2D"/>
    <w:rsid w:val="32106030"/>
    <w:rsid w:val="32113E29"/>
    <w:rsid w:val="321149C8"/>
    <w:rsid w:val="321150C9"/>
    <w:rsid w:val="32120641"/>
    <w:rsid w:val="32127335"/>
    <w:rsid w:val="32144A36"/>
    <w:rsid w:val="32146ADF"/>
    <w:rsid w:val="3215767E"/>
    <w:rsid w:val="32166D38"/>
    <w:rsid w:val="32167F39"/>
    <w:rsid w:val="321759BB"/>
    <w:rsid w:val="321815D1"/>
    <w:rsid w:val="3218343D"/>
    <w:rsid w:val="32186CC0"/>
    <w:rsid w:val="32194741"/>
    <w:rsid w:val="321A21C3"/>
    <w:rsid w:val="321A2B4A"/>
    <w:rsid w:val="321A6940"/>
    <w:rsid w:val="321B38AD"/>
    <w:rsid w:val="321C4287"/>
    <w:rsid w:val="321C56C6"/>
    <w:rsid w:val="321D3148"/>
    <w:rsid w:val="321D78C4"/>
    <w:rsid w:val="321E0BC9"/>
    <w:rsid w:val="321E639F"/>
    <w:rsid w:val="321F2DC7"/>
    <w:rsid w:val="321F3334"/>
    <w:rsid w:val="321F664B"/>
    <w:rsid w:val="321F6F3E"/>
    <w:rsid w:val="32201990"/>
    <w:rsid w:val="32211B4E"/>
    <w:rsid w:val="322162CA"/>
    <w:rsid w:val="32223D4C"/>
    <w:rsid w:val="322275CF"/>
    <w:rsid w:val="32231A2F"/>
    <w:rsid w:val="32235051"/>
    <w:rsid w:val="32242AD2"/>
    <w:rsid w:val="3224724F"/>
    <w:rsid w:val="32250554"/>
    <w:rsid w:val="32262752"/>
    <w:rsid w:val="32273A57"/>
    <w:rsid w:val="32274521"/>
    <w:rsid w:val="32291158"/>
    <w:rsid w:val="322936D7"/>
    <w:rsid w:val="32295C5F"/>
    <w:rsid w:val="322A49DC"/>
    <w:rsid w:val="322A6639"/>
    <w:rsid w:val="322A67FD"/>
    <w:rsid w:val="322A6BDA"/>
    <w:rsid w:val="322B7D76"/>
    <w:rsid w:val="322C0750"/>
    <w:rsid w:val="322C20DD"/>
    <w:rsid w:val="322C7BB2"/>
    <w:rsid w:val="322D7B5F"/>
    <w:rsid w:val="322E55E0"/>
    <w:rsid w:val="322F0E63"/>
    <w:rsid w:val="32300AE3"/>
    <w:rsid w:val="32311DE8"/>
    <w:rsid w:val="32314367"/>
    <w:rsid w:val="32316565"/>
    <w:rsid w:val="32331A68"/>
    <w:rsid w:val="32342D6D"/>
    <w:rsid w:val="323474E9"/>
    <w:rsid w:val="323507EE"/>
    <w:rsid w:val="32356A97"/>
    <w:rsid w:val="323629ED"/>
    <w:rsid w:val="32367471"/>
    <w:rsid w:val="3237046E"/>
    <w:rsid w:val="32380BAE"/>
    <w:rsid w:val="32381773"/>
    <w:rsid w:val="32385EF0"/>
    <w:rsid w:val="323922EC"/>
    <w:rsid w:val="323971F4"/>
    <w:rsid w:val="323A4C76"/>
    <w:rsid w:val="323B0659"/>
    <w:rsid w:val="323B2B02"/>
    <w:rsid w:val="323C0179"/>
    <w:rsid w:val="323C48F6"/>
    <w:rsid w:val="323C7542"/>
    <w:rsid w:val="323C76F7"/>
    <w:rsid w:val="323D2377"/>
    <w:rsid w:val="323D4C19"/>
    <w:rsid w:val="323D5BFB"/>
    <w:rsid w:val="323E367C"/>
    <w:rsid w:val="323E7DF9"/>
    <w:rsid w:val="323F10FE"/>
    <w:rsid w:val="32400B34"/>
    <w:rsid w:val="324032FC"/>
    <w:rsid w:val="32406EF5"/>
    <w:rsid w:val="32410D7E"/>
    <w:rsid w:val="32414601"/>
    <w:rsid w:val="32422082"/>
    <w:rsid w:val="32424281"/>
    <w:rsid w:val="3243100D"/>
    <w:rsid w:val="32437B04"/>
    <w:rsid w:val="32453007"/>
    <w:rsid w:val="32460A89"/>
    <w:rsid w:val="3247650A"/>
    <w:rsid w:val="324814E0"/>
    <w:rsid w:val="32483F8C"/>
    <w:rsid w:val="32485077"/>
    <w:rsid w:val="324A4F10"/>
    <w:rsid w:val="324A65F0"/>
    <w:rsid w:val="324A67B5"/>
    <w:rsid w:val="324B2992"/>
    <w:rsid w:val="324C037B"/>
    <w:rsid w:val="324C0413"/>
    <w:rsid w:val="324D0708"/>
    <w:rsid w:val="324D5E95"/>
    <w:rsid w:val="324E146B"/>
    <w:rsid w:val="324E704B"/>
    <w:rsid w:val="324F1398"/>
    <w:rsid w:val="3252231D"/>
    <w:rsid w:val="32523D98"/>
    <w:rsid w:val="325454D5"/>
    <w:rsid w:val="32545820"/>
    <w:rsid w:val="325532A1"/>
    <w:rsid w:val="32555EB0"/>
    <w:rsid w:val="32556A4E"/>
    <w:rsid w:val="325675ED"/>
    <w:rsid w:val="32580B66"/>
    <w:rsid w:val="32591CA8"/>
    <w:rsid w:val="325A3ABA"/>
    <w:rsid w:val="325B51AB"/>
    <w:rsid w:val="325C2C2C"/>
    <w:rsid w:val="325C381C"/>
    <w:rsid w:val="325C64B0"/>
    <w:rsid w:val="325D06AE"/>
    <w:rsid w:val="325D3F31"/>
    <w:rsid w:val="325D43BB"/>
    <w:rsid w:val="325D6EB5"/>
    <w:rsid w:val="325F7434"/>
    <w:rsid w:val="326064D2"/>
    <w:rsid w:val="32614B36"/>
    <w:rsid w:val="326170B4"/>
    <w:rsid w:val="326205EA"/>
    <w:rsid w:val="32640E00"/>
    <w:rsid w:val="32660FBD"/>
    <w:rsid w:val="32662F17"/>
    <w:rsid w:val="326630DC"/>
    <w:rsid w:val="32666DBF"/>
    <w:rsid w:val="32674841"/>
    <w:rsid w:val="32676A3F"/>
    <w:rsid w:val="326773AF"/>
    <w:rsid w:val="326822C2"/>
    <w:rsid w:val="326844C0"/>
    <w:rsid w:val="326867B8"/>
    <w:rsid w:val="326951F3"/>
    <w:rsid w:val="326957C5"/>
    <w:rsid w:val="326A3247"/>
    <w:rsid w:val="326B5445"/>
    <w:rsid w:val="326B7E18"/>
    <w:rsid w:val="326C2EC7"/>
    <w:rsid w:val="326C674A"/>
    <w:rsid w:val="326C730B"/>
    <w:rsid w:val="326D0948"/>
    <w:rsid w:val="326E6078"/>
    <w:rsid w:val="326E63CA"/>
    <w:rsid w:val="327018CD"/>
    <w:rsid w:val="3270299B"/>
    <w:rsid w:val="32705150"/>
    <w:rsid w:val="32712BD2"/>
    <w:rsid w:val="32713375"/>
    <w:rsid w:val="32720653"/>
    <w:rsid w:val="32724DD0"/>
    <w:rsid w:val="327348EE"/>
    <w:rsid w:val="327360D5"/>
    <w:rsid w:val="32743B56"/>
    <w:rsid w:val="32751B8C"/>
    <w:rsid w:val="32755D55"/>
    <w:rsid w:val="3276166B"/>
    <w:rsid w:val="327637D6"/>
    <w:rsid w:val="32767059"/>
    <w:rsid w:val="32771258"/>
    <w:rsid w:val="327775A4"/>
    <w:rsid w:val="327834C8"/>
    <w:rsid w:val="32787B12"/>
    <w:rsid w:val="327921DC"/>
    <w:rsid w:val="3279475B"/>
    <w:rsid w:val="32797FDE"/>
    <w:rsid w:val="327A5A60"/>
    <w:rsid w:val="327A7C5E"/>
    <w:rsid w:val="327B34E1"/>
    <w:rsid w:val="327C0F63"/>
    <w:rsid w:val="327C2DF9"/>
    <w:rsid w:val="327C3161"/>
    <w:rsid w:val="327D37D4"/>
    <w:rsid w:val="327E41AE"/>
    <w:rsid w:val="327E4466"/>
    <w:rsid w:val="327E4F11"/>
    <w:rsid w:val="327F40E6"/>
    <w:rsid w:val="327F58EB"/>
    <w:rsid w:val="32801B67"/>
    <w:rsid w:val="32807969"/>
    <w:rsid w:val="32812E6C"/>
    <w:rsid w:val="328175E9"/>
    <w:rsid w:val="328208EE"/>
    <w:rsid w:val="3282506A"/>
    <w:rsid w:val="32827A03"/>
    <w:rsid w:val="32832AEC"/>
    <w:rsid w:val="3283636F"/>
    <w:rsid w:val="3284056D"/>
    <w:rsid w:val="32843928"/>
    <w:rsid w:val="32843DF1"/>
    <w:rsid w:val="32851872"/>
    <w:rsid w:val="328622EF"/>
    <w:rsid w:val="32863A70"/>
    <w:rsid w:val="328714F2"/>
    <w:rsid w:val="32874D75"/>
    <w:rsid w:val="328827F7"/>
    <w:rsid w:val="32886F74"/>
    <w:rsid w:val="32890278"/>
    <w:rsid w:val="3289460C"/>
    <w:rsid w:val="328947D0"/>
    <w:rsid w:val="328B7EF8"/>
    <w:rsid w:val="328D6C7F"/>
    <w:rsid w:val="328E0E7D"/>
    <w:rsid w:val="328E4700"/>
    <w:rsid w:val="328F13DA"/>
    <w:rsid w:val="328F68FE"/>
    <w:rsid w:val="32904380"/>
    <w:rsid w:val="32912953"/>
    <w:rsid w:val="32915685"/>
    <w:rsid w:val="32923106"/>
    <w:rsid w:val="3292332D"/>
    <w:rsid w:val="329234F1"/>
    <w:rsid w:val="32925305"/>
    <w:rsid w:val="32927883"/>
    <w:rsid w:val="32930B88"/>
    <w:rsid w:val="32932D86"/>
    <w:rsid w:val="32934410"/>
    <w:rsid w:val="32940808"/>
    <w:rsid w:val="32944C82"/>
    <w:rsid w:val="32955444"/>
    <w:rsid w:val="32956289"/>
    <w:rsid w:val="32961B0D"/>
    <w:rsid w:val="3297178C"/>
    <w:rsid w:val="3298504C"/>
    <w:rsid w:val="329900FB"/>
    <w:rsid w:val="32990513"/>
    <w:rsid w:val="32994C8F"/>
    <w:rsid w:val="329A1673"/>
    <w:rsid w:val="329A2711"/>
    <w:rsid w:val="329A5F94"/>
    <w:rsid w:val="329B0193"/>
    <w:rsid w:val="329C1497"/>
    <w:rsid w:val="329D6F19"/>
    <w:rsid w:val="329E4165"/>
    <w:rsid w:val="329E6876"/>
    <w:rsid w:val="329F241C"/>
    <w:rsid w:val="329F6B99"/>
    <w:rsid w:val="32A07E9E"/>
    <w:rsid w:val="32A1591F"/>
    <w:rsid w:val="32A233A1"/>
    <w:rsid w:val="32A26E1B"/>
    <w:rsid w:val="32A27B1D"/>
    <w:rsid w:val="32A36868"/>
    <w:rsid w:val="32A468A4"/>
    <w:rsid w:val="32A50AA2"/>
    <w:rsid w:val="32A54325"/>
    <w:rsid w:val="32A66524"/>
    <w:rsid w:val="32A724AC"/>
    <w:rsid w:val="32A73FA5"/>
    <w:rsid w:val="32A74A94"/>
    <w:rsid w:val="32A81A27"/>
    <w:rsid w:val="32A852AA"/>
    <w:rsid w:val="32A974A8"/>
    <w:rsid w:val="32AA07AD"/>
    <w:rsid w:val="32AB12E7"/>
    <w:rsid w:val="32AC3CB0"/>
    <w:rsid w:val="32AD1732"/>
    <w:rsid w:val="32AE71B3"/>
    <w:rsid w:val="32AF09B7"/>
    <w:rsid w:val="32B10138"/>
    <w:rsid w:val="32B118D1"/>
    <w:rsid w:val="32B11FA7"/>
    <w:rsid w:val="32B25BB9"/>
    <w:rsid w:val="32B43E83"/>
    <w:rsid w:val="32B46B3E"/>
    <w:rsid w:val="32B653FC"/>
    <w:rsid w:val="32B76B39"/>
    <w:rsid w:val="32B77AC3"/>
    <w:rsid w:val="32B92FC6"/>
    <w:rsid w:val="32BA0A47"/>
    <w:rsid w:val="32BB64C9"/>
    <w:rsid w:val="32BC3F4B"/>
    <w:rsid w:val="32BD19CC"/>
    <w:rsid w:val="32BD2BA4"/>
    <w:rsid w:val="32BE744E"/>
    <w:rsid w:val="32BF42E1"/>
    <w:rsid w:val="32BF4CA5"/>
    <w:rsid w:val="32C03301"/>
    <w:rsid w:val="32C034B7"/>
    <w:rsid w:val="32C1585A"/>
    <w:rsid w:val="32C338D5"/>
    <w:rsid w:val="32C37159"/>
    <w:rsid w:val="32C41357"/>
    <w:rsid w:val="32C44BDA"/>
    <w:rsid w:val="32C5265C"/>
    <w:rsid w:val="32C56DD8"/>
    <w:rsid w:val="32C722DC"/>
    <w:rsid w:val="32C83002"/>
    <w:rsid w:val="32C835E0"/>
    <w:rsid w:val="32C94540"/>
    <w:rsid w:val="32CA6AE3"/>
    <w:rsid w:val="32CB4565"/>
    <w:rsid w:val="32CC1FE7"/>
    <w:rsid w:val="32CC41E5"/>
    <w:rsid w:val="32CD1C66"/>
    <w:rsid w:val="32CD7638"/>
    <w:rsid w:val="32CE54EA"/>
    <w:rsid w:val="32CE66D5"/>
    <w:rsid w:val="32CE76E8"/>
    <w:rsid w:val="32CF2F6B"/>
    <w:rsid w:val="32CF509C"/>
    <w:rsid w:val="32CF5169"/>
    <w:rsid w:val="32CF5E49"/>
    <w:rsid w:val="32D007AA"/>
    <w:rsid w:val="32D009ED"/>
    <w:rsid w:val="32D1066D"/>
    <w:rsid w:val="32D11EE7"/>
    <w:rsid w:val="32D1646E"/>
    <w:rsid w:val="32D260EE"/>
    <w:rsid w:val="32D64AF4"/>
    <w:rsid w:val="32D65578"/>
    <w:rsid w:val="32D70A63"/>
    <w:rsid w:val="32D72576"/>
    <w:rsid w:val="32D75DF9"/>
    <w:rsid w:val="32D87FF7"/>
    <w:rsid w:val="32D9768F"/>
    <w:rsid w:val="32DA0069"/>
    <w:rsid w:val="32DA34FB"/>
    <w:rsid w:val="32DA6D7E"/>
    <w:rsid w:val="32DB1FCA"/>
    <w:rsid w:val="32DC17A7"/>
    <w:rsid w:val="32DD0626"/>
    <w:rsid w:val="32DD3E24"/>
    <w:rsid w:val="32DE1F01"/>
    <w:rsid w:val="32DE7359"/>
    <w:rsid w:val="32DF445D"/>
    <w:rsid w:val="32DF7982"/>
    <w:rsid w:val="32E05404"/>
    <w:rsid w:val="32E12E85"/>
    <w:rsid w:val="32E2418A"/>
    <w:rsid w:val="32E305F3"/>
    <w:rsid w:val="32E31C0C"/>
    <w:rsid w:val="32E4188C"/>
    <w:rsid w:val="32E4768D"/>
    <w:rsid w:val="32E62B90"/>
    <w:rsid w:val="32E64D8F"/>
    <w:rsid w:val="32E70612"/>
    <w:rsid w:val="32E74194"/>
    <w:rsid w:val="32E95D13"/>
    <w:rsid w:val="32EA1597"/>
    <w:rsid w:val="32EA7018"/>
    <w:rsid w:val="32EB316F"/>
    <w:rsid w:val="32EC5295"/>
    <w:rsid w:val="32EC6C98"/>
    <w:rsid w:val="32ED471A"/>
    <w:rsid w:val="32ED664A"/>
    <w:rsid w:val="32EE5A1E"/>
    <w:rsid w:val="32F00F21"/>
    <w:rsid w:val="32F0425F"/>
    <w:rsid w:val="32F0569E"/>
    <w:rsid w:val="32F13120"/>
    <w:rsid w:val="32F169A3"/>
    <w:rsid w:val="32F20BA1"/>
    <w:rsid w:val="32F24425"/>
    <w:rsid w:val="32F31EA6"/>
    <w:rsid w:val="32F36623"/>
    <w:rsid w:val="32F62E2B"/>
    <w:rsid w:val="32F64990"/>
    <w:rsid w:val="32F675A7"/>
    <w:rsid w:val="32F708AC"/>
    <w:rsid w:val="32F7552F"/>
    <w:rsid w:val="32F82AAB"/>
    <w:rsid w:val="32F838FA"/>
    <w:rsid w:val="32F85F09"/>
    <w:rsid w:val="32F9052C"/>
    <w:rsid w:val="32F93DAF"/>
    <w:rsid w:val="32F94C12"/>
    <w:rsid w:val="32F96C6C"/>
    <w:rsid w:val="32FA1831"/>
    <w:rsid w:val="32FA3A2F"/>
    <w:rsid w:val="32FA5FAE"/>
    <w:rsid w:val="32FB0021"/>
    <w:rsid w:val="32FB0D84"/>
    <w:rsid w:val="32FB14B1"/>
    <w:rsid w:val="32FC4D34"/>
    <w:rsid w:val="32FC6F32"/>
    <w:rsid w:val="32FD22FD"/>
    <w:rsid w:val="32FE2E9B"/>
    <w:rsid w:val="32FF5CB9"/>
    <w:rsid w:val="3300373A"/>
    <w:rsid w:val="33004250"/>
    <w:rsid w:val="33005939"/>
    <w:rsid w:val="330133BA"/>
    <w:rsid w:val="33014DEF"/>
    <w:rsid w:val="330257C9"/>
    <w:rsid w:val="33032140"/>
    <w:rsid w:val="330414F8"/>
    <w:rsid w:val="3304433F"/>
    <w:rsid w:val="33047BC2"/>
    <w:rsid w:val="33051DC0"/>
    <w:rsid w:val="33055644"/>
    <w:rsid w:val="33060643"/>
    <w:rsid w:val="33071BBC"/>
    <w:rsid w:val="330752C3"/>
    <w:rsid w:val="33082D45"/>
    <w:rsid w:val="33090F55"/>
    <w:rsid w:val="33093135"/>
    <w:rsid w:val="33097011"/>
    <w:rsid w:val="330A6248"/>
    <w:rsid w:val="330B3CCA"/>
    <w:rsid w:val="330C174B"/>
    <w:rsid w:val="330C4FCE"/>
    <w:rsid w:val="330C524D"/>
    <w:rsid w:val="330D5DEB"/>
    <w:rsid w:val="330D71CD"/>
    <w:rsid w:val="330E04D1"/>
    <w:rsid w:val="330F5F53"/>
    <w:rsid w:val="331039D5"/>
    <w:rsid w:val="33107D3E"/>
    <w:rsid w:val="331108DD"/>
    <w:rsid w:val="331423DB"/>
    <w:rsid w:val="33142830"/>
    <w:rsid w:val="33157E5C"/>
    <w:rsid w:val="33171638"/>
    <w:rsid w:val="3317335F"/>
    <w:rsid w:val="33180DE1"/>
    <w:rsid w:val="33196863"/>
    <w:rsid w:val="331A42E4"/>
    <w:rsid w:val="331A50B6"/>
    <w:rsid w:val="331B1D66"/>
    <w:rsid w:val="331C0D3B"/>
    <w:rsid w:val="331E076C"/>
    <w:rsid w:val="331F61ED"/>
    <w:rsid w:val="33224F6A"/>
    <w:rsid w:val="33234BF4"/>
    <w:rsid w:val="33242675"/>
    <w:rsid w:val="332500F7"/>
    <w:rsid w:val="332550E3"/>
    <w:rsid w:val="33270FD5"/>
    <w:rsid w:val="332735FA"/>
    <w:rsid w:val="332741AD"/>
    <w:rsid w:val="3328107B"/>
    <w:rsid w:val="332848FF"/>
    <w:rsid w:val="33292380"/>
    <w:rsid w:val="33296AFD"/>
    <w:rsid w:val="332A7E02"/>
    <w:rsid w:val="332B2000"/>
    <w:rsid w:val="332B5883"/>
    <w:rsid w:val="332C3305"/>
    <w:rsid w:val="332D1009"/>
    <w:rsid w:val="332D349E"/>
    <w:rsid w:val="332D5204"/>
    <w:rsid w:val="332D5503"/>
    <w:rsid w:val="332E2F85"/>
    <w:rsid w:val="332F0A06"/>
    <w:rsid w:val="332F4289"/>
    <w:rsid w:val="332F6941"/>
    <w:rsid w:val="333015F2"/>
    <w:rsid w:val="33301D0B"/>
    <w:rsid w:val="33306488"/>
    <w:rsid w:val="33307EBA"/>
    <w:rsid w:val="3331778D"/>
    <w:rsid w:val="33332C90"/>
    <w:rsid w:val="33334E8E"/>
    <w:rsid w:val="3333740C"/>
    <w:rsid w:val="3334290F"/>
    <w:rsid w:val="333429AC"/>
    <w:rsid w:val="333467A8"/>
    <w:rsid w:val="33355F1C"/>
    <w:rsid w:val="333640E9"/>
    <w:rsid w:val="33365E13"/>
    <w:rsid w:val="33371696"/>
    <w:rsid w:val="33373894"/>
    <w:rsid w:val="33381316"/>
    <w:rsid w:val="3338549E"/>
    <w:rsid w:val="33387117"/>
    <w:rsid w:val="33396201"/>
    <w:rsid w:val="333A4819"/>
    <w:rsid w:val="333B75B5"/>
    <w:rsid w:val="333C359F"/>
    <w:rsid w:val="333C7D1C"/>
    <w:rsid w:val="333D1021"/>
    <w:rsid w:val="333E321F"/>
    <w:rsid w:val="333E6AA2"/>
    <w:rsid w:val="333F0CA1"/>
    <w:rsid w:val="33401FA5"/>
    <w:rsid w:val="3340239C"/>
    <w:rsid w:val="334141A4"/>
    <w:rsid w:val="33414383"/>
    <w:rsid w:val="33417A27"/>
    <w:rsid w:val="334358FC"/>
    <w:rsid w:val="334376A7"/>
    <w:rsid w:val="334409AC"/>
    <w:rsid w:val="33445128"/>
    <w:rsid w:val="33447797"/>
    <w:rsid w:val="33452BAA"/>
    <w:rsid w:val="3345642D"/>
    <w:rsid w:val="33457039"/>
    <w:rsid w:val="3346062B"/>
    <w:rsid w:val="33463EAF"/>
    <w:rsid w:val="33471930"/>
    <w:rsid w:val="33477044"/>
    <w:rsid w:val="334873B2"/>
    <w:rsid w:val="33494E33"/>
    <w:rsid w:val="334A2505"/>
    <w:rsid w:val="334A26CA"/>
    <w:rsid w:val="334A28B5"/>
    <w:rsid w:val="334A7032"/>
    <w:rsid w:val="334B6320"/>
    <w:rsid w:val="334C7FB6"/>
    <w:rsid w:val="334D5A38"/>
    <w:rsid w:val="334F0F3B"/>
    <w:rsid w:val="334F6D3D"/>
    <w:rsid w:val="335047BE"/>
    <w:rsid w:val="3350487A"/>
    <w:rsid w:val="335069BC"/>
    <w:rsid w:val="3351443E"/>
    <w:rsid w:val="3352084C"/>
    <w:rsid w:val="33521EC0"/>
    <w:rsid w:val="33527CC1"/>
    <w:rsid w:val="335331C4"/>
    <w:rsid w:val="33537941"/>
    <w:rsid w:val="33540C46"/>
    <w:rsid w:val="33541DC5"/>
    <w:rsid w:val="33541F89"/>
    <w:rsid w:val="335453C3"/>
    <w:rsid w:val="33552B28"/>
    <w:rsid w:val="335566C7"/>
    <w:rsid w:val="335608C6"/>
    <w:rsid w:val="33563502"/>
    <w:rsid w:val="33564484"/>
    <w:rsid w:val="33571BCB"/>
    <w:rsid w:val="33576347"/>
    <w:rsid w:val="3358764C"/>
    <w:rsid w:val="3359184A"/>
    <w:rsid w:val="3359469F"/>
    <w:rsid w:val="3359561A"/>
    <w:rsid w:val="335A61B8"/>
    <w:rsid w:val="335A72CC"/>
    <w:rsid w:val="335B05D1"/>
    <w:rsid w:val="335C010C"/>
    <w:rsid w:val="335C6052"/>
    <w:rsid w:val="335D3AD4"/>
    <w:rsid w:val="335E5CD2"/>
    <w:rsid w:val="335E6CEC"/>
    <w:rsid w:val="335F5BD4"/>
    <w:rsid w:val="335F6FD7"/>
    <w:rsid w:val="33602DC2"/>
    <w:rsid w:val="336124DA"/>
    <w:rsid w:val="3361379C"/>
    <w:rsid w:val="33613960"/>
    <w:rsid w:val="33614907"/>
    <w:rsid w:val="3362433B"/>
    <w:rsid w:val="33627F5C"/>
    <w:rsid w:val="336359DD"/>
    <w:rsid w:val="33637BDB"/>
    <w:rsid w:val="3364565D"/>
    <w:rsid w:val="33650EE0"/>
    <w:rsid w:val="336530DF"/>
    <w:rsid w:val="33660B60"/>
    <w:rsid w:val="33666962"/>
    <w:rsid w:val="336743E3"/>
    <w:rsid w:val="336765E2"/>
    <w:rsid w:val="336779CB"/>
    <w:rsid w:val="33684063"/>
    <w:rsid w:val="33691AE5"/>
    <w:rsid w:val="336A5368"/>
    <w:rsid w:val="336A7566"/>
    <w:rsid w:val="336B086B"/>
    <w:rsid w:val="336B25B7"/>
    <w:rsid w:val="336C3012"/>
    <w:rsid w:val="336C62ED"/>
    <w:rsid w:val="336E5F6C"/>
    <w:rsid w:val="336F7271"/>
    <w:rsid w:val="336F7299"/>
    <w:rsid w:val="33701470"/>
    <w:rsid w:val="33704CF3"/>
    <w:rsid w:val="33712774"/>
    <w:rsid w:val="3371744F"/>
    <w:rsid w:val="337201F6"/>
    <w:rsid w:val="33724973"/>
    <w:rsid w:val="337323F4"/>
    <w:rsid w:val="33735C77"/>
    <w:rsid w:val="33747E76"/>
    <w:rsid w:val="337551E4"/>
    <w:rsid w:val="337558F7"/>
    <w:rsid w:val="337634BA"/>
    <w:rsid w:val="3376367E"/>
    <w:rsid w:val="33766BFC"/>
    <w:rsid w:val="3377467E"/>
    <w:rsid w:val="337820FF"/>
    <w:rsid w:val="33784BF7"/>
    <w:rsid w:val="337A6170"/>
    <w:rsid w:val="337B6D0E"/>
    <w:rsid w:val="337C29D9"/>
    <w:rsid w:val="337D00C3"/>
    <w:rsid w:val="337D5D9C"/>
    <w:rsid w:val="337D6587"/>
    <w:rsid w:val="337E0C62"/>
    <w:rsid w:val="337E0CCA"/>
    <w:rsid w:val="33814F8D"/>
    <w:rsid w:val="33822A0F"/>
    <w:rsid w:val="33833FFC"/>
    <w:rsid w:val="33835F12"/>
    <w:rsid w:val="33843993"/>
    <w:rsid w:val="33866E96"/>
    <w:rsid w:val="33874918"/>
    <w:rsid w:val="33880521"/>
    <w:rsid w:val="338A5521"/>
    <w:rsid w:val="338B331E"/>
    <w:rsid w:val="338B45BF"/>
    <w:rsid w:val="338C0DA0"/>
    <w:rsid w:val="338E7B26"/>
    <w:rsid w:val="338F1D24"/>
    <w:rsid w:val="338F6EBF"/>
    <w:rsid w:val="33903029"/>
    <w:rsid w:val="339045ED"/>
    <w:rsid w:val="33910AAB"/>
    <w:rsid w:val="33915228"/>
    <w:rsid w:val="33922CA9"/>
    <w:rsid w:val="33927FA5"/>
    <w:rsid w:val="3393072B"/>
    <w:rsid w:val="33933FAE"/>
    <w:rsid w:val="33941A2F"/>
    <w:rsid w:val="339461AC"/>
    <w:rsid w:val="33951EF8"/>
    <w:rsid w:val="339574B1"/>
    <w:rsid w:val="33962A97"/>
    <w:rsid w:val="33964F33"/>
    <w:rsid w:val="33971295"/>
    <w:rsid w:val="33984010"/>
    <w:rsid w:val="33984BB2"/>
    <w:rsid w:val="33992634"/>
    <w:rsid w:val="33995EB7"/>
    <w:rsid w:val="339A00B5"/>
    <w:rsid w:val="339A3939"/>
    <w:rsid w:val="339A574D"/>
    <w:rsid w:val="339A6D9C"/>
    <w:rsid w:val="339B13BA"/>
    <w:rsid w:val="339B5B37"/>
    <w:rsid w:val="339C103A"/>
    <w:rsid w:val="339D48BD"/>
    <w:rsid w:val="339D4B9D"/>
    <w:rsid w:val="339D6ABC"/>
    <w:rsid w:val="339E233F"/>
    <w:rsid w:val="339E453D"/>
    <w:rsid w:val="339E6DE9"/>
    <w:rsid w:val="339F17B8"/>
    <w:rsid w:val="339F1FBF"/>
    <w:rsid w:val="339F7DC0"/>
    <w:rsid w:val="33A02192"/>
    <w:rsid w:val="33A132C4"/>
    <w:rsid w:val="33A22F43"/>
    <w:rsid w:val="33A3446E"/>
    <w:rsid w:val="33A41CCA"/>
    <w:rsid w:val="33A44248"/>
    <w:rsid w:val="33A46447"/>
    <w:rsid w:val="33A72326"/>
    <w:rsid w:val="33A76A48"/>
    <w:rsid w:val="33A773CB"/>
    <w:rsid w:val="33A806D0"/>
    <w:rsid w:val="33A8172E"/>
    <w:rsid w:val="33A81A9A"/>
    <w:rsid w:val="33A84E4D"/>
    <w:rsid w:val="33AA670F"/>
    <w:rsid w:val="33AB5DD1"/>
    <w:rsid w:val="33AC25F0"/>
    <w:rsid w:val="33AC70D6"/>
    <w:rsid w:val="33AD12D4"/>
    <w:rsid w:val="33AE6D56"/>
    <w:rsid w:val="33B02259"/>
    <w:rsid w:val="33B05E45"/>
    <w:rsid w:val="33B1355E"/>
    <w:rsid w:val="33B169E4"/>
    <w:rsid w:val="33B2575C"/>
    <w:rsid w:val="33B25DA9"/>
    <w:rsid w:val="33B331DE"/>
    <w:rsid w:val="33B36A61"/>
    <w:rsid w:val="33B37F5C"/>
    <w:rsid w:val="33B40937"/>
    <w:rsid w:val="33B444E3"/>
    <w:rsid w:val="33B466E1"/>
    <w:rsid w:val="33B51F64"/>
    <w:rsid w:val="33B54162"/>
    <w:rsid w:val="33B55E51"/>
    <w:rsid w:val="33B61BE4"/>
    <w:rsid w:val="33B62074"/>
    <w:rsid w:val="33B72A4E"/>
    <w:rsid w:val="33B75467"/>
    <w:rsid w:val="33B77665"/>
    <w:rsid w:val="33B82EE9"/>
    <w:rsid w:val="33B850E7"/>
    <w:rsid w:val="33B92B69"/>
    <w:rsid w:val="33BA05EA"/>
    <w:rsid w:val="33BA4B66"/>
    <w:rsid w:val="33BB5540"/>
    <w:rsid w:val="33BB60DF"/>
    <w:rsid w:val="33BD4DF2"/>
    <w:rsid w:val="33BD5082"/>
    <w:rsid w:val="33BF0BD0"/>
    <w:rsid w:val="33C024F3"/>
    <w:rsid w:val="33C05D77"/>
    <w:rsid w:val="33C137F8"/>
    <w:rsid w:val="33C17F75"/>
    <w:rsid w:val="33C22EAC"/>
    <w:rsid w:val="33C259F7"/>
    <w:rsid w:val="33C33478"/>
    <w:rsid w:val="33C40EFA"/>
    <w:rsid w:val="33C4477D"/>
    <w:rsid w:val="33C4712A"/>
    <w:rsid w:val="33C521FE"/>
    <w:rsid w:val="33C561C8"/>
    <w:rsid w:val="33C5697B"/>
    <w:rsid w:val="33C65509"/>
    <w:rsid w:val="33C67C80"/>
    <w:rsid w:val="33C71E7E"/>
    <w:rsid w:val="33C75702"/>
    <w:rsid w:val="33C83183"/>
    <w:rsid w:val="33C87900"/>
    <w:rsid w:val="33C90654"/>
    <w:rsid w:val="33C90C05"/>
    <w:rsid w:val="33C95381"/>
    <w:rsid w:val="33CB4108"/>
    <w:rsid w:val="33CC1B89"/>
    <w:rsid w:val="33CC3D88"/>
    <w:rsid w:val="33CC6306"/>
    <w:rsid w:val="33CD1809"/>
    <w:rsid w:val="33CD760B"/>
    <w:rsid w:val="33CE508C"/>
    <w:rsid w:val="33CF4D0C"/>
    <w:rsid w:val="33D00590"/>
    <w:rsid w:val="33D0278E"/>
    <w:rsid w:val="33D0525E"/>
    <w:rsid w:val="33D1020F"/>
    <w:rsid w:val="33D15DFC"/>
    <w:rsid w:val="33D16011"/>
    <w:rsid w:val="33D25C91"/>
    <w:rsid w:val="33D2699B"/>
    <w:rsid w:val="33D30D10"/>
    <w:rsid w:val="33D31514"/>
    <w:rsid w:val="33D37747"/>
    <w:rsid w:val="33D44A17"/>
    <w:rsid w:val="33D46F96"/>
    <w:rsid w:val="33D47BF8"/>
    <w:rsid w:val="33D52499"/>
    <w:rsid w:val="33D56AE0"/>
    <w:rsid w:val="33D56C16"/>
    <w:rsid w:val="33D571B6"/>
    <w:rsid w:val="33D6148D"/>
    <w:rsid w:val="33D64697"/>
    <w:rsid w:val="33D72119"/>
    <w:rsid w:val="33D72A06"/>
    <w:rsid w:val="33D7599C"/>
    <w:rsid w:val="33D934D4"/>
    <w:rsid w:val="33DA309D"/>
    <w:rsid w:val="33DA4B1D"/>
    <w:rsid w:val="33DB0B1F"/>
    <w:rsid w:val="33DB54F7"/>
    <w:rsid w:val="33DB56BC"/>
    <w:rsid w:val="33DC6096"/>
    <w:rsid w:val="33DC625B"/>
    <w:rsid w:val="33DD6C35"/>
    <w:rsid w:val="33DD78A5"/>
    <w:rsid w:val="33DE5327"/>
    <w:rsid w:val="33DE760F"/>
    <w:rsid w:val="33DF2DA8"/>
    <w:rsid w:val="33E00D4C"/>
    <w:rsid w:val="33E118EB"/>
    <w:rsid w:val="33E136A3"/>
    <w:rsid w:val="33E162AB"/>
    <w:rsid w:val="33E23182"/>
    <w:rsid w:val="33E23D2D"/>
    <w:rsid w:val="33E24F57"/>
    <w:rsid w:val="33E317AE"/>
    <w:rsid w:val="33E47230"/>
    <w:rsid w:val="33E54CB2"/>
    <w:rsid w:val="33E54F7B"/>
    <w:rsid w:val="33E65B1A"/>
    <w:rsid w:val="33E86ECF"/>
    <w:rsid w:val="33EA060C"/>
    <w:rsid w:val="33EB6BBB"/>
    <w:rsid w:val="33EC463C"/>
    <w:rsid w:val="33ED255F"/>
    <w:rsid w:val="33F05E80"/>
    <w:rsid w:val="33F2372F"/>
    <w:rsid w:val="33F23FC7"/>
    <w:rsid w:val="33F31A49"/>
    <w:rsid w:val="33F42D4E"/>
    <w:rsid w:val="33F474CA"/>
    <w:rsid w:val="33F66251"/>
    <w:rsid w:val="33F7044F"/>
    <w:rsid w:val="33F73CD2"/>
    <w:rsid w:val="33F971D5"/>
    <w:rsid w:val="33FA4C57"/>
    <w:rsid w:val="33FB26D9"/>
    <w:rsid w:val="33FB6E55"/>
    <w:rsid w:val="33FC48D7"/>
    <w:rsid w:val="33FD6212"/>
    <w:rsid w:val="33FE065D"/>
    <w:rsid w:val="33FE2F6A"/>
    <w:rsid w:val="33FE7DDA"/>
    <w:rsid w:val="33FF585B"/>
    <w:rsid w:val="33FF7545"/>
    <w:rsid w:val="33FF76FA"/>
    <w:rsid w:val="340032DD"/>
    <w:rsid w:val="34006B60"/>
    <w:rsid w:val="340145E2"/>
    <w:rsid w:val="340178C8"/>
    <w:rsid w:val="34022063"/>
    <w:rsid w:val="34022441"/>
    <w:rsid w:val="340267E0"/>
    <w:rsid w:val="34034262"/>
    <w:rsid w:val="34037AE5"/>
    <w:rsid w:val="34044805"/>
    <w:rsid w:val="34045566"/>
    <w:rsid w:val="34052FE8"/>
    <w:rsid w:val="340551E6"/>
    <w:rsid w:val="34060A6A"/>
    <w:rsid w:val="34062C68"/>
    <w:rsid w:val="340706E9"/>
    <w:rsid w:val="340764EB"/>
    <w:rsid w:val="34083F6D"/>
    <w:rsid w:val="3408616B"/>
    <w:rsid w:val="340864AC"/>
    <w:rsid w:val="340919EE"/>
    <w:rsid w:val="34093BEC"/>
    <w:rsid w:val="3409619C"/>
    <w:rsid w:val="340A166E"/>
    <w:rsid w:val="340A685C"/>
    <w:rsid w:val="340A7470"/>
    <w:rsid w:val="340C0F9D"/>
    <w:rsid w:val="340C4B71"/>
    <w:rsid w:val="340D25F3"/>
    <w:rsid w:val="340D26DB"/>
    <w:rsid w:val="340E0074"/>
    <w:rsid w:val="340E07E5"/>
    <w:rsid w:val="340E1D22"/>
    <w:rsid w:val="340E38F7"/>
    <w:rsid w:val="340F0C0A"/>
    <w:rsid w:val="340F5AF6"/>
    <w:rsid w:val="341047F2"/>
    <w:rsid w:val="34110FF9"/>
    <w:rsid w:val="341151CD"/>
    <w:rsid w:val="34126A7A"/>
    <w:rsid w:val="341344FC"/>
    <w:rsid w:val="34137D7F"/>
    <w:rsid w:val="34141F7E"/>
    <w:rsid w:val="3414249C"/>
    <w:rsid w:val="34145801"/>
    <w:rsid w:val="341472E4"/>
    <w:rsid w:val="341579FF"/>
    <w:rsid w:val="34160A21"/>
    <w:rsid w:val="34181F9A"/>
    <w:rsid w:val="34184207"/>
    <w:rsid w:val="34191C89"/>
    <w:rsid w:val="341B1908"/>
    <w:rsid w:val="341B4C51"/>
    <w:rsid w:val="341C2C0D"/>
    <w:rsid w:val="341C562B"/>
    <w:rsid w:val="341C738A"/>
    <w:rsid w:val="341D288D"/>
    <w:rsid w:val="341D3752"/>
    <w:rsid w:val="341E030F"/>
    <w:rsid w:val="341E29A6"/>
    <w:rsid w:val="341E6BA4"/>
    <w:rsid w:val="341F3B92"/>
    <w:rsid w:val="341F5D90"/>
    <w:rsid w:val="342002E1"/>
    <w:rsid w:val="34201613"/>
    <w:rsid w:val="34210E80"/>
    <w:rsid w:val="34232234"/>
    <w:rsid w:val="34232598"/>
    <w:rsid w:val="34235BF7"/>
    <w:rsid w:val="3424001A"/>
    <w:rsid w:val="34242218"/>
    <w:rsid w:val="34242F97"/>
    <w:rsid w:val="3425351D"/>
    <w:rsid w:val="3426571B"/>
    <w:rsid w:val="3427319D"/>
    <w:rsid w:val="34280C1E"/>
    <w:rsid w:val="342844A1"/>
    <w:rsid w:val="34296463"/>
    <w:rsid w:val="342966A0"/>
    <w:rsid w:val="342A4121"/>
    <w:rsid w:val="342A71FD"/>
    <w:rsid w:val="342A79DC"/>
    <w:rsid w:val="342B1BA3"/>
    <w:rsid w:val="342B5426"/>
    <w:rsid w:val="342B67BB"/>
    <w:rsid w:val="342C2EA8"/>
    <w:rsid w:val="342C7624"/>
    <w:rsid w:val="342D0929"/>
    <w:rsid w:val="342E63AB"/>
    <w:rsid w:val="342F05A9"/>
    <w:rsid w:val="342F1F88"/>
    <w:rsid w:val="342F3E2C"/>
    <w:rsid w:val="343018AE"/>
    <w:rsid w:val="3430602A"/>
    <w:rsid w:val="34313AAC"/>
    <w:rsid w:val="343147AA"/>
    <w:rsid w:val="3432152E"/>
    <w:rsid w:val="34324DB1"/>
    <w:rsid w:val="34332832"/>
    <w:rsid w:val="34335D23"/>
    <w:rsid w:val="34336FAF"/>
    <w:rsid w:val="343402B4"/>
    <w:rsid w:val="34357460"/>
    <w:rsid w:val="34357F34"/>
    <w:rsid w:val="34357FFF"/>
    <w:rsid w:val="343659B5"/>
    <w:rsid w:val="34371239"/>
    <w:rsid w:val="34373437"/>
    <w:rsid w:val="34380EB8"/>
    <w:rsid w:val="34381F52"/>
    <w:rsid w:val="34382116"/>
    <w:rsid w:val="34386CBA"/>
    <w:rsid w:val="3439693A"/>
    <w:rsid w:val="343A0036"/>
    <w:rsid w:val="343A03A1"/>
    <w:rsid w:val="343A070C"/>
    <w:rsid w:val="343A21BD"/>
    <w:rsid w:val="343B7289"/>
    <w:rsid w:val="343B7C3F"/>
    <w:rsid w:val="343C56C0"/>
    <w:rsid w:val="343D5340"/>
    <w:rsid w:val="343D55E2"/>
    <w:rsid w:val="343E6645"/>
    <w:rsid w:val="343F40C7"/>
    <w:rsid w:val="344076FA"/>
    <w:rsid w:val="34413D46"/>
    <w:rsid w:val="344175CA"/>
    <w:rsid w:val="34420E37"/>
    <w:rsid w:val="3444054E"/>
    <w:rsid w:val="3444542D"/>
    <w:rsid w:val="34453AED"/>
    <w:rsid w:val="344644C7"/>
    <w:rsid w:val="344714D3"/>
    <w:rsid w:val="34482813"/>
    <w:rsid w:val="34485A40"/>
    <w:rsid w:val="34486F54"/>
    <w:rsid w:val="344A1390"/>
    <w:rsid w:val="344A1546"/>
    <w:rsid w:val="344A2458"/>
    <w:rsid w:val="344A35D0"/>
    <w:rsid w:val="344C0532"/>
    <w:rsid w:val="344D33DC"/>
    <w:rsid w:val="344E0E5E"/>
    <w:rsid w:val="344E1C6F"/>
    <w:rsid w:val="344F68DF"/>
    <w:rsid w:val="345031E8"/>
    <w:rsid w:val="34511DE2"/>
    <w:rsid w:val="34524761"/>
    <w:rsid w:val="34525300"/>
    <w:rsid w:val="34527864"/>
    <w:rsid w:val="345319C9"/>
    <w:rsid w:val="345352E6"/>
    <w:rsid w:val="34535E9F"/>
    <w:rsid w:val="34542D67"/>
    <w:rsid w:val="34553383"/>
    <w:rsid w:val="3455626A"/>
    <w:rsid w:val="34557417"/>
    <w:rsid w:val="34567DF2"/>
    <w:rsid w:val="34567FB6"/>
    <w:rsid w:val="3457176D"/>
    <w:rsid w:val="345871EF"/>
    <w:rsid w:val="345A26F2"/>
    <w:rsid w:val="345C41E5"/>
    <w:rsid w:val="345C5BF5"/>
    <w:rsid w:val="345D1478"/>
    <w:rsid w:val="345D3677"/>
    <w:rsid w:val="345E62FD"/>
    <w:rsid w:val="345F6B7A"/>
    <w:rsid w:val="34610414"/>
    <w:rsid w:val="34615900"/>
    <w:rsid w:val="34623382"/>
    <w:rsid w:val="34627AFE"/>
    <w:rsid w:val="3463198D"/>
    <w:rsid w:val="34643001"/>
    <w:rsid w:val="34646885"/>
    <w:rsid w:val="34650A83"/>
    <w:rsid w:val="34654306"/>
    <w:rsid w:val="34663AA5"/>
    <w:rsid w:val="34666A21"/>
    <w:rsid w:val="34673F86"/>
    <w:rsid w:val="3467447F"/>
    <w:rsid w:val="34677809"/>
    <w:rsid w:val="34681A08"/>
    <w:rsid w:val="3468528B"/>
    <w:rsid w:val="34692D0C"/>
    <w:rsid w:val="346A078E"/>
    <w:rsid w:val="346A4F0B"/>
    <w:rsid w:val="346A6596"/>
    <w:rsid w:val="346B1933"/>
    <w:rsid w:val="346B298C"/>
    <w:rsid w:val="346B6210"/>
    <w:rsid w:val="346C7CD4"/>
    <w:rsid w:val="346D3911"/>
    <w:rsid w:val="346E1088"/>
    <w:rsid w:val="346E6B7F"/>
    <w:rsid w:val="346F4C16"/>
    <w:rsid w:val="347031A0"/>
    <w:rsid w:val="34703364"/>
    <w:rsid w:val="34704896"/>
    <w:rsid w:val="34713D3E"/>
    <w:rsid w:val="34725B9A"/>
    <w:rsid w:val="34727D99"/>
    <w:rsid w:val="3473361C"/>
    <w:rsid w:val="3473581A"/>
    <w:rsid w:val="3474109D"/>
    <w:rsid w:val="34750972"/>
    <w:rsid w:val="347545A1"/>
    <w:rsid w:val="34756B1F"/>
    <w:rsid w:val="34762022"/>
    <w:rsid w:val="3476679F"/>
    <w:rsid w:val="34774220"/>
    <w:rsid w:val="34781CA2"/>
    <w:rsid w:val="34784F8C"/>
    <w:rsid w:val="34785525"/>
    <w:rsid w:val="34797724"/>
    <w:rsid w:val="347A0A28"/>
    <w:rsid w:val="347A1EC1"/>
    <w:rsid w:val="347A2C24"/>
    <w:rsid w:val="347B2A5F"/>
    <w:rsid w:val="347B2C27"/>
    <w:rsid w:val="347B64AA"/>
    <w:rsid w:val="347C06A8"/>
    <w:rsid w:val="347C3F2B"/>
    <w:rsid w:val="347C419D"/>
    <w:rsid w:val="347D3BDA"/>
    <w:rsid w:val="347E742F"/>
    <w:rsid w:val="347F4EB0"/>
    <w:rsid w:val="34814B30"/>
    <w:rsid w:val="348154F2"/>
    <w:rsid w:val="3481782D"/>
    <w:rsid w:val="34820207"/>
    <w:rsid w:val="348225B1"/>
    <w:rsid w:val="34830033"/>
    <w:rsid w:val="34841945"/>
    <w:rsid w:val="34845AB5"/>
    <w:rsid w:val="34853536"/>
    <w:rsid w:val="34862EBD"/>
    <w:rsid w:val="34863828"/>
    <w:rsid w:val="3486483B"/>
    <w:rsid w:val="348722BC"/>
    <w:rsid w:val="348744BB"/>
    <w:rsid w:val="34887D3E"/>
    <w:rsid w:val="34894B8C"/>
    <w:rsid w:val="348957C0"/>
    <w:rsid w:val="348A3241"/>
    <w:rsid w:val="348A654E"/>
    <w:rsid w:val="348B0CC3"/>
    <w:rsid w:val="348E1C47"/>
    <w:rsid w:val="348E3E46"/>
    <w:rsid w:val="348E76C9"/>
    <w:rsid w:val="348F1BDE"/>
    <w:rsid w:val="34902BCC"/>
    <w:rsid w:val="34906DAF"/>
    <w:rsid w:val="34907349"/>
    <w:rsid w:val="3491064E"/>
    <w:rsid w:val="3491331C"/>
    <w:rsid w:val="34915E4D"/>
    <w:rsid w:val="34916A44"/>
    <w:rsid w:val="3492284C"/>
    <w:rsid w:val="349260CF"/>
    <w:rsid w:val="34933B51"/>
    <w:rsid w:val="34934894"/>
    <w:rsid w:val="3494526F"/>
    <w:rsid w:val="34945D4F"/>
    <w:rsid w:val="34964AD5"/>
    <w:rsid w:val="349667E8"/>
    <w:rsid w:val="349669AC"/>
    <w:rsid w:val="34976CD4"/>
    <w:rsid w:val="3499149E"/>
    <w:rsid w:val="349A34DB"/>
    <w:rsid w:val="349A37FA"/>
    <w:rsid w:val="349A7C58"/>
    <w:rsid w:val="349B2BDB"/>
    <w:rsid w:val="349B56DA"/>
    <w:rsid w:val="349C69DF"/>
    <w:rsid w:val="349D4154"/>
    <w:rsid w:val="349E40E0"/>
    <w:rsid w:val="349E4B2E"/>
    <w:rsid w:val="349E4CF3"/>
    <w:rsid w:val="349F1B61"/>
    <w:rsid w:val="349F7963"/>
    <w:rsid w:val="34A00474"/>
    <w:rsid w:val="34A06963"/>
    <w:rsid w:val="34A12E66"/>
    <w:rsid w:val="34A15065"/>
    <w:rsid w:val="34A1787D"/>
    <w:rsid w:val="34A22AE6"/>
    <w:rsid w:val="34A30568"/>
    <w:rsid w:val="34A522D6"/>
    <w:rsid w:val="34A53A6B"/>
    <w:rsid w:val="34A64D70"/>
    <w:rsid w:val="34A727F1"/>
    <w:rsid w:val="34A76F6E"/>
    <w:rsid w:val="34AA3776"/>
    <w:rsid w:val="34AC4C6E"/>
    <w:rsid w:val="34AC6C79"/>
    <w:rsid w:val="34AE2E07"/>
    <w:rsid w:val="34AF1984"/>
    <w:rsid w:val="34AF2730"/>
    <w:rsid w:val="34B01D5A"/>
    <w:rsid w:val="34B0567F"/>
    <w:rsid w:val="34B12734"/>
    <w:rsid w:val="34B13101"/>
    <w:rsid w:val="34B20B82"/>
    <w:rsid w:val="34B36604"/>
    <w:rsid w:val="34B44085"/>
    <w:rsid w:val="34B51B07"/>
    <w:rsid w:val="34B67588"/>
    <w:rsid w:val="34B7500A"/>
    <w:rsid w:val="34B7733E"/>
    <w:rsid w:val="34B77502"/>
    <w:rsid w:val="34B82A8C"/>
    <w:rsid w:val="34B87EDC"/>
    <w:rsid w:val="34BB3A10"/>
    <w:rsid w:val="34BC1492"/>
    <w:rsid w:val="34BC29CE"/>
    <w:rsid w:val="34BC2B93"/>
    <w:rsid w:val="34BC5B05"/>
    <w:rsid w:val="34BD4D58"/>
    <w:rsid w:val="34BD542E"/>
    <w:rsid w:val="34BF4CAA"/>
    <w:rsid w:val="34BF5849"/>
    <w:rsid w:val="34BF7E98"/>
    <w:rsid w:val="34C05919"/>
    <w:rsid w:val="34C1339B"/>
    <w:rsid w:val="34C20E1D"/>
    <w:rsid w:val="34C346A0"/>
    <w:rsid w:val="34C40D15"/>
    <w:rsid w:val="34C40ED9"/>
    <w:rsid w:val="34C42121"/>
    <w:rsid w:val="34C51A78"/>
    <w:rsid w:val="34C6228E"/>
    <w:rsid w:val="34C70B28"/>
    <w:rsid w:val="34C752A4"/>
    <w:rsid w:val="34C82D26"/>
    <w:rsid w:val="34C865A9"/>
    <w:rsid w:val="34C907A7"/>
    <w:rsid w:val="34CA6229"/>
    <w:rsid w:val="34CA77B1"/>
    <w:rsid w:val="34CB3CAA"/>
    <w:rsid w:val="34CB5AE2"/>
    <w:rsid w:val="34CC172C"/>
    <w:rsid w:val="34CC4FAF"/>
    <w:rsid w:val="34CC6E5F"/>
    <w:rsid w:val="34CC7CE6"/>
    <w:rsid w:val="34CD2A31"/>
    <w:rsid w:val="34CD641D"/>
    <w:rsid w:val="34CD71AE"/>
    <w:rsid w:val="34CD7BFA"/>
    <w:rsid w:val="34CE05D4"/>
    <w:rsid w:val="34CE0799"/>
    <w:rsid w:val="34CE4C2F"/>
    <w:rsid w:val="34CF26B1"/>
    <w:rsid w:val="34D01B4D"/>
    <w:rsid w:val="34D039B6"/>
    <w:rsid w:val="34D11437"/>
    <w:rsid w:val="34D15BB4"/>
    <w:rsid w:val="34D23635"/>
    <w:rsid w:val="34D46B38"/>
    <w:rsid w:val="34D57E3D"/>
    <w:rsid w:val="34D658BF"/>
    <w:rsid w:val="34D67ABD"/>
    <w:rsid w:val="34D73340"/>
    <w:rsid w:val="34D7691B"/>
    <w:rsid w:val="34D80DC2"/>
    <w:rsid w:val="34D858E4"/>
    <w:rsid w:val="34D90058"/>
    <w:rsid w:val="34D90A42"/>
    <w:rsid w:val="34D92754"/>
    <w:rsid w:val="34DA0A32"/>
    <w:rsid w:val="34DA42C5"/>
    <w:rsid w:val="34DA64C3"/>
    <w:rsid w:val="34DB088F"/>
    <w:rsid w:val="34DB140D"/>
    <w:rsid w:val="34DB2170"/>
    <w:rsid w:val="34DC19C6"/>
    <w:rsid w:val="34DC77C8"/>
    <w:rsid w:val="34DD3524"/>
    <w:rsid w:val="34DD524A"/>
    <w:rsid w:val="34DD7448"/>
    <w:rsid w:val="34DE074D"/>
    <w:rsid w:val="34DE40C3"/>
    <w:rsid w:val="34DE4EC9"/>
    <w:rsid w:val="34DF294B"/>
    <w:rsid w:val="34E003CD"/>
    <w:rsid w:val="34E00D83"/>
    <w:rsid w:val="34E05800"/>
    <w:rsid w:val="34E116D1"/>
    <w:rsid w:val="34E15E4E"/>
    <w:rsid w:val="34E238D0"/>
    <w:rsid w:val="34E34BD5"/>
    <w:rsid w:val="34E42656"/>
    <w:rsid w:val="34E46DD3"/>
    <w:rsid w:val="34E500D8"/>
    <w:rsid w:val="34E50CCC"/>
    <w:rsid w:val="34E526E3"/>
    <w:rsid w:val="34E61A2F"/>
    <w:rsid w:val="34E65B59"/>
    <w:rsid w:val="34E735DB"/>
    <w:rsid w:val="34E8105C"/>
    <w:rsid w:val="34E84BC6"/>
    <w:rsid w:val="34E857D9"/>
    <w:rsid w:val="34EA0CDC"/>
    <w:rsid w:val="34EA384A"/>
    <w:rsid w:val="34EA455F"/>
    <w:rsid w:val="34EA50C0"/>
    <w:rsid w:val="34EB1864"/>
    <w:rsid w:val="34EB675E"/>
    <w:rsid w:val="34ED1C61"/>
    <w:rsid w:val="34ED54E4"/>
    <w:rsid w:val="34EE2F66"/>
    <w:rsid w:val="34EE76E2"/>
    <w:rsid w:val="34EF0750"/>
    <w:rsid w:val="34EF09E7"/>
    <w:rsid w:val="34EF2BE5"/>
    <w:rsid w:val="34EF5164"/>
    <w:rsid w:val="34F00667"/>
    <w:rsid w:val="34F13EEA"/>
    <w:rsid w:val="34F373ED"/>
    <w:rsid w:val="34F43DE1"/>
    <w:rsid w:val="34F4706D"/>
    <w:rsid w:val="34F528F0"/>
    <w:rsid w:val="34F60372"/>
    <w:rsid w:val="34F62570"/>
    <w:rsid w:val="34F65EF8"/>
    <w:rsid w:val="34F671ED"/>
    <w:rsid w:val="34F768D2"/>
    <w:rsid w:val="34F812F7"/>
    <w:rsid w:val="34F85693"/>
    <w:rsid w:val="34F90010"/>
    <w:rsid w:val="34F96D78"/>
    <w:rsid w:val="34FA47FA"/>
    <w:rsid w:val="34FB1589"/>
    <w:rsid w:val="34FB227B"/>
    <w:rsid w:val="34FB69F8"/>
    <w:rsid w:val="34FC2127"/>
    <w:rsid w:val="34FE3200"/>
    <w:rsid w:val="34FE36A0"/>
    <w:rsid w:val="34FE797D"/>
    <w:rsid w:val="34FF0C81"/>
    <w:rsid w:val="35004C19"/>
    <w:rsid w:val="35010901"/>
    <w:rsid w:val="35021C06"/>
    <w:rsid w:val="35026383"/>
    <w:rsid w:val="35033E04"/>
    <w:rsid w:val="35041886"/>
    <w:rsid w:val="35042256"/>
    <w:rsid w:val="35050C1D"/>
    <w:rsid w:val="3505113E"/>
    <w:rsid w:val="35057307"/>
    <w:rsid w:val="35060391"/>
    <w:rsid w:val="350619E7"/>
    <w:rsid w:val="35064D89"/>
    <w:rsid w:val="3507028C"/>
    <w:rsid w:val="3507608E"/>
    <w:rsid w:val="35083B0F"/>
    <w:rsid w:val="35091591"/>
    <w:rsid w:val="3509378F"/>
    <w:rsid w:val="3509393A"/>
    <w:rsid w:val="350A1211"/>
    <w:rsid w:val="350A7012"/>
    <w:rsid w:val="350B6C92"/>
    <w:rsid w:val="350C2516"/>
    <w:rsid w:val="350C4714"/>
    <w:rsid w:val="350C5C16"/>
    <w:rsid w:val="350D2195"/>
    <w:rsid w:val="350D7F97"/>
    <w:rsid w:val="350E5A19"/>
    <w:rsid w:val="3510699D"/>
    <w:rsid w:val="3511441F"/>
    <w:rsid w:val="351331F9"/>
    <w:rsid w:val="351341A7"/>
    <w:rsid w:val="351346C8"/>
    <w:rsid w:val="35137922"/>
    <w:rsid w:val="351435B0"/>
    <w:rsid w:val="35143766"/>
    <w:rsid w:val="351453A4"/>
    <w:rsid w:val="35152E25"/>
    <w:rsid w:val="35176328"/>
    <w:rsid w:val="35183DAA"/>
    <w:rsid w:val="351975ED"/>
    <w:rsid w:val="351B4D2E"/>
    <w:rsid w:val="351C27B0"/>
    <w:rsid w:val="351D20DF"/>
    <w:rsid w:val="351E5CB3"/>
    <w:rsid w:val="351F21C9"/>
    <w:rsid w:val="351F3735"/>
    <w:rsid w:val="351F381C"/>
    <w:rsid w:val="352041F6"/>
    <w:rsid w:val="352243BE"/>
    <w:rsid w:val="35226619"/>
    <w:rsid w:val="3523213B"/>
    <w:rsid w:val="3524459F"/>
    <w:rsid w:val="35247BBC"/>
    <w:rsid w:val="3525563E"/>
    <w:rsid w:val="352630BF"/>
    <w:rsid w:val="352743C4"/>
    <w:rsid w:val="35284044"/>
    <w:rsid w:val="35292F17"/>
    <w:rsid w:val="352978C7"/>
    <w:rsid w:val="352A7547"/>
    <w:rsid w:val="352B4FC9"/>
    <w:rsid w:val="352C084C"/>
    <w:rsid w:val="352C2A4A"/>
    <w:rsid w:val="352D5BCD"/>
    <w:rsid w:val="352E3D4F"/>
    <w:rsid w:val="352F17D1"/>
    <w:rsid w:val="352F39CF"/>
    <w:rsid w:val="352F7252"/>
    <w:rsid w:val="35300A8B"/>
    <w:rsid w:val="35301450"/>
    <w:rsid w:val="35304CD4"/>
    <w:rsid w:val="35316ED2"/>
    <w:rsid w:val="353201D7"/>
    <w:rsid w:val="353204E8"/>
    <w:rsid w:val="353323D5"/>
    <w:rsid w:val="353431B1"/>
    <w:rsid w:val="353436DA"/>
    <w:rsid w:val="3535115B"/>
    <w:rsid w:val="353648EE"/>
    <w:rsid w:val="35366BDD"/>
    <w:rsid w:val="35370DDB"/>
    <w:rsid w:val="353752C8"/>
    <w:rsid w:val="35385E67"/>
    <w:rsid w:val="3538685D"/>
    <w:rsid w:val="353942DE"/>
    <w:rsid w:val="353A1D60"/>
    <w:rsid w:val="353A55E3"/>
    <w:rsid w:val="353C5263"/>
    <w:rsid w:val="353E2C35"/>
    <w:rsid w:val="353F24BB"/>
    <w:rsid w:val="353F3C69"/>
    <w:rsid w:val="353F61E8"/>
    <w:rsid w:val="354016EB"/>
    <w:rsid w:val="354074ED"/>
    <w:rsid w:val="35414B88"/>
    <w:rsid w:val="35414D4C"/>
    <w:rsid w:val="35425726"/>
    <w:rsid w:val="3543266F"/>
    <w:rsid w:val="35433153"/>
    <w:rsid w:val="35446E64"/>
    <w:rsid w:val="35455B73"/>
    <w:rsid w:val="35457A02"/>
    <w:rsid w:val="354613F6"/>
    <w:rsid w:val="354748F9"/>
    <w:rsid w:val="35476E77"/>
    <w:rsid w:val="35486AF7"/>
    <w:rsid w:val="35492330"/>
    <w:rsid w:val="354924F4"/>
    <w:rsid w:val="35497DFC"/>
    <w:rsid w:val="354A1FFA"/>
    <w:rsid w:val="354B4447"/>
    <w:rsid w:val="354C0D81"/>
    <w:rsid w:val="354C4FE6"/>
    <w:rsid w:val="354C54FD"/>
    <w:rsid w:val="354D536F"/>
    <w:rsid w:val="354D6802"/>
    <w:rsid w:val="354E4C98"/>
    <w:rsid w:val="354F1D05"/>
    <w:rsid w:val="354F34AA"/>
    <w:rsid w:val="354F3660"/>
    <w:rsid w:val="35503F04"/>
    <w:rsid w:val="35505FBC"/>
    <w:rsid w:val="3551083B"/>
    <w:rsid w:val="35511985"/>
    <w:rsid w:val="35515208"/>
    <w:rsid w:val="35527407"/>
    <w:rsid w:val="3553070C"/>
    <w:rsid w:val="35531BEF"/>
    <w:rsid w:val="3555038B"/>
    <w:rsid w:val="35561690"/>
    <w:rsid w:val="35572DDB"/>
    <w:rsid w:val="355748A5"/>
    <w:rsid w:val="35577112"/>
    <w:rsid w:val="35585E1E"/>
    <w:rsid w:val="35585FE3"/>
    <w:rsid w:val="35594813"/>
    <w:rsid w:val="355969BD"/>
    <w:rsid w:val="355A2295"/>
    <w:rsid w:val="355B5B18"/>
    <w:rsid w:val="355B7D16"/>
    <w:rsid w:val="355C3599"/>
    <w:rsid w:val="355D101B"/>
    <w:rsid w:val="355E0C9B"/>
    <w:rsid w:val="355E204D"/>
    <w:rsid w:val="355E6A9D"/>
    <w:rsid w:val="355F1FA0"/>
    <w:rsid w:val="355F671C"/>
    <w:rsid w:val="356035C6"/>
    <w:rsid w:val="35611C20"/>
    <w:rsid w:val="356154A3"/>
    <w:rsid w:val="356276A1"/>
    <w:rsid w:val="35635123"/>
    <w:rsid w:val="3564147F"/>
    <w:rsid w:val="35650626"/>
    <w:rsid w:val="35653EA9"/>
    <w:rsid w:val="35673B29"/>
    <w:rsid w:val="356815AA"/>
    <w:rsid w:val="3568190D"/>
    <w:rsid w:val="356928AF"/>
    <w:rsid w:val="3569702C"/>
    <w:rsid w:val="356A24DE"/>
    <w:rsid w:val="356A2694"/>
    <w:rsid w:val="356C45C3"/>
    <w:rsid w:val="356C7FB1"/>
    <w:rsid w:val="356D12B5"/>
    <w:rsid w:val="356D5A32"/>
    <w:rsid w:val="356F0F35"/>
    <w:rsid w:val="356F47B8"/>
    <w:rsid w:val="35711EBA"/>
    <w:rsid w:val="35717C54"/>
    <w:rsid w:val="35717CBC"/>
    <w:rsid w:val="3572573D"/>
    <w:rsid w:val="357353BD"/>
    <w:rsid w:val="35742745"/>
    <w:rsid w:val="35763E83"/>
    <w:rsid w:val="35764143"/>
    <w:rsid w:val="35771BC5"/>
    <w:rsid w:val="35792B4A"/>
    <w:rsid w:val="35793F0F"/>
    <w:rsid w:val="35795DD6"/>
    <w:rsid w:val="357A05CB"/>
    <w:rsid w:val="357B204A"/>
    <w:rsid w:val="357B604D"/>
    <w:rsid w:val="357C3ACE"/>
    <w:rsid w:val="357F2D68"/>
    <w:rsid w:val="357F4A53"/>
    <w:rsid w:val="3581357E"/>
    <w:rsid w:val="358259D7"/>
    <w:rsid w:val="3583105E"/>
    <w:rsid w:val="35833459"/>
    <w:rsid w:val="35840EDB"/>
    <w:rsid w:val="35856DD3"/>
    <w:rsid w:val="358677AD"/>
    <w:rsid w:val="35887450"/>
    <w:rsid w:val="35891A89"/>
    <w:rsid w:val="35895269"/>
    <w:rsid w:val="35895362"/>
    <w:rsid w:val="358A2628"/>
    <w:rsid w:val="358A2DE4"/>
    <w:rsid w:val="358B5193"/>
    <w:rsid w:val="358C5FA8"/>
    <w:rsid w:val="358C62E7"/>
    <w:rsid w:val="358D75EC"/>
    <w:rsid w:val="358E17EA"/>
    <w:rsid w:val="358E4F55"/>
    <w:rsid w:val="358E5AF3"/>
    <w:rsid w:val="358F2AEF"/>
    <w:rsid w:val="358F726C"/>
    <w:rsid w:val="3590276F"/>
    <w:rsid w:val="359101F0"/>
    <w:rsid w:val="359207AA"/>
    <w:rsid w:val="35925C72"/>
    <w:rsid w:val="359314F5"/>
    <w:rsid w:val="35941175"/>
    <w:rsid w:val="359526FD"/>
    <w:rsid w:val="359549F8"/>
    <w:rsid w:val="35960D13"/>
    <w:rsid w:val="359720FA"/>
    <w:rsid w:val="35977BFB"/>
    <w:rsid w:val="359849D9"/>
    <w:rsid w:val="35987B7B"/>
    <w:rsid w:val="35995577"/>
    <w:rsid w:val="359955FD"/>
    <w:rsid w:val="359A6901"/>
    <w:rsid w:val="359B0B00"/>
    <w:rsid w:val="359B4383"/>
    <w:rsid w:val="359B768F"/>
    <w:rsid w:val="359C6581"/>
    <w:rsid w:val="359E17A7"/>
    <w:rsid w:val="359E5308"/>
    <w:rsid w:val="359F2D89"/>
    <w:rsid w:val="359F7506"/>
    <w:rsid w:val="35A0080B"/>
    <w:rsid w:val="35A2048B"/>
    <w:rsid w:val="35A23D0E"/>
    <w:rsid w:val="35A3178F"/>
    <w:rsid w:val="35A35F0C"/>
    <w:rsid w:val="35A5140F"/>
    <w:rsid w:val="35A52E1A"/>
    <w:rsid w:val="35A66E91"/>
    <w:rsid w:val="35A70196"/>
    <w:rsid w:val="35A70ED9"/>
    <w:rsid w:val="35A80303"/>
    <w:rsid w:val="35A87E15"/>
    <w:rsid w:val="35A93699"/>
    <w:rsid w:val="35A95897"/>
    <w:rsid w:val="35AA111A"/>
    <w:rsid w:val="35AA241A"/>
    <w:rsid w:val="35AA3319"/>
    <w:rsid w:val="35AB0D9A"/>
    <w:rsid w:val="35AB6B9C"/>
    <w:rsid w:val="35AC3B58"/>
    <w:rsid w:val="35AC461D"/>
    <w:rsid w:val="35AD209F"/>
    <w:rsid w:val="35AD429D"/>
    <w:rsid w:val="35AE1D1F"/>
    <w:rsid w:val="35AE50D1"/>
    <w:rsid w:val="35AE7B20"/>
    <w:rsid w:val="35AF5AAB"/>
    <w:rsid w:val="35AF5C6F"/>
    <w:rsid w:val="35AF77A0"/>
    <w:rsid w:val="35B00AA5"/>
    <w:rsid w:val="35B03024"/>
    <w:rsid w:val="35B16527"/>
    <w:rsid w:val="35B30926"/>
    <w:rsid w:val="35B31A2A"/>
    <w:rsid w:val="35B43C28"/>
    <w:rsid w:val="35B450D6"/>
    <w:rsid w:val="35B516AA"/>
    <w:rsid w:val="35B51CDA"/>
    <w:rsid w:val="35B53732"/>
    <w:rsid w:val="35B54F2D"/>
    <w:rsid w:val="35B629AE"/>
    <w:rsid w:val="35B70430"/>
    <w:rsid w:val="35B84CB0"/>
    <w:rsid w:val="35B85EB2"/>
    <w:rsid w:val="35B900B0"/>
    <w:rsid w:val="35B93933"/>
    <w:rsid w:val="35BA13B5"/>
    <w:rsid w:val="35BA5B31"/>
    <w:rsid w:val="35BA5F09"/>
    <w:rsid w:val="35BB6E36"/>
    <w:rsid w:val="35BD0021"/>
    <w:rsid w:val="35BD2339"/>
    <w:rsid w:val="35BD6AB6"/>
    <w:rsid w:val="35BE09FB"/>
    <w:rsid w:val="35BE7DBB"/>
    <w:rsid w:val="35BF159A"/>
    <w:rsid w:val="35BF1FB9"/>
    <w:rsid w:val="35C032BE"/>
    <w:rsid w:val="35C102F5"/>
    <w:rsid w:val="35C10D3F"/>
    <w:rsid w:val="35C12CD7"/>
    <w:rsid w:val="35C12F3E"/>
    <w:rsid w:val="35C15DF1"/>
    <w:rsid w:val="35C209BF"/>
    <w:rsid w:val="35C267C1"/>
    <w:rsid w:val="35C27393"/>
    <w:rsid w:val="35C36430"/>
    <w:rsid w:val="35C41CC4"/>
    <w:rsid w:val="35C43EC2"/>
    <w:rsid w:val="35C44DEE"/>
    <w:rsid w:val="35C4598D"/>
    <w:rsid w:val="35C51944"/>
    <w:rsid w:val="35C57746"/>
    <w:rsid w:val="35C802BA"/>
    <w:rsid w:val="35C806CA"/>
    <w:rsid w:val="35C9034A"/>
    <w:rsid w:val="35C967E8"/>
    <w:rsid w:val="35CA164F"/>
    <w:rsid w:val="35CB2596"/>
    <w:rsid w:val="35CC12CF"/>
    <w:rsid w:val="35CD25D4"/>
    <w:rsid w:val="35CE4D4C"/>
    <w:rsid w:val="35CF2253"/>
    <w:rsid w:val="35CF5088"/>
    <w:rsid w:val="35CF524D"/>
    <w:rsid w:val="35D07CD5"/>
    <w:rsid w:val="35D16601"/>
    <w:rsid w:val="35D20537"/>
    <w:rsid w:val="35D231D8"/>
    <w:rsid w:val="35D26A5B"/>
    <w:rsid w:val="35D30C5A"/>
    <w:rsid w:val="35D35054"/>
    <w:rsid w:val="35D37B7A"/>
    <w:rsid w:val="35D41F5E"/>
    <w:rsid w:val="35D466DB"/>
    <w:rsid w:val="35D65462"/>
    <w:rsid w:val="35D80965"/>
    <w:rsid w:val="35D83F6D"/>
    <w:rsid w:val="35D850E1"/>
    <w:rsid w:val="35D92B63"/>
    <w:rsid w:val="35D94948"/>
    <w:rsid w:val="35D94B0C"/>
    <w:rsid w:val="35D9551E"/>
    <w:rsid w:val="35DB18E9"/>
    <w:rsid w:val="35DB6085"/>
    <w:rsid w:val="35DC736B"/>
    <w:rsid w:val="35DE286E"/>
    <w:rsid w:val="35DE4BD9"/>
    <w:rsid w:val="35DE4F44"/>
    <w:rsid w:val="35DE7FD8"/>
    <w:rsid w:val="35DF02EF"/>
    <w:rsid w:val="35DF0B77"/>
    <w:rsid w:val="35DF434D"/>
    <w:rsid w:val="35E01551"/>
    <w:rsid w:val="35E01715"/>
    <w:rsid w:val="35E022B4"/>
    <w:rsid w:val="35E0307F"/>
    <w:rsid w:val="35E05D71"/>
    <w:rsid w:val="35E11274"/>
    <w:rsid w:val="35E26CF6"/>
    <w:rsid w:val="35E421F9"/>
    <w:rsid w:val="35E57C7A"/>
    <w:rsid w:val="35E6631F"/>
    <w:rsid w:val="35E87898"/>
    <w:rsid w:val="35E96681"/>
    <w:rsid w:val="35EA0E10"/>
    <w:rsid w:val="35EA1EB9"/>
    <w:rsid w:val="35EC7605"/>
    <w:rsid w:val="35ED5087"/>
    <w:rsid w:val="35EE60E8"/>
    <w:rsid w:val="35EF5040"/>
    <w:rsid w:val="35F11CD1"/>
    <w:rsid w:val="35F122A3"/>
    <w:rsid w:val="35F1677D"/>
    <w:rsid w:val="35F2150E"/>
    <w:rsid w:val="35F36F90"/>
    <w:rsid w:val="35F40295"/>
    <w:rsid w:val="35F40894"/>
    <w:rsid w:val="35F44A12"/>
    <w:rsid w:val="35F5126F"/>
    <w:rsid w:val="35F52493"/>
    <w:rsid w:val="35F63798"/>
    <w:rsid w:val="35F75996"/>
    <w:rsid w:val="35F83386"/>
    <w:rsid w:val="35F93F25"/>
    <w:rsid w:val="35F94F74"/>
    <w:rsid w:val="35FA219E"/>
    <w:rsid w:val="35FA48FF"/>
    <w:rsid w:val="35FB1E1E"/>
    <w:rsid w:val="35FB603C"/>
    <w:rsid w:val="35FC0710"/>
    <w:rsid w:val="35FC56A1"/>
    <w:rsid w:val="35FC6BDB"/>
    <w:rsid w:val="35FD5321"/>
    <w:rsid w:val="35FE728D"/>
    <w:rsid w:val="35FF0CF3"/>
    <w:rsid w:val="35FF6626"/>
    <w:rsid w:val="360040A7"/>
    <w:rsid w:val="36011B29"/>
    <w:rsid w:val="3601226B"/>
    <w:rsid w:val="36013D27"/>
    <w:rsid w:val="360175AB"/>
    <w:rsid w:val="360217A9"/>
    <w:rsid w:val="36032AAE"/>
    <w:rsid w:val="3603722A"/>
    <w:rsid w:val="3604052F"/>
    <w:rsid w:val="36044CAC"/>
    <w:rsid w:val="3605272D"/>
    <w:rsid w:val="36065737"/>
    <w:rsid w:val="360658FC"/>
    <w:rsid w:val="36074A7F"/>
    <w:rsid w:val="36075C31"/>
    <w:rsid w:val="360836B2"/>
    <w:rsid w:val="36086E75"/>
    <w:rsid w:val="36091134"/>
    <w:rsid w:val="3609784F"/>
    <w:rsid w:val="360A03EE"/>
    <w:rsid w:val="360A2438"/>
    <w:rsid w:val="360A35C3"/>
    <w:rsid w:val="360B29CC"/>
    <w:rsid w:val="360B4637"/>
    <w:rsid w:val="360C20B8"/>
    <w:rsid w:val="360D33BD"/>
    <w:rsid w:val="360D7B3A"/>
    <w:rsid w:val="360E3C43"/>
    <w:rsid w:val="360F303D"/>
    <w:rsid w:val="360F461D"/>
    <w:rsid w:val="360F68C0"/>
    <w:rsid w:val="36100ABF"/>
    <w:rsid w:val="36113FC2"/>
    <w:rsid w:val="361374C5"/>
    <w:rsid w:val="36144F46"/>
    <w:rsid w:val="361529C8"/>
    <w:rsid w:val="361613EB"/>
    <w:rsid w:val="36173CCD"/>
    <w:rsid w:val="3618394C"/>
    <w:rsid w:val="36186477"/>
    <w:rsid w:val="361913CE"/>
    <w:rsid w:val="36193EDC"/>
    <w:rsid w:val="36194C51"/>
    <w:rsid w:val="361971D0"/>
    <w:rsid w:val="361B0154"/>
    <w:rsid w:val="361B39BB"/>
    <w:rsid w:val="361B3EDC"/>
    <w:rsid w:val="361B48D1"/>
    <w:rsid w:val="361C2353"/>
    <w:rsid w:val="361F010B"/>
    <w:rsid w:val="361F32D7"/>
    <w:rsid w:val="361F6B5B"/>
    <w:rsid w:val="36200AE6"/>
    <w:rsid w:val="3621205E"/>
    <w:rsid w:val="36227ADF"/>
    <w:rsid w:val="36242897"/>
    <w:rsid w:val="36250A64"/>
    <w:rsid w:val="362551E1"/>
    <w:rsid w:val="36266C69"/>
    <w:rsid w:val="362706E4"/>
    <w:rsid w:val="36273F67"/>
    <w:rsid w:val="36286165"/>
    <w:rsid w:val="36291668"/>
    <w:rsid w:val="3629746A"/>
    <w:rsid w:val="362A4EEC"/>
    <w:rsid w:val="362A5FE2"/>
    <w:rsid w:val="362A70EA"/>
    <w:rsid w:val="362B296D"/>
    <w:rsid w:val="362D006F"/>
    <w:rsid w:val="362E305B"/>
    <w:rsid w:val="362E5AF0"/>
    <w:rsid w:val="362F3BFA"/>
    <w:rsid w:val="36300FF3"/>
    <w:rsid w:val="36306DF5"/>
    <w:rsid w:val="363122F8"/>
    <w:rsid w:val="363244F6"/>
    <w:rsid w:val="36327D7A"/>
    <w:rsid w:val="36331F78"/>
    <w:rsid w:val="363357FB"/>
    <w:rsid w:val="363366EC"/>
    <w:rsid w:val="3633728A"/>
    <w:rsid w:val="3634327D"/>
    <w:rsid w:val="363479F9"/>
    <w:rsid w:val="36347E29"/>
    <w:rsid w:val="36350CFE"/>
    <w:rsid w:val="3635547B"/>
    <w:rsid w:val="36362EFD"/>
    <w:rsid w:val="3637097E"/>
    <w:rsid w:val="36371D7C"/>
    <w:rsid w:val="36371DF8"/>
    <w:rsid w:val="36371F41"/>
    <w:rsid w:val="36374201"/>
    <w:rsid w:val="36380B2B"/>
    <w:rsid w:val="36393E81"/>
    <w:rsid w:val="363A1903"/>
    <w:rsid w:val="363A4058"/>
    <w:rsid w:val="363A5186"/>
    <w:rsid w:val="363B2C08"/>
    <w:rsid w:val="363B7384"/>
    <w:rsid w:val="363D5FAB"/>
    <w:rsid w:val="363E3B8C"/>
    <w:rsid w:val="363F160E"/>
    <w:rsid w:val="363F5D8A"/>
    <w:rsid w:val="36410A9D"/>
    <w:rsid w:val="3641163C"/>
    <w:rsid w:val="36414B11"/>
    <w:rsid w:val="364221DA"/>
    <w:rsid w:val="36422592"/>
    <w:rsid w:val="36430014"/>
    <w:rsid w:val="36453517"/>
    <w:rsid w:val="36464E91"/>
    <w:rsid w:val="36476A1A"/>
    <w:rsid w:val="36491F1D"/>
    <w:rsid w:val="36496FA8"/>
    <w:rsid w:val="3649799F"/>
    <w:rsid w:val="364A5420"/>
    <w:rsid w:val="364A6DFC"/>
    <w:rsid w:val="364A7982"/>
    <w:rsid w:val="364B035D"/>
    <w:rsid w:val="364B2EA2"/>
    <w:rsid w:val="364D63A5"/>
    <w:rsid w:val="364E1A4C"/>
    <w:rsid w:val="364E3013"/>
    <w:rsid w:val="364E3E27"/>
    <w:rsid w:val="36514DAB"/>
    <w:rsid w:val="3652282D"/>
    <w:rsid w:val="365366A3"/>
    <w:rsid w:val="365537B1"/>
    <w:rsid w:val="36561233"/>
    <w:rsid w:val="36571359"/>
    <w:rsid w:val="36576CB4"/>
    <w:rsid w:val="36581D34"/>
    <w:rsid w:val="36584736"/>
    <w:rsid w:val="365921B8"/>
    <w:rsid w:val="36595A3B"/>
    <w:rsid w:val="365A3471"/>
    <w:rsid w:val="365A34BC"/>
    <w:rsid w:val="365B3E4B"/>
    <w:rsid w:val="365C69BF"/>
    <w:rsid w:val="365D4441"/>
    <w:rsid w:val="365D6127"/>
    <w:rsid w:val="365F40C1"/>
    <w:rsid w:val="365F7944"/>
    <w:rsid w:val="36601B42"/>
    <w:rsid w:val="36612E47"/>
    <w:rsid w:val="366175C4"/>
    <w:rsid w:val="366208C9"/>
    <w:rsid w:val="366215F3"/>
    <w:rsid w:val="36625046"/>
    <w:rsid w:val="36642D30"/>
    <w:rsid w:val="36647360"/>
    <w:rsid w:val="36647880"/>
    <w:rsid w:val="3665184D"/>
    <w:rsid w:val="36653A4C"/>
    <w:rsid w:val="366672CF"/>
    <w:rsid w:val="36676F4F"/>
    <w:rsid w:val="366859E7"/>
    <w:rsid w:val="36692452"/>
    <w:rsid w:val="366C0B20"/>
    <w:rsid w:val="366C0EB3"/>
    <w:rsid w:val="366C1077"/>
    <w:rsid w:val="366C33D7"/>
    <w:rsid w:val="366C6C5A"/>
    <w:rsid w:val="366D0E58"/>
    <w:rsid w:val="366D46DB"/>
    <w:rsid w:val="366E68DA"/>
    <w:rsid w:val="366F7BDE"/>
    <w:rsid w:val="36703B69"/>
    <w:rsid w:val="36703BB7"/>
    <w:rsid w:val="3671332B"/>
    <w:rsid w:val="3671785E"/>
    <w:rsid w:val="36720B63"/>
    <w:rsid w:val="367365E5"/>
    <w:rsid w:val="36744066"/>
    <w:rsid w:val="3674665B"/>
    <w:rsid w:val="36751AE8"/>
    <w:rsid w:val="36756265"/>
    <w:rsid w:val="367573BE"/>
    <w:rsid w:val="36770596"/>
    <w:rsid w:val="36771768"/>
    <w:rsid w:val="36774FEB"/>
    <w:rsid w:val="36792EB9"/>
    <w:rsid w:val="36794C6B"/>
    <w:rsid w:val="367A26EC"/>
    <w:rsid w:val="367B3FC7"/>
    <w:rsid w:val="367D6EF4"/>
    <w:rsid w:val="367E4976"/>
    <w:rsid w:val="367E60DF"/>
    <w:rsid w:val="367E6394"/>
    <w:rsid w:val="367F0ED1"/>
    <w:rsid w:val="367F45F6"/>
    <w:rsid w:val="36802077"/>
    <w:rsid w:val="36804BA6"/>
    <w:rsid w:val="36807682"/>
    <w:rsid w:val="36807E79"/>
    <w:rsid w:val="36810032"/>
    <w:rsid w:val="368158FA"/>
    <w:rsid w:val="36820D95"/>
    <w:rsid w:val="36820DFD"/>
    <w:rsid w:val="3682337C"/>
    <w:rsid w:val="3683687F"/>
    <w:rsid w:val="36842149"/>
    <w:rsid w:val="36864425"/>
    <w:rsid w:val="36867804"/>
    <w:rsid w:val="36871A02"/>
    <w:rsid w:val="3689653D"/>
    <w:rsid w:val="368A2987"/>
    <w:rsid w:val="368A620A"/>
    <w:rsid w:val="368A6F17"/>
    <w:rsid w:val="368B0408"/>
    <w:rsid w:val="368C5E8A"/>
    <w:rsid w:val="368D049B"/>
    <w:rsid w:val="368E138D"/>
    <w:rsid w:val="368E4C10"/>
    <w:rsid w:val="368F25A7"/>
    <w:rsid w:val="368F2692"/>
    <w:rsid w:val="368F6E0E"/>
    <w:rsid w:val="36900113"/>
    <w:rsid w:val="36904890"/>
    <w:rsid w:val="36912311"/>
    <w:rsid w:val="36913CE5"/>
    <w:rsid w:val="36915B95"/>
    <w:rsid w:val="36923549"/>
    <w:rsid w:val="369246BF"/>
    <w:rsid w:val="36927D93"/>
    <w:rsid w:val="36931098"/>
    <w:rsid w:val="36935099"/>
    <w:rsid w:val="36940D18"/>
    <w:rsid w:val="369467D6"/>
    <w:rsid w:val="36946B19"/>
    <w:rsid w:val="3695459B"/>
    <w:rsid w:val="3696421B"/>
    <w:rsid w:val="36967D4F"/>
    <w:rsid w:val="36971C9C"/>
    <w:rsid w:val="3698771E"/>
    <w:rsid w:val="36992FA1"/>
    <w:rsid w:val="3699519F"/>
    <w:rsid w:val="369A0A23"/>
    <w:rsid w:val="369A2A06"/>
    <w:rsid w:val="369A64A4"/>
    <w:rsid w:val="369B06A2"/>
    <w:rsid w:val="369B35A4"/>
    <w:rsid w:val="369D3BA6"/>
    <w:rsid w:val="369D7429"/>
    <w:rsid w:val="369E0A48"/>
    <w:rsid w:val="369E1627"/>
    <w:rsid w:val="369F70A9"/>
    <w:rsid w:val="36A125AC"/>
    <w:rsid w:val="36A15E2F"/>
    <w:rsid w:val="36A1760F"/>
    <w:rsid w:val="36A238B1"/>
    <w:rsid w:val="36A31332"/>
    <w:rsid w:val="36A31726"/>
    <w:rsid w:val="36A35AAF"/>
    <w:rsid w:val="36A42101"/>
    <w:rsid w:val="36A422C5"/>
    <w:rsid w:val="36A43530"/>
    <w:rsid w:val="36A52C9F"/>
    <w:rsid w:val="36A54835"/>
    <w:rsid w:val="36A622B7"/>
    <w:rsid w:val="36A62FCB"/>
    <w:rsid w:val="36A77D38"/>
    <w:rsid w:val="36A84F7B"/>
    <w:rsid w:val="36A857BA"/>
    <w:rsid w:val="36A9323B"/>
    <w:rsid w:val="36A95791"/>
    <w:rsid w:val="36A95955"/>
    <w:rsid w:val="36AA0CBD"/>
    <w:rsid w:val="36AA5455"/>
    <w:rsid w:val="36AA6330"/>
    <w:rsid w:val="36AB673F"/>
    <w:rsid w:val="36AC33DB"/>
    <w:rsid w:val="36AC41C0"/>
    <w:rsid w:val="36AC78A9"/>
    <w:rsid w:val="36AD1C42"/>
    <w:rsid w:val="36B02BC6"/>
    <w:rsid w:val="36B23B4B"/>
    <w:rsid w:val="36B24676"/>
    <w:rsid w:val="36B260C9"/>
    <w:rsid w:val="36B35215"/>
    <w:rsid w:val="36B45BEF"/>
    <w:rsid w:val="36B62551"/>
    <w:rsid w:val="36B67168"/>
    <w:rsid w:val="36B75FBF"/>
    <w:rsid w:val="36B77FD3"/>
    <w:rsid w:val="36B85A54"/>
    <w:rsid w:val="36B9703B"/>
    <w:rsid w:val="36BA0F57"/>
    <w:rsid w:val="36BB29BD"/>
    <w:rsid w:val="36BB69D9"/>
    <w:rsid w:val="36BC3397"/>
    <w:rsid w:val="36BD0C45"/>
    <w:rsid w:val="36BE795E"/>
    <w:rsid w:val="36BF53DF"/>
    <w:rsid w:val="36C06A28"/>
    <w:rsid w:val="36C14165"/>
    <w:rsid w:val="36C175C6"/>
    <w:rsid w:val="36C21BE7"/>
    <w:rsid w:val="36C33DE5"/>
    <w:rsid w:val="36C41867"/>
    <w:rsid w:val="36C572E8"/>
    <w:rsid w:val="36C62E1B"/>
    <w:rsid w:val="36C727EB"/>
    <w:rsid w:val="36C737F5"/>
    <w:rsid w:val="36C7606F"/>
    <w:rsid w:val="36C767E4"/>
    <w:rsid w:val="36C80DD6"/>
    <w:rsid w:val="36C84394"/>
    <w:rsid w:val="36CA3770"/>
    <w:rsid w:val="36CA6FF3"/>
    <w:rsid w:val="36CB4A75"/>
    <w:rsid w:val="36CB704A"/>
    <w:rsid w:val="36CC24F7"/>
    <w:rsid w:val="36CC46F5"/>
    <w:rsid w:val="36CD7F78"/>
    <w:rsid w:val="36CE59FA"/>
    <w:rsid w:val="36CF347B"/>
    <w:rsid w:val="36D026DB"/>
    <w:rsid w:val="36D1697E"/>
    <w:rsid w:val="36D21E81"/>
    <w:rsid w:val="36D24400"/>
    <w:rsid w:val="36D265FE"/>
    <w:rsid w:val="36D34080"/>
    <w:rsid w:val="36D37903"/>
    <w:rsid w:val="36D45384"/>
    <w:rsid w:val="36D55BA7"/>
    <w:rsid w:val="36D57583"/>
    <w:rsid w:val="36D60888"/>
    <w:rsid w:val="36D63AD4"/>
    <w:rsid w:val="36D63E3F"/>
    <w:rsid w:val="36D72A86"/>
    <w:rsid w:val="36D76309"/>
    <w:rsid w:val="36D80507"/>
    <w:rsid w:val="36D82130"/>
    <w:rsid w:val="36D9180C"/>
    <w:rsid w:val="36DA728E"/>
    <w:rsid w:val="36DB4D0F"/>
    <w:rsid w:val="36DC334F"/>
    <w:rsid w:val="36DC6F0E"/>
    <w:rsid w:val="36DD0212"/>
    <w:rsid w:val="36DD498F"/>
    <w:rsid w:val="36DE2411"/>
    <w:rsid w:val="36DF3716"/>
    <w:rsid w:val="36DF7E92"/>
    <w:rsid w:val="36E01197"/>
    <w:rsid w:val="36E13395"/>
    <w:rsid w:val="36E20E17"/>
    <w:rsid w:val="36E3211C"/>
    <w:rsid w:val="36E40AF7"/>
    <w:rsid w:val="36E41D9C"/>
    <w:rsid w:val="36E5185A"/>
    <w:rsid w:val="36E552FC"/>
    <w:rsid w:val="36E5561F"/>
    <w:rsid w:val="36E55F46"/>
    <w:rsid w:val="36E64C78"/>
    <w:rsid w:val="36E66E69"/>
    <w:rsid w:val="36E94D26"/>
    <w:rsid w:val="36E96223"/>
    <w:rsid w:val="36EA1AA7"/>
    <w:rsid w:val="36EA3CA5"/>
    <w:rsid w:val="36EA58C4"/>
    <w:rsid w:val="36EA5A89"/>
    <w:rsid w:val="36EB1726"/>
    <w:rsid w:val="36EB4FAA"/>
    <w:rsid w:val="36EC71A8"/>
    <w:rsid w:val="36ED04AD"/>
    <w:rsid w:val="36ED4C29"/>
    <w:rsid w:val="36ED7BA0"/>
    <w:rsid w:val="36EE26AB"/>
    <w:rsid w:val="36EE5F2E"/>
    <w:rsid w:val="36EF0F55"/>
    <w:rsid w:val="36EF1119"/>
    <w:rsid w:val="36F01431"/>
    <w:rsid w:val="36F05BAE"/>
    <w:rsid w:val="36F16142"/>
    <w:rsid w:val="36F210B1"/>
    <w:rsid w:val="36F24934"/>
    <w:rsid w:val="36F323B6"/>
    <w:rsid w:val="36F347AA"/>
    <w:rsid w:val="36F445B4"/>
    <w:rsid w:val="36F445E5"/>
    <w:rsid w:val="36F558B9"/>
    <w:rsid w:val="36F666FD"/>
    <w:rsid w:val="36F82FBB"/>
    <w:rsid w:val="36F8683E"/>
    <w:rsid w:val="36F87E3A"/>
    <w:rsid w:val="36F909D9"/>
    <w:rsid w:val="36F90A3C"/>
    <w:rsid w:val="36FA64BE"/>
    <w:rsid w:val="36FB19C1"/>
    <w:rsid w:val="36FB3F3F"/>
    <w:rsid w:val="36FC5244"/>
    <w:rsid w:val="36FD2CC6"/>
    <w:rsid w:val="36FD4EC4"/>
    <w:rsid w:val="36FE0747"/>
    <w:rsid w:val="36FE2945"/>
    <w:rsid w:val="36FF03C7"/>
    <w:rsid w:val="36FF4C08"/>
    <w:rsid w:val="37003C4A"/>
    <w:rsid w:val="370116CC"/>
    <w:rsid w:val="37013421"/>
    <w:rsid w:val="3702134C"/>
    <w:rsid w:val="3702714D"/>
    <w:rsid w:val="3703155C"/>
    <w:rsid w:val="37040C72"/>
    <w:rsid w:val="37040E86"/>
    <w:rsid w:val="3704484F"/>
    <w:rsid w:val="370522D0"/>
    <w:rsid w:val="37055B53"/>
    <w:rsid w:val="370635D5"/>
    <w:rsid w:val="37067D52"/>
    <w:rsid w:val="37071057"/>
    <w:rsid w:val="37094303"/>
    <w:rsid w:val="370B587C"/>
    <w:rsid w:val="370B7A5D"/>
    <w:rsid w:val="370C1C5B"/>
    <w:rsid w:val="370C54DE"/>
    <w:rsid w:val="370C65DF"/>
    <w:rsid w:val="370D6FB9"/>
    <w:rsid w:val="3711264A"/>
    <w:rsid w:val="371232F8"/>
    <w:rsid w:val="371273E8"/>
    <w:rsid w:val="37134E69"/>
    <w:rsid w:val="371428EB"/>
    <w:rsid w:val="3715036C"/>
    <w:rsid w:val="371766B4"/>
    <w:rsid w:val="37187417"/>
    <w:rsid w:val="37196D72"/>
    <w:rsid w:val="371A47F4"/>
    <w:rsid w:val="371B136A"/>
    <w:rsid w:val="371C1F09"/>
    <w:rsid w:val="371C2AA8"/>
    <w:rsid w:val="371D31FA"/>
    <w:rsid w:val="371D5E83"/>
    <w:rsid w:val="371E4021"/>
    <w:rsid w:val="371F4BBF"/>
    <w:rsid w:val="371F66FD"/>
    <w:rsid w:val="37211C00"/>
    <w:rsid w:val="37226814"/>
    <w:rsid w:val="37227682"/>
    <w:rsid w:val="37236633"/>
    <w:rsid w:val="37240250"/>
    <w:rsid w:val="37242B85"/>
    <w:rsid w:val="37250DEE"/>
    <w:rsid w:val="37253E8A"/>
    <w:rsid w:val="3726190B"/>
    <w:rsid w:val="37273B0A"/>
    <w:rsid w:val="3728158B"/>
    <w:rsid w:val="37284E0F"/>
    <w:rsid w:val="3729447F"/>
    <w:rsid w:val="372A0312"/>
    <w:rsid w:val="372A42BA"/>
    <w:rsid w:val="372C7F91"/>
    <w:rsid w:val="372D6F71"/>
    <w:rsid w:val="372F0F16"/>
    <w:rsid w:val="372F4799"/>
    <w:rsid w:val="37306998"/>
    <w:rsid w:val="37311C27"/>
    <w:rsid w:val="37314419"/>
    <w:rsid w:val="37317C9C"/>
    <w:rsid w:val="37323E3D"/>
    <w:rsid w:val="3733539E"/>
    <w:rsid w:val="3733791C"/>
    <w:rsid w:val="37342E1F"/>
    <w:rsid w:val="373566A3"/>
    <w:rsid w:val="37371BA6"/>
    <w:rsid w:val="37381826"/>
    <w:rsid w:val="37387627"/>
    <w:rsid w:val="373972A7"/>
    <w:rsid w:val="37397DA9"/>
    <w:rsid w:val="373A2B2A"/>
    <w:rsid w:val="373A4D29"/>
    <w:rsid w:val="373B1322"/>
    <w:rsid w:val="373B27AA"/>
    <w:rsid w:val="373B602E"/>
    <w:rsid w:val="373C022C"/>
    <w:rsid w:val="373D2A5F"/>
    <w:rsid w:val="373E204D"/>
    <w:rsid w:val="373E6FB2"/>
    <w:rsid w:val="373F4A34"/>
    <w:rsid w:val="374049B2"/>
    <w:rsid w:val="374146B4"/>
    <w:rsid w:val="37415715"/>
    <w:rsid w:val="374259B8"/>
    <w:rsid w:val="37437BB7"/>
    <w:rsid w:val="37440EBB"/>
    <w:rsid w:val="37445638"/>
    <w:rsid w:val="37445639"/>
    <w:rsid w:val="37447668"/>
    <w:rsid w:val="37460B3B"/>
    <w:rsid w:val="374643BF"/>
    <w:rsid w:val="37471E40"/>
    <w:rsid w:val="3748403E"/>
    <w:rsid w:val="37493898"/>
    <w:rsid w:val="374A2DC5"/>
    <w:rsid w:val="374A7542"/>
    <w:rsid w:val="374B0846"/>
    <w:rsid w:val="374C04C6"/>
    <w:rsid w:val="374C62C8"/>
    <w:rsid w:val="374D3D49"/>
    <w:rsid w:val="374D5F48"/>
    <w:rsid w:val="374E39C9"/>
    <w:rsid w:val="374E6F28"/>
    <w:rsid w:val="374F07A2"/>
    <w:rsid w:val="374F724D"/>
    <w:rsid w:val="374F7AC7"/>
    <w:rsid w:val="37504CCE"/>
    <w:rsid w:val="37512750"/>
    <w:rsid w:val="375201D1"/>
    <w:rsid w:val="37521A1A"/>
    <w:rsid w:val="37541156"/>
    <w:rsid w:val="375436D4"/>
    <w:rsid w:val="375458D3"/>
    <w:rsid w:val="37554894"/>
    <w:rsid w:val="37576857"/>
    <w:rsid w:val="375842D9"/>
    <w:rsid w:val="37587B5C"/>
    <w:rsid w:val="375909AC"/>
    <w:rsid w:val="37590D17"/>
    <w:rsid w:val="37591D5A"/>
    <w:rsid w:val="375A305F"/>
    <w:rsid w:val="375A77DC"/>
    <w:rsid w:val="375A7F6A"/>
    <w:rsid w:val="375B0AE1"/>
    <w:rsid w:val="375B525D"/>
    <w:rsid w:val="375B6C9C"/>
    <w:rsid w:val="375C12D9"/>
    <w:rsid w:val="375C149E"/>
    <w:rsid w:val="375C6562"/>
    <w:rsid w:val="375D0761"/>
    <w:rsid w:val="375D3FE4"/>
    <w:rsid w:val="375E61E2"/>
    <w:rsid w:val="375F74E7"/>
    <w:rsid w:val="376016E5"/>
    <w:rsid w:val="37604154"/>
    <w:rsid w:val="376129EA"/>
    <w:rsid w:val="37614B2E"/>
    <w:rsid w:val="37617167"/>
    <w:rsid w:val="3762046C"/>
    <w:rsid w:val="37624BE8"/>
    <w:rsid w:val="37635EED"/>
    <w:rsid w:val="376400EB"/>
    <w:rsid w:val="3764396F"/>
    <w:rsid w:val="37647620"/>
    <w:rsid w:val="376501BF"/>
    <w:rsid w:val="376513F0"/>
    <w:rsid w:val="3765344A"/>
    <w:rsid w:val="376535EE"/>
    <w:rsid w:val="37666E72"/>
    <w:rsid w:val="376736A9"/>
    <w:rsid w:val="37673BCA"/>
    <w:rsid w:val="37676AF2"/>
    <w:rsid w:val="376822D6"/>
    <w:rsid w:val="37682375"/>
    <w:rsid w:val="37682C68"/>
    <w:rsid w:val="37684573"/>
    <w:rsid w:val="37691FF5"/>
    <w:rsid w:val="376A384F"/>
    <w:rsid w:val="376A5878"/>
    <w:rsid w:val="376B0578"/>
    <w:rsid w:val="376B26E3"/>
    <w:rsid w:val="376B32F9"/>
    <w:rsid w:val="376C0D7B"/>
    <w:rsid w:val="376C2F79"/>
    <w:rsid w:val="376C4DC8"/>
    <w:rsid w:val="376C67FD"/>
    <w:rsid w:val="376D09FB"/>
    <w:rsid w:val="376D427E"/>
    <w:rsid w:val="376D5966"/>
    <w:rsid w:val="376E1D00"/>
    <w:rsid w:val="376F3EFE"/>
    <w:rsid w:val="376F7781"/>
    <w:rsid w:val="376F7A7E"/>
    <w:rsid w:val="3770061D"/>
    <w:rsid w:val="37705203"/>
    <w:rsid w:val="37717401"/>
    <w:rsid w:val="37720706"/>
    <w:rsid w:val="3775168B"/>
    <w:rsid w:val="37764687"/>
    <w:rsid w:val="3776710C"/>
    <w:rsid w:val="3778260F"/>
    <w:rsid w:val="377B7D18"/>
    <w:rsid w:val="377B7EDC"/>
    <w:rsid w:val="377C1015"/>
    <w:rsid w:val="377D1E2F"/>
    <w:rsid w:val="377D1FF4"/>
    <w:rsid w:val="377D6A97"/>
    <w:rsid w:val="377E29CE"/>
    <w:rsid w:val="377E3C25"/>
    <w:rsid w:val="377F1F9A"/>
    <w:rsid w:val="37807A1C"/>
    <w:rsid w:val="3781549D"/>
    <w:rsid w:val="37825684"/>
    <w:rsid w:val="378309A0"/>
    <w:rsid w:val="37846422"/>
    <w:rsid w:val="37851925"/>
    <w:rsid w:val="378571E0"/>
    <w:rsid w:val="37857C22"/>
    <w:rsid w:val="378673A6"/>
    <w:rsid w:val="37870D15"/>
    <w:rsid w:val="37874E28"/>
    <w:rsid w:val="378816EF"/>
    <w:rsid w:val="3789032B"/>
    <w:rsid w:val="378A2E2C"/>
    <w:rsid w:val="378B4569"/>
    <w:rsid w:val="378C12B0"/>
    <w:rsid w:val="378C4B33"/>
    <w:rsid w:val="378C4D7F"/>
    <w:rsid w:val="378C70B1"/>
    <w:rsid w:val="378D25B5"/>
    <w:rsid w:val="378D591E"/>
    <w:rsid w:val="378E0036"/>
    <w:rsid w:val="378F6E97"/>
    <w:rsid w:val="37903539"/>
    <w:rsid w:val="37907CB6"/>
    <w:rsid w:val="37921173"/>
    <w:rsid w:val="379231B9"/>
    <w:rsid w:val="37930C3B"/>
    <w:rsid w:val="37931D11"/>
    <w:rsid w:val="37941F3F"/>
    <w:rsid w:val="379426EC"/>
    <w:rsid w:val="3795001A"/>
    <w:rsid w:val="3795413E"/>
    <w:rsid w:val="37972EC4"/>
    <w:rsid w:val="3797463F"/>
    <w:rsid w:val="37974803"/>
    <w:rsid w:val="37980946"/>
    <w:rsid w:val="379850C2"/>
    <w:rsid w:val="37992B44"/>
    <w:rsid w:val="379A74B9"/>
    <w:rsid w:val="379B18CA"/>
    <w:rsid w:val="379B6047"/>
    <w:rsid w:val="379B7E94"/>
    <w:rsid w:val="379C086E"/>
    <w:rsid w:val="379C154A"/>
    <w:rsid w:val="379C734C"/>
    <w:rsid w:val="379D140C"/>
    <w:rsid w:val="379D4DCD"/>
    <w:rsid w:val="379D6FCC"/>
    <w:rsid w:val="379E1FAB"/>
    <w:rsid w:val="379E284F"/>
    <w:rsid w:val="379E4A4D"/>
    <w:rsid w:val="379F02D0"/>
    <w:rsid w:val="379F24CF"/>
    <w:rsid w:val="37A05D52"/>
    <w:rsid w:val="37A07F50"/>
    <w:rsid w:val="37A21255"/>
    <w:rsid w:val="37A2419B"/>
    <w:rsid w:val="37A24506"/>
    <w:rsid w:val="37A246BB"/>
    <w:rsid w:val="37A24C61"/>
    <w:rsid w:val="37A36CD7"/>
    <w:rsid w:val="37A4078E"/>
    <w:rsid w:val="37A429AC"/>
    <w:rsid w:val="37A543D8"/>
    <w:rsid w:val="37A61E5A"/>
    <w:rsid w:val="37A656DD"/>
    <w:rsid w:val="37A67753"/>
    <w:rsid w:val="37A70CCC"/>
    <w:rsid w:val="37A7315E"/>
    <w:rsid w:val="37A8186B"/>
    <w:rsid w:val="37A8535D"/>
    <w:rsid w:val="37A96661"/>
    <w:rsid w:val="37AA0860"/>
    <w:rsid w:val="37AA6F13"/>
    <w:rsid w:val="37AB1B65"/>
    <w:rsid w:val="37AB37BE"/>
    <w:rsid w:val="37AB62E1"/>
    <w:rsid w:val="37AC4521"/>
    <w:rsid w:val="37AD5068"/>
    <w:rsid w:val="37AE2AE9"/>
    <w:rsid w:val="37AF6474"/>
    <w:rsid w:val="37B05FEC"/>
    <w:rsid w:val="37B101EB"/>
    <w:rsid w:val="37B179ED"/>
    <w:rsid w:val="37B214EF"/>
    <w:rsid w:val="37B248D1"/>
    <w:rsid w:val="37B25C6C"/>
    <w:rsid w:val="37B36F71"/>
    <w:rsid w:val="37B41B04"/>
    <w:rsid w:val="37B46BF1"/>
    <w:rsid w:val="37B52474"/>
    <w:rsid w:val="37B54672"/>
    <w:rsid w:val="37B620F4"/>
    <w:rsid w:val="37B63DE0"/>
    <w:rsid w:val="37B67EF6"/>
    <w:rsid w:val="37B75977"/>
    <w:rsid w:val="37B77B75"/>
    <w:rsid w:val="37B833F9"/>
    <w:rsid w:val="37B85195"/>
    <w:rsid w:val="37B855F7"/>
    <w:rsid w:val="37B90E7A"/>
    <w:rsid w:val="37B95EF8"/>
    <w:rsid w:val="37BA0AFA"/>
    <w:rsid w:val="37BB437D"/>
    <w:rsid w:val="37BB657C"/>
    <w:rsid w:val="37BB7471"/>
    <w:rsid w:val="37BC1DFF"/>
    <w:rsid w:val="37BC3FFD"/>
    <w:rsid w:val="37BC7880"/>
    <w:rsid w:val="37BD0825"/>
    <w:rsid w:val="37BD09EA"/>
    <w:rsid w:val="37BD5302"/>
    <w:rsid w:val="37BE13C4"/>
    <w:rsid w:val="37BE14C0"/>
    <w:rsid w:val="37BE19E1"/>
    <w:rsid w:val="37BE2D84"/>
    <w:rsid w:val="37BF0805"/>
    <w:rsid w:val="37BF0DEA"/>
    <w:rsid w:val="37BF4AA8"/>
    <w:rsid w:val="37C02A03"/>
    <w:rsid w:val="37C02B01"/>
    <w:rsid w:val="37C06287"/>
    <w:rsid w:val="37C07B1C"/>
    <w:rsid w:val="37C10485"/>
    <w:rsid w:val="37C25F06"/>
    <w:rsid w:val="37C33988"/>
    <w:rsid w:val="37C355F3"/>
    <w:rsid w:val="37C3720B"/>
    <w:rsid w:val="37C46192"/>
    <w:rsid w:val="37C56E8B"/>
    <w:rsid w:val="37C60190"/>
    <w:rsid w:val="37C6490D"/>
    <w:rsid w:val="37C6770B"/>
    <w:rsid w:val="37C678CF"/>
    <w:rsid w:val="37C700E5"/>
    <w:rsid w:val="37C7238E"/>
    <w:rsid w:val="37C75C12"/>
    <w:rsid w:val="37CA3313"/>
    <w:rsid w:val="37CA6B96"/>
    <w:rsid w:val="37CB2F5F"/>
    <w:rsid w:val="37CB4618"/>
    <w:rsid w:val="37CC393A"/>
    <w:rsid w:val="37CD4298"/>
    <w:rsid w:val="37CD7B1B"/>
    <w:rsid w:val="37CE24AF"/>
    <w:rsid w:val="37CE281A"/>
    <w:rsid w:val="37CE559C"/>
    <w:rsid w:val="37CE779B"/>
    <w:rsid w:val="37CF1702"/>
    <w:rsid w:val="37CF521C"/>
    <w:rsid w:val="37D119EB"/>
    <w:rsid w:val="37D41ABC"/>
    <w:rsid w:val="37D474A6"/>
    <w:rsid w:val="37D5265A"/>
    <w:rsid w:val="37D529A9"/>
    <w:rsid w:val="37D6042A"/>
    <w:rsid w:val="37D8392D"/>
    <w:rsid w:val="37D913AF"/>
    <w:rsid w:val="37DB48B2"/>
    <w:rsid w:val="37DB610F"/>
    <w:rsid w:val="37DC2334"/>
    <w:rsid w:val="37DC7264"/>
    <w:rsid w:val="37DC7BBE"/>
    <w:rsid w:val="37DD7DB5"/>
    <w:rsid w:val="37DD7E02"/>
    <w:rsid w:val="37E00298"/>
    <w:rsid w:val="37E167BB"/>
    <w:rsid w:val="37E2423D"/>
    <w:rsid w:val="37E47740"/>
    <w:rsid w:val="37E551C2"/>
    <w:rsid w:val="37E5630E"/>
    <w:rsid w:val="37E62C43"/>
    <w:rsid w:val="37E66CE8"/>
    <w:rsid w:val="37E706C5"/>
    <w:rsid w:val="37E77886"/>
    <w:rsid w:val="37E80261"/>
    <w:rsid w:val="37E93BC8"/>
    <w:rsid w:val="37EA0AA2"/>
    <w:rsid w:val="37EA1649"/>
    <w:rsid w:val="37EB2D52"/>
    <w:rsid w:val="37EB70CB"/>
    <w:rsid w:val="37EC3AB6"/>
    <w:rsid w:val="37EC4B4C"/>
    <w:rsid w:val="37ED004F"/>
    <w:rsid w:val="37ED25CE"/>
    <w:rsid w:val="37EF3553"/>
    <w:rsid w:val="37F065A7"/>
    <w:rsid w:val="37F244D7"/>
    <w:rsid w:val="37F306BF"/>
    <w:rsid w:val="37F31F59"/>
    <w:rsid w:val="37F37D5B"/>
    <w:rsid w:val="37F479DA"/>
    <w:rsid w:val="37F50CDF"/>
    <w:rsid w:val="37F5325E"/>
    <w:rsid w:val="37F5545C"/>
    <w:rsid w:val="37F62EDD"/>
    <w:rsid w:val="37F66761"/>
    <w:rsid w:val="37F7095F"/>
    <w:rsid w:val="37F741E2"/>
    <w:rsid w:val="37F80762"/>
    <w:rsid w:val="37F81C64"/>
    <w:rsid w:val="37F83D4F"/>
    <w:rsid w:val="37F848EE"/>
    <w:rsid w:val="37F863E1"/>
    <w:rsid w:val="37F93E62"/>
    <w:rsid w:val="37F976E5"/>
    <w:rsid w:val="37FA18E4"/>
    <w:rsid w:val="37FA5167"/>
    <w:rsid w:val="37FB2BE8"/>
    <w:rsid w:val="37FB6841"/>
    <w:rsid w:val="37FC066A"/>
    <w:rsid w:val="37FD2868"/>
    <w:rsid w:val="37FF15EF"/>
    <w:rsid w:val="37FF5D6B"/>
    <w:rsid w:val="3802344A"/>
    <w:rsid w:val="38026CF0"/>
    <w:rsid w:val="38033FE9"/>
    <w:rsid w:val="38037FF5"/>
    <w:rsid w:val="380421F3"/>
    <w:rsid w:val="38044B88"/>
    <w:rsid w:val="38045A76"/>
    <w:rsid w:val="380556F6"/>
    <w:rsid w:val="380562C5"/>
    <w:rsid w:val="38060F79"/>
    <w:rsid w:val="38066101"/>
    <w:rsid w:val="3808426D"/>
    <w:rsid w:val="3808447D"/>
    <w:rsid w:val="380940FC"/>
    <w:rsid w:val="380A1B7E"/>
    <w:rsid w:val="380A28CA"/>
    <w:rsid w:val="380B24F4"/>
    <w:rsid w:val="380B4369"/>
    <w:rsid w:val="380B7600"/>
    <w:rsid w:val="380C2D0A"/>
    <w:rsid w:val="380C5081"/>
    <w:rsid w:val="380D6386"/>
    <w:rsid w:val="3810730B"/>
    <w:rsid w:val="38111509"/>
    <w:rsid w:val="38114D8C"/>
    <w:rsid w:val="3813028F"/>
    <w:rsid w:val="38134A0C"/>
    <w:rsid w:val="38137C9C"/>
    <w:rsid w:val="38145D11"/>
    <w:rsid w:val="38151BEF"/>
    <w:rsid w:val="38151DB4"/>
    <w:rsid w:val="38153792"/>
    <w:rsid w:val="38156F95"/>
    <w:rsid w:val="38157F0F"/>
    <w:rsid w:val="38166895"/>
    <w:rsid w:val="3816748C"/>
    <w:rsid w:val="38176374"/>
    <w:rsid w:val="38176C95"/>
    <w:rsid w:val="38180E94"/>
    <w:rsid w:val="38192198"/>
    <w:rsid w:val="381948A5"/>
    <w:rsid w:val="38196915"/>
    <w:rsid w:val="381A4397"/>
    <w:rsid w:val="381A5280"/>
    <w:rsid w:val="381B1E18"/>
    <w:rsid w:val="381C311D"/>
    <w:rsid w:val="381C69BD"/>
    <w:rsid w:val="381D0B9F"/>
    <w:rsid w:val="381D1ED5"/>
    <w:rsid w:val="381D2D9D"/>
    <w:rsid w:val="381D7397"/>
    <w:rsid w:val="381E6620"/>
    <w:rsid w:val="381E7F36"/>
    <w:rsid w:val="381F0910"/>
    <w:rsid w:val="381F40A2"/>
    <w:rsid w:val="38201B23"/>
    <w:rsid w:val="38203D22"/>
    <w:rsid w:val="382117A3"/>
    <w:rsid w:val="38222A28"/>
    <w:rsid w:val="38227225"/>
    <w:rsid w:val="38232AA8"/>
    <w:rsid w:val="38234CA6"/>
    <w:rsid w:val="382501A9"/>
    <w:rsid w:val="38253A2D"/>
    <w:rsid w:val="38260110"/>
    <w:rsid w:val="38265C2B"/>
    <w:rsid w:val="3826627C"/>
    <w:rsid w:val="38267DA4"/>
    <w:rsid w:val="382736AC"/>
    <w:rsid w:val="3828112E"/>
    <w:rsid w:val="38290394"/>
    <w:rsid w:val="38296BB0"/>
    <w:rsid w:val="382A4631"/>
    <w:rsid w:val="382A7EB4"/>
    <w:rsid w:val="382B20B3"/>
    <w:rsid w:val="382B5936"/>
    <w:rsid w:val="382C7B34"/>
    <w:rsid w:val="382D0E39"/>
    <w:rsid w:val="382E3037"/>
    <w:rsid w:val="382E3A24"/>
    <w:rsid w:val="382F433C"/>
    <w:rsid w:val="3830653A"/>
    <w:rsid w:val="383252C1"/>
    <w:rsid w:val="38332D42"/>
    <w:rsid w:val="38333F25"/>
    <w:rsid w:val="383374BF"/>
    <w:rsid w:val="38344F41"/>
    <w:rsid w:val="383511CC"/>
    <w:rsid w:val="383529C2"/>
    <w:rsid w:val="38360444"/>
    <w:rsid w:val="38363CC7"/>
    <w:rsid w:val="38365EC5"/>
    <w:rsid w:val="38371749"/>
    <w:rsid w:val="38373947"/>
    <w:rsid w:val="383813C8"/>
    <w:rsid w:val="383871CA"/>
    <w:rsid w:val="38393E83"/>
    <w:rsid w:val="38396E4A"/>
    <w:rsid w:val="383A26CD"/>
    <w:rsid w:val="383B014F"/>
    <w:rsid w:val="383B234D"/>
    <w:rsid w:val="383C5DD6"/>
    <w:rsid w:val="383C5F9A"/>
    <w:rsid w:val="383D3652"/>
    <w:rsid w:val="383D5850"/>
    <w:rsid w:val="383F08C7"/>
    <w:rsid w:val="38402058"/>
    <w:rsid w:val="38417ADA"/>
    <w:rsid w:val="38422BA3"/>
    <w:rsid w:val="38440A5E"/>
    <w:rsid w:val="38454AF6"/>
    <w:rsid w:val="38454CBB"/>
    <w:rsid w:val="384567DB"/>
    <w:rsid w:val="38465695"/>
    <w:rsid w:val="3847606F"/>
    <w:rsid w:val="38485EB0"/>
    <w:rsid w:val="38486C0E"/>
    <w:rsid w:val="38494EE6"/>
    <w:rsid w:val="384A0187"/>
    <w:rsid w:val="384B03E9"/>
    <w:rsid w:val="384C5E6B"/>
    <w:rsid w:val="384E136E"/>
    <w:rsid w:val="385009BF"/>
    <w:rsid w:val="385122F2"/>
    <w:rsid w:val="38515AF3"/>
    <w:rsid w:val="38547C0B"/>
    <w:rsid w:val="385507AA"/>
    <w:rsid w:val="385641FC"/>
    <w:rsid w:val="3856677A"/>
    <w:rsid w:val="38571C7D"/>
    <w:rsid w:val="38585500"/>
    <w:rsid w:val="385A0A04"/>
    <w:rsid w:val="385A2C02"/>
    <w:rsid w:val="385B0683"/>
    <w:rsid w:val="385C3F07"/>
    <w:rsid w:val="385C6105"/>
    <w:rsid w:val="385D1988"/>
    <w:rsid w:val="385E1608"/>
    <w:rsid w:val="385F275A"/>
    <w:rsid w:val="385F290D"/>
    <w:rsid w:val="386019AE"/>
    <w:rsid w:val="38604B0B"/>
    <w:rsid w:val="386115E2"/>
    <w:rsid w:val="38615E10"/>
    <w:rsid w:val="3862000E"/>
    <w:rsid w:val="38635A90"/>
    <w:rsid w:val="38643511"/>
    <w:rsid w:val="38643535"/>
    <w:rsid w:val="38646D95"/>
    <w:rsid w:val="38650F93"/>
    <w:rsid w:val="386540D4"/>
    <w:rsid w:val="38654816"/>
    <w:rsid w:val="38662298"/>
    <w:rsid w:val="38666A14"/>
    <w:rsid w:val="38674496"/>
    <w:rsid w:val="3868579B"/>
    <w:rsid w:val="3869321C"/>
    <w:rsid w:val="38697999"/>
    <w:rsid w:val="386B2E9C"/>
    <w:rsid w:val="386B671F"/>
    <w:rsid w:val="386C091E"/>
    <w:rsid w:val="386C187C"/>
    <w:rsid w:val="386D639F"/>
    <w:rsid w:val="386E18A2"/>
    <w:rsid w:val="386E2FB9"/>
    <w:rsid w:val="386E3C6A"/>
    <w:rsid w:val="386E3E21"/>
    <w:rsid w:val="386E76A4"/>
    <w:rsid w:val="386F7324"/>
    <w:rsid w:val="38704DA6"/>
    <w:rsid w:val="38712827"/>
    <w:rsid w:val="387202A9"/>
    <w:rsid w:val="38725AAB"/>
    <w:rsid w:val="38735D2A"/>
    <w:rsid w:val="38736485"/>
    <w:rsid w:val="387437AC"/>
    <w:rsid w:val="3875122D"/>
    <w:rsid w:val="3875702F"/>
    <w:rsid w:val="38762532"/>
    <w:rsid w:val="38764AB1"/>
    <w:rsid w:val="38771CDA"/>
    <w:rsid w:val="38774730"/>
    <w:rsid w:val="38777FB4"/>
    <w:rsid w:val="387821B2"/>
    <w:rsid w:val="38797C33"/>
    <w:rsid w:val="387A0F38"/>
    <w:rsid w:val="387A56B5"/>
    <w:rsid w:val="387B3137"/>
    <w:rsid w:val="387B47CC"/>
    <w:rsid w:val="387B69BA"/>
    <w:rsid w:val="387B78CA"/>
    <w:rsid w:val="387C0BB8"/>
    <w:rsid w:val="387C443B"/>
    <w:rsid w:val="387C536A"/>
    <w:rsid w:val="387D1EBD"/>
    <w:rsid w:val="387E7977"/>
    <w:rsid w:val="387F1B3D"/>
    <w:rsid w:val="387F7482"/>
    <w:rsid w:val="38800020"/>
    <w:rsid w:val="38802E42"/>
    <w:rsid w:val="388075BE"/>
    <w:rsid w:val="388108C3"/>
    <w:rsid w:val="388109FB"/>
    <w:rsid w:val="38821599"/>
    <w:rsid w:val="38821F74"/>
    <w:rsid w:val="38830543"/>
    <w:rsid w:val="38841C4D"/>
    <w:rsid w:val="388434EC"/>
    <w:rsid w:val="38845FC5"/>
    <w:rsid w:val="38853A46"/>
    <w:rsid w:val="38864C2A"/>
    <w:rsid w:val="38864D4B"/>
    <w:rsid w:val="38866F49"/>
    <w:rsid w:val="388757C8"/>
    <w:rsid w:val="38883C0B"/>
    <w:rsid w:val="38892B83"/>
    <w:rsid w:val="38895CD0"/>
    <w:rsid w:val="38897ECE"/>
    <w:rsid w:val="388A225D"/>
    <w:rsid w:val="388A3751"/>
    <w:rsid w:val="388A594F"/>
    <w:rsid w:val="388B11D3"/>
    <w:rsid w:val="388B12FA"/>
    <w:rsid w:val="388B33D1"/>
    <w:rsid w:val="388C6C54"/>
    <w:rsid w:val="388D19F8"/>
    <w:rsid w:val="388D46D6"/>
    <w:rsid w:val="388E4356"/>
    <w:rsid w:val="388F1DD7"/>
    <w:rsid w:val="388F2F70"/>
    <w:rsid w:val="388F3B0F"/>
    <w:rsid w:val="389038F8"/>
    <w:rsid w:val="38907859"/>
    <w:rsid w:val="389152DA"/>
    <w:rsid w:val="38925A62"/>
    <w:rsid w:val="38925C27"/>
    <w:rsid w:val="389265DF"/>
    <w:rsid w:val="38934061"/>
    <w:rsid w:val="38941AE2"/>
    <w:rsid w:val="3894435E"/>
    <w:rsid w:val="3894625F"/>
    <w:rsid w:val="38960718"/>
    <w:rsid w:val="38964FE5"/>
    <w:rsid w:val="38972A67"/>
    <w:rsid w:val="389771E3"/>
    <w:rsid w:val="38981C91"/>
    <w:rsid w:val="38984C65"/>
    <w:rsid w:val="3899266B"/>
    <w:rsid w:val="38993FF8"/>
    <w:rsid w:val="389A280A"/>
    <w:rsid w:val="389A2B75"/>
    <w:rsid w:val="389A39EB"/>
    <w:rsid w:val="389B146D"/>
    <w:rsid w:val="389B3DA9"/>
    <w:rsid w:val="389B5BEA"/>
    <w:rsid w:val="389C366B"/>
    <w:rsid w:val="389C6EEF"/>
    <w:rsid w:val="389D10ED"/>
    <w:rsid w:val="389D4970"/>
    <w:rsid w:val="389E23F2"/>
    <w:rsid w:val="389E45F0"/>
    <w:rsid w:val="389E689B"/>
    <w:rsid w:val="38A058F5"/>
    <w:rsid w:val="38A13376"/>
    <w:rsid w:val="38A22FF6"/>
    <w:rsid w:val="38A30A78"/>
    <w:rsid w:val="38A36879"/>
    <w:rsid w:val="38A42ACA"/>
    <w:rsid w:val="38A51D7C"/>
    <w:rsid w:val="38A53668"/>
    <w:rsid w:val="38A65280"/>
    <w:rsid w:val="38A677FE"/>
    <w:rsid w:val="38A74BE1"/>
    <w:rsid w:val="38A76B41"/>
    <w:rsid w:val="38A85780"/>
    <w:rsid w:val="38A96204"/>
    <w:rsid w:val="38AA3C86"/>
    <w:rsid w:val="38AC7189"/>
    <w:rsid w:val="38AD4C0A"/>
    <w:rsid w:val="38AE2389"/>
    <w:rsid w:val="38AE268C"/>
    <w:rsid w:val="38AF010E"/>
    <w:rsid w:val="38AF2F28"/>
    <w:rsid w:val="38AF6970"/>
    <w:rsid w:val="38B13611"/>
    <w:rsid w:val="38B302F9"/>
    <w:rsid w:val="38B35A1A"/>
    <w:rsid w:val="38B36B14"/>
    <w:rsid w:val="38B44595"/>
    <w:rsid w:val="38B51168"/>
    <w:rsid w:val="38B57157"/>
    <w:rsid w:val="38B67CF6"/>
    <w:rsid w:val="38B73617"/>
    <w:rsid w:val="38B74B11"/>
    <w:rsid w:val="38B810AA"/>
    <w:rsid w:val="38B81E0D"/>
    <w:rsid w:val="38B86A98"/>
    <w:rsid w:val="38B927E7"/>
    <w:rsid w:val="38BA649F"/>
    <w:rsid w:val="38BD7423"/>
    <w:rsid w:val="38BE0728"/>
    <w:rsid w:val="38BF03A8"/>
    <w:rsid w:val="38C05153"/>
    <w:rsid w:val="38C05E29"/>
    <w:rsid w:val="38C17F8F"/>
    <w:rsid w:val="38C2096A"/>
    <w:rsid w:val="38C2132C"/>
    <w:rsid w:val="38C2712E"/>
    <w:rsid w:val="38C34BB0"/>
    <w:rsid w:val="38C352E3"/>
    <w:rsid w:val="38C500B3"/>
    <w:rsid w:val="38C52A81"/>
    <w:rsid w:val="38C63620"/>
    <w:rsid w:val="38C67D33"/>
    <w:rsid w:val="38C70CD4"/>
    <w:rsid w:val="38C71038"/>
    <w:rsid w:val="38C757B4"/>
    <w:rsid w:val="38C83236"/>
    <w:rsid w:val="38C9453B"/>
    <w:rsid w:val="38C96112"/>
    <w:rsid w:val="38CA6739"/>
    <w:rsid w:val="38CB7A3E"/>
    <w:rsid w:val="38CC1C3C"/>
    <w:rsid w:val="38CC54BF"/>
    <w:rsid w:val="38CE513F"/>
    <w:rsid w:val="38CF6444"/>
    <w:rsid w:val="38D03EC5"/>
    <w:rsid w:val="38D11947"/>
    <w:rsid w:val="38D160C4"/>
    <w:rsid w:val="38D23B45"/>
    <w:rsid w:val="38D273C9"/>
    <w:rsid w:val="38D315C7"/>
    <w:rsid w:val="38D34FF7"/>
    <w:rsid w:val="38D428CC"/>
    <w:rsid w:val="38D43D3D"/>
    <w:rsid w:val="38D44413"/>
    <w:rsid w:val="38D44934"/>
    <w:rsid w:val="38D45B95"/>
    <w:rsid w:val="38D47048"/>
    <w:rsid w:val="38D56870"/>
    <w:rsid w:val="38D67AE9"/>
    <w:rsid w:val="38D77FCD"/>
    <w:rsid w:val="38D812D2"/>
    <w:rsid w:val="38D91DC5"/>
    <w:rsid w:val="38D96D53"/>
    <w:rsid w:val="38DA279F"/>
    <w:rsid w:val="38DA2963"/>
    <w:rsid w:val="38DA2E78"/>
    <w:rsid w:val="38DA47D5"/>
    <w:rsid w:val="38DA69D3"/>
    <w:rsid w:val="38DB3179"/>
    <w:rsid w:val="38DB4455"/>
    <w:rsid w:val="38DC7CD8"/>
    <w:rsid w:val="38DD575A"/>
    <w:rsid w:val="38DE31DB"/>
    <w:rsid w:val="38DF0C5D"/>
    <w:rsid w:val="38DF2E5B"/>
    <w:rsid w:val="38DF66DE"/>
    <w:rsid w:val="38E008DD"/>
    <w:rsid w:val="38E11BE1"/>
    <w:rsid w:val="38E1635E"/>
    <w:rsid w:val="38E20AE5"/>
    <w:rsid w:val="38E27F47"/>
    <w:rsid w:val="38E31861"/>
    <w:rsid w:val="38E505E8"/>
    <w:rsid w:val="38E54D64"/>
    <w:rsid w:val="38E627E6"/>
    <w:rsid w:val="38E73AEB"/>
    <w:rsid w:val="38E8156C"/>
    <w:rsid w:val="38E85CE9"/>
    <w:rsid w:val="38E866DD"/>
    <w:rsid w:val="38E96FEE"/>
    <w:rsid w:val="38EA11EC"/>
    <w:rsid w:val="38EB4E21"/>
    <w:rsid w:val="38EB6C6E"/>
    <w:rsid w:val="38EB6E2C"/>
    <w:rsid w:val="38EC46EF"/>
    <w:rsid w:val="38ED03A5"/>
    <w:rsid w:val="38ED59F4"/>
    <w:rsid w:val="38EE0F44"/>
    <w:rsid w:val="38EE3475"/>
    <w:rsid w:val="38EE7BF2"/>
    <w:rsid w:val="38EF191E"/>
    <w:rsid w:val="38EF1AE2"/>
    <w:rsid w:val="38EF30F5"/>
    <w:rsid w:val="38F022F8"/>
    <w:rsid w:val="38F0305B"/>
    <w:rsid w:val="38F10B41"/>
    <w:rsid w:val="38F12CD3"/>
    <w:rsid w:val="38F165F8"/>
    <w:rsid w:val="38F21E7C"/>
    <w:rsid w:val="38F2407A"/>
    <w:rsid w:val="38F24410"/>
    <w:rsid w:val="38F35173"/>
    <w:rsid w:val="38F42DE1"/>
    <w:rsid w:val="38F4537F"/>
    <w:rsid w:val="38F4757D"/>
    <w:rsid w:val="38F52E00"/>
    <w:rsid w:val="38F54FFF"/>
    <w:rsid w:val="38F60882"/>
    <w:rsid w:val="38F70502"/>
    <w:rsid w:val="38F73D85"/>
    <w:rsid w:val="38F760C4"/>
    <w:rsid w:val="38F76303"/>
    <w:rsid w:val="38F81807"/>
    <w:rsid w:val="38F85F83"/>
    <w:rsid w:val="38F93A05"/>
    <w:rsid w:val="38F94775"/>
    <w:rsid w:val="38F97288"/>
    <w:rsid w:val="38FA1486"/>
    <w:rsid w:val="38FA1D7C"/>
    <w:rsid w:val="38FA3DA1"/>
    <w:rsid w:val="38FB6F08"/>
    <w:rsid w:val="38FC32F5"/>
    <w:rsid w:val="38FD240B"/>
    <w:rsid w:val="38FE3710"/>
    <w:rsid w:val="38FE47A2"/>
    <w:rsid w:val="38FE7E8D"/>
    <w:rsid w:val="38FF40CB"/>
    <w:rsid w:val="39003390"/>
    <w:rsid w:val="39010E11"/>
    <w:rsid w:val="39014694"/>
    <w:rsid w:val="39027EFE"/>
    <w:rsid w:val="3903154F"/>
    <w:rsid w:val="39037B98"/>
    <w:rsid w:val="39045619"/>
    <w:rsid w:val="3905309B"/>
    <w:rsid w:val="39057817"/>
    <w:rsid w:val="3907079C"/>
    <w:rsid w:val="39072D1B"/>
    <w:rsid w:val="3908401F"/>
    <w:rsid w:val="3908412D"/>
    <w:rsid w:val="39091AA1"/>
    <w:rsid w:val="39094CCC"/>
    <w:rsid w:val="390B6DE3"/>
    <w:rsid w:val="390D04A7"/>
    <w:rsid w:val="390D6387"/>
    <w:rsid w:val="390E0D37"/>
    <w:rsid w:val="390E5790"/>
    <w:rsid w:val="390E5F29"/>
    <w:rsid w:val="390F39AA"/>
    <w:rsid w:val="390F4B99"/>
    <w:rsid w:val="39102474"/>
    <w:rsid w:val="39106EAD"/>
    <w:rsid w:val="39113013"/>
    <w:rsid w:val="391223B0"/>
    <w:rsid w:val="3914512A"/>
    <w:rsid w:val="391458B3"/>
    <w:rsid w:val="391666A3"/>
    <w:rsid w:val="391842BA"/>
    <w:rsid w:val="39191195"/>
    <w:rsid w:val="391A2AB5"/>
    <w:rsid w:val="391A77BD"/>
    <w:rsid w:val="391C2CC0"/>
    <w:rsid w:val="391D0432"/>
    <w:rsid w:val="391D0741"/>
    <w:rsid w:val="391D752C"/>
    <w:rsid w:val="391E6AEA"/>
    <w:rsid w:val="391F47BA"/>
    <w:rsid w:val="3920255E"/>
    <w:rsid w:val="39216B01"/>
    <w:rsid w:val="39224BC9"/>
    <w:rsid w:val="392274DB"/>
    <w:rsid w:val="392513D1"/>
    <w:rsid w:val="39255B4E"/>
    <w:rsid w:val="39262192"/>
    <w:rsid w:val="39262D30"/>
    <w:rsid w:val="39266E53"/>
    <w:rsid w:val="392748D4"/>
    <w:rsid w:val="39276AD2"/>
    <w:rsid w:val="39282356"/>
    <w:rsid w:val="39284554"/>
    <w:rsid w:val="392971ED"/>
    <w:rsid w:val="39297DD7"/>
    <w:rsid w:val="392A36AD"/>
    <w:rsid w:val="392A5859"/>
    <w:rsid w:val="392A7A57"/>
    <w:rsid w:val="392B32DA"/>
    <w:rsid w:val="392B54D9"/>
    <w:rsid w:val="392B63C1"/>
    <w:rsid w:val="392C0D5C"/>
    <w:rsid w:val="392C2F5A"/>
    <w:rsid w:val="392D67DD"/>
    <w:rsid w:val="392E425F"/>
    <w:rsid w:val="392E645D"/>
    <w:rsid w:val="392F0EB2"/>
    <w:rsid w:val="392F1CE1"/>
    <w:rsid w:val="392F7762"/>
    <w:rsid w:val="39301960"/>
    <w:rsid w:val="393125F0"/>
    <w:rsid w:val="393206E7"/>
    <w:rsid w:val="39325651"/>
    <w:rsid w:val="393323CA"/>
    <w:rsid w:val="393328E5"/>
    <w:rsid w:val="39343BEA"/>
    <w:rsid w:val="3935166B"/>
    <w:rsid w:val="3936386A"/>
    <w:rsid w:val="393670ED"/>
    <w:rsid w:val="393712EB"/>
    <w:rsid w:val="39374B6F"/>
    <w:rsid w:val="39386D6D"/>
    <w:rsid w:val="393A114C"/>
    <w:rsid w:val="393A2270"/>
    <w:rsid w:val="393B3575"/>
    <w:rsid w:val="393B7CF1"/>
    <w:rsid w:val="393C0FF6"/>
    <w:rsid w:val="393D727C"/>
    <w:rsid w:val="393F1F7B"/>
    <w:rsid w:val="393F49A1"/>
    <w:rsid w:val="393F635E"/>
    <w:rsid w:val="39401BFB"/>
    <w:rsid w:val="39405540"/>
    <w:rsid w:val="394079FC"/>
    <w:rsid w:val="3941547E"/>
    <w:rsid w:val="3941767C"/>
    <w:rsid w:val="394250FE"/>
    <w:rsid w:val="39440601"/>
    <w:rsid w:val="39453E84"/>
    <w:rsid w:val="39461906"/>
    <w:rsid w:val="39463B04"/>
    <w:rsid w:val="39477387"/>
    <w:rsid w:val="39477DDB"/>
    <w:rsid w:val="394836C2"/>
    <w:rsid w:val="39484E09"/>
    <w:rsid w:val="394871E4"/>
    <w:rsid w:val="394878BA"/>
    <w:rsid w:val="3949030C"/>
    <w:rsid w:val="394B380F"/>
    <w:rsid w:val="394B7F8C"/>
    <w:rsid w:val="394C1291"/>
    <w:rsid w:val="394C5A0D"/>
    <w:rsid w:val="394C6378"/>
    <w:rsid w:val="394D2FF3"/>
    <w:rsid w:val="394D44EC"/>
    <w:rsid w:val="394D6D52"/>
    <w:rsid w:val="394E78F1"/>
    <w:rsid w:val="394F2215"/>
    <w:rsid w:val="394F6992"/>
    <w:rsid w:val="39500E6A"/>
    <w:rsid w:val="39507C97"/>
    <w:rsid w:val="39511E95"/>
    <w:rsid w:val="39515718"/>
    <w:rsid w:val="39522F81"/>
    <w:rsid w:val="39530C1B"/>
    <w:rsid w:val="3953395C"/>
    <w:rsid w:val="39535398"/>
    <w:rsid w:val="3954669D"/>
    <w:rsid w:val="39552923"/>
    <w:rsid w:val="39561BA0"/>
    <w:rsid w:val="3956631D"/>
    <w:rsid w:val="39573D9E"/>
    <w:rsid w:val="39577622"/>
    <w:rsid w:val="3958001D"/>
    <w:rsid w:val="395850A3"/>
    <w:rsid w:val="395872A2"/>
    <w:rsid w:val="39592B25"/>
    <w:rsid w:val="39594D23"/>
    <w:rsid w:val="395A05A6"/>
    <w:rsid w:val="395A27A5"/>
    <w:rsid w:val="395B0226"/>
    <w:rsid w:val="395C3AA9"/>
    <w:rsid w:val="395C5CA8"/>
    <w:rsid w:val="395D152B"/>
    <w:rsid w:val="395D2841"/>
    <w:rsid w:val="395D3729"/>
    <w:rsid w:val="395E3F7E"/>
    <w:rsid w:val="395E6FAD"/>
    <w:rsid w:val="395F4A2E"/>
    <w:rsid w:val="395F6C2C"/>
    <w:rsid w:val="396024B0"/>
    <w:rsid w:val="396046AE"/>
    <w:rsid w:val="39607F31"/>
    <w:rsid w:val="3961212F"/>
    <w:rsid w:val="396159B3"/>
    <w:rsid w:val="39623434"/>
    <w:rsid w:val="396430B4"/>
    <w:rsid w:val="39644874"/>
    <w:rsid w:val="39644F4B"/>
    <w:rsid w:val="39646937"/>
    <w:rsid w:val="396665B7"/>
    <w:rsid w:val="39674039"/>
    <w:rsid w:val="39682ADB"/>
    <w:rsid w:val="39682C9F"/>
    <w:rsid w:val="3968533E"/>
    <w:rsid w:val="39693679"/>
    <w:rsid w:val="396A0841"/>
    <w:rsid w:val="396A4218"/>
    <w:rsid w:val="396A4FBD"/>
    <w:rsid w:val="396B2A3F"/>
    <w:rsid w:val="396B5955"/>
    <w:rsid w:val="396C3D44"/>
    <w:rsid w:val="396D17C5"/>
    <w:rsid w:val="396D5F42"/>
    <w:rsid w:val="396E7247"/>
    <w:rsid w:val="396F0283"/>
    <w:rsid w:val="396F0447"/>
    <w:rsid w:val="396F1445"/>
    <w:rsid w:val="396F4CC8"/>
    <w:rsid w:val="39700FE6"/>
    <w:rsid w:val="39704948"/>
    <w:rsid w:val="39706EC7"/>
    <w:rsid w:val="39725C4D"/>
    <w:rsid w:val="39745BCE"/>
    <w:rsid w:val="39745F39"/>
    <w:rsid w:val="397460EF"/>
    <w:rsid w:val="3978732C"/>
    <w:rsid w:val="397A06E1"/>
    <w:rsid w:val="397A08A5"/>
    <w:rsid w:val="397B655D"/>
    <w:rsid w:val="397C3FDE"/>
    <w:rsid w:val="397E7CDE"/>
    <w:rsid w:val="397F3F36"/>
    <w:rsid w:val="398029E4"/>
    <w:rsid w:val="39804910"/>
    <w:rsid w:val="39810466"/>
    <w:rsid w:val="39825EE7"/>
    <w:rsid w:val="39833969"/>
    <w:rsid w:val="39843BDD"/>
    <w:rsid w:val="398648EE"/>
    <w:rsid w:val="39866D48"/>
    <w:rsid w:val="3987236F"/>
    <w:rsid w:val="39895872"/>
    <w:rsid w:val="398A32F4"/>
    <w:rsid w:val="398A4394"/>
    <w:rsid w:val="398A6B77"/>
    <w:rsid w:val="398E557D"/>
    <w:rsid w:val="398F2FFF"/>
    <w:rsid w:val="398F777C"/>
    <w:rsid w:val="399003FF"/>
    <w:rsid w:val="39900A80"/>
    <w:rsid w:val="39902C7F"/>
    <w:rsid w:val="39916502"/>
    <w:rsid w:val="3992139A"/>
    <w:rsid w:val="39921977"/>
    <w:rsid w:val="39926182"/>
    <w:rsid w:val="39954F08"/>
    <w:rsid w:val="3996298A"/>
    <w:rsid w:val="39964B88"/>
    <w:rsid w:val="399651CC"/>
    <w:rsid w:val="3997040B"/>
    <w:rsid w:val="3997260A"/>
    <w:rsid w:val="3998008B"/>
    <w:rsid w:val="3998390E"/>
    <w:rsid w:val="39986745"/>
    <w:rsid w:val="39991390"/>
    <w:rsid w:val="39995B0D"/>
    <w:rsid w:val="3999711F"/>
    <w:rsid w:val="399A358E"/>
    <w:rsid w:val="399A7CBE"/>
    <w:rsid w:val="399B0698"/>
    <w:rsid w:val="399B085D"/>
    <w:rsid w:val="399B1010"/>
    <w:rsid w:val="399B4893"/>
    <w:rsid w:val="399C1237"/>
    <w:rsid w:val="399C13FB"/>
    <w:rsid w:val="399C6A91"/>
    <w:rsid w:val="399D4513"/>
    <w:rsid w:val="399E1F94"/>
    <w:rsid w:val="399F3299"/>
    <w:rsid w:val="399F334E"/>
    <w:rsid w:val="399F3513"/>
    <w:rsid w:val="399F7A16"/>
    <w:rsid w:val="39A00D1B"/>
    <w:rsid w:val="39A04924"/>
    <w:rsid w:val="39A05497"/>
    <w:rsid w:val="39A12F19"/>
    <w:rsid w:val="39A1380C"/>
    <w:rsid w:val="39A139C2"/>
    <w:rsid w:val="39A148C7"/>
    <w:rsid w:val="39A1679C"/>
    <w:rsid w:val="39A2421E"/>
    <w:rsid w:val="39A26005"/>
    <w:rsid w:val="39A31C9F"/>
    <w:rsid w:val="39A35031"/>
    <w:rsid w:val="39A3641C"/>
    <w:rsid w:val="39A43E9E"/>
    <w:rsid w:val="39A47721"/>
    <w:rsid w:val="39A5191F"/>
    <w:rsid w:val="39A673A1"/>
    <w:rsid w:val="39A706A6"/>
    <w:rsid w:val="39A71695"/>
    <w:rsid w:val="39A82234"/>
    <w:rsid w:val="39A86127"/>
    <w:rsid w:val="39A90325"/>
    <w:rsid w:val="39A92C0E"/>
    <w:rsid w:val="39A93BA9"/>
    <w:rsid w:val="39A95DA7"/>
    <w:rsid w:val="39AA162A"/>
    <w:rsid w:val="39AB70AC"/>
    <w:rsid w:val="39AD25AF"/>
    <w:rsid w:val="39AD47AD"/>
    <w:rsid w:val="39AD58C4"/>
    <w:rsid w:val="39AE629E"/>
    <w:rsid w:val="39AE7B43"/>
    <w:rsid w:val="39AF5AB2"/>
    <w:rsid w:val="39AF6BE0"/>
    <w:rsid w:val="39AF6E3D"/>
    <w:rsid w:val="39AF7CB0"/>
    <w:rsid w:val="39B0057A"/>
    <w:rsid w:val="39B03534"/>
    <w:rsid w:val="39B05732"/>
    <w:rsid w:val="39B079DC"/>
    <w:rsid w:val="39B16A37"/>
    <w:rsid w:val="39B20C35"/>
    <w:rsid w:val="39B21AF3"/>
    <w:rsid w:val="39B31F3A"/>
    <w:rsid w:val="39B62EBE"/>
    <w:rsid w:val="39B645E5"/>
    <w:rsid w:val="39B74FBF"/>
    <w:rsid w:val="39B750BD"/>
    <w:rsid w:val="39B863C1"/>
    <w:rsid w:val="39B905C0"/>
    <w:rsid w:val="39B93E43"/>
    <w:rsid w:val="39BA18C5"/>
    <w:rsid w:val="39BA6041"/>
    <w:rsid w:val="39BB3AC3"/>
    <w:rsid w:val="39BB7346"/>
    <w:rsid w:val="39BD13BD"/>
    <w:rsid w:val="39BD1F51"/>
    <w:rsid w:val="39BD2849"/>
    <w:rsid w:val="39BD6FC6"/>
    <w:rsid w:val="39BE02CB"/>
    <w:rsid w:val="39BE045B"/>
    <w:rsid w:val="39BE292C"/>
    <w:rsid w:val="39BF3306"/>
    <w:rsid w:val="39BF5D4C"/>
    <w:rsid w:val="39C03EA5"/>
    <w:rsid w:val="39C07F4B"/>
    <w:rsid w:val="39C1124F"/>
    <w:rsid w:val="39C1487F"/>
    <w:rsid w:val="39C159CC"/>
    <w:rsid w:val="39C26CD1"/>
    <w:rsid w:val="39C34753"/>
    <w:rsid w:val="39C36951"/>
    <w:rsid w:val="39C421D4"/>
    <w:rsid w:val="39C443D2"/>
    <w:rsid w:val="39C46996"/>
    <w:rsid w:val="39C46B5B"/>
    <w:rsid w:val="39C576F9"/>
    <w:rsid w:val="39C57C56"/>
    <w:rsid w:val="39C678D5"/>
    <w:rsid w:val="39C72511"/>
    <w:rsid w:val="39C80BDA"/>
    <w:rsid w:val="39C82DD9"/>
    <w:rsid w:val="39C9085A"/>
    <w:rsid w:val="39C92027"/>
    <w:rsid w:val="39CA2D8A"/>
    <w:rsid w:val="39CA4AFD"/>
    <w:rsid w:val="39CA4CB2"/>
    <w:rsid w:val="39CA62DC"/>
    <w:rsid w:val="39CB39E5"/>
    <w:rsid w:val="39CB3D5D"/>
    <w:rsid w:val="39CB4271"/>
    <w:rsid w:val="39CB75E0"/>
    <w:rsid w:val="39CC17DF"/>
    <w:rsid w:val="39CC5062"/>
    <w:rsid w:val="39CD2AE4"/>
    <w:rsid w:val="39CD587C"/>
    <w:rsid w:val="39CE4CE2"/>
    <w:rsid w:val="39CF5FE7"/>
    <w:rsid w:val="39CF6FB9"/>
    <w:rsid w:val="39D03A68"/>
    <w:rsid w:val="39D07993"/>
    <w:rsid w:val="39D15C66"/>
    <w:rsid w:val="39D26F6B"/>
    <w:rsid w:val="39D4246E"/>
    <w:rsid w:val="39D46BEB"/>
    <w:rsid w:val="39D5466D"/>
    <w:rsid w:val="39D733F3"/>
    <w:rsid w:val="39D7459C"/>
    <w:rsid w:val="39D95CDA"/>
    <w:rsid w:val="39DA4378"/>
    <w:rsid w:val="39DA4A0D"/>
    <w:rsid w:val="39DA5780"/>
    <w:rsid w:val="39DA7253"/>
    <w:rsid w:val="39DB1DF9"/>
    <w:rsid w:val="39DB5415"/>
    <w:rsid w:val="39DC787B"/>
    <w:rsid w:val="39DD52FC"/>
    <w:rsid w:val="39DE2D7E"/>
    <w:rsid w:val="39DE703E"/>
    <w:rsid w:val="39DF07FF"/>
    <w:rsid w:val="39E13D03"/>
    <w:rsid w:val="39E249FB"/>
    <w:rsid w:val="39E27206"/>
    <w:rsid w:val="39E34C87"/>
    <w:rsid w:val="39E42709"/>
    <w:rsid w:val="39E43845"/>
    <w:rsid w:val="39E674EC"/>
    <w:rsid w:val="39E81075"/>
    <w:rsid w:val="39E817C8"/>
    <w:rsid w:val="39EA2D41"/>
    <w:rsid w:val="39EA3743"/>
    <w:rsid w:val="39EA4612"/>
    <w:rsid w:val="39ED4E59"/>
    <w:rsid w:val="39ED5597"/>
    <w:rsid w:val="39F01D9F"/>
    <w:rsid w:val="39F21A1E"/>
    <w:rsid w:val="39F252A2"/>
    <w:rsid w:val="39F44F22"/>
    <w:rsid w:val="39F5243C"/>
    <w:rsid w:val="39F529A3"/>
    <w:rsid w:val="39F5707E"/>
    <w:rsid w:val="39F60425"/>
    <w:rsid w:val="39F71729"/>
    <w:rsid w:val="39F83928"/>
    <w:rsid w:val="39F850F3"/>
    <w:rsid w:val="39F852B7"/>
    <w:rsid w:val="39F871AB"/>
    <w:rsid w:val="39F94C2D"/>
    <w:rsid w:val="39F95ACD"/>
    <w:rsid w:val="39FA26AE"/>
    <w:rsid w:val="39FA48AC"/>
    <w:rsid w:val="39FB0130"/>
    <w:rsid w:val="39FB232E"/>
    <w:rsid w:val="39FC5BB1"/>
    <w:rsid w:val="39FC7DAF"/>
    <w:rsid w:val="39FE32B3"/>
    <w:rsid w:val="39FF0D34"/>
    <w:rsid w:val="39FF6B36"/>
    <w:rsid w:val="3A0045B7"/>
    <w:rsid w:val="3A0067B6"/>
    <w:rsid w:val="3A012039"/>
    <w:rsid w:val="3A017ABA"/>
    <w:rsid w:val="3A035551"/>
    <w:rsid w:val="3A03773A"/>
    <w:rsid w:val="3A040A3F"/>
    <w:rsid w:val="3A045F2B"/>
    <w:rsid w:val="3A0550CD"/>
    <w:rsid w:val="3A055438"/>
    <w:rsid w:val="3A055959"/>
    <w:rsid w:val="3A055E7A"/>
    <w:rsid w:val="3A0564C1"/>
    <w:rsid w:val="3A056ACA"/>
    <w:rsid w:val="3A063F42"/>
    <w:rsid w:val="3A0719C4"/>
    <w:rsid w:val="3A073C4A"/>
    <w:rsid w:val="3A076141"/>
    <w:rsid w:val="3A083BC2"/>
    <w:rsid w:val="3A091644"/>
    <w:rsid w:val="3A0A70C5"/>
    <w:rsid w:val="3A0D004A"/>
    <w:rsid w:val="3A0D38CD"/>
    <w:rsid w:val="3A0E134F"/>
    <w:rsid w:val="3A0E4D1E"/>
    <w:rsid w:val="3A0E5ACB"/>
    <w:rsid w:val="3A0F0224"/>
    <w:rsid w:val="3A0F354D"/>
    <w:rsid w:val="3A106F28"/>
    <w:rsid w:val="3A116A50"/>
    <w:rsid w:val="3A127D55"/>
    <w:rsid w:val="3A1302EC"/>
    <w:rsid w:val="3A130E7B"/>
    <w:rsid w:val="3A1379D5"/>
    <w:rsid w:val="3A141A1A"/>
    <w:rsid w:val="3A145456"/>
    <w:rsid w:val="3A146E69"/>
    <w:rsid w:val="3A147C15"/>
    <w:rsid w:val="3A152ED8"/>
    <w:rsid w:val="3A160959"/>
    <w:rsid w:val="3A163157"/>
    <w:rsid w:val="3A16675B"/>
    <w:rsid w:val="3A1741DD"/>
    <w:rsid w:val="3A181C5E"/>
    <w:rsid w:val="3A195161"/>
    <w:rsid w:val="3A1A7360"/>
    <w:rsid w:val="3A1B4DE1"/>
    <w:rsid w:val="3A1B67E7"/>
    <w:rsid w:val="3A1C2863"/>
    <w:rsid w:val="3A1C7386"/>
    <w:rsid w:val="3A1D02E4"/>
    <w:rsid w:val="3A1E08FF"/>
    <w:rsid w:val="3A1E149D"/>
    <w:rsid w:val="3A1E15E9"/>
    <w:rsid w:val="3A1F0E7F"/>
    <w:rsid w:val="3A1F706B"/>
    <w:rsid w:val="3A201269"/>
    <w:rsid w:val="3A202A16"/>
    <w:rsid w:val="3A21256E"/>
    <w:rsid w:val="3A22476C"/>
    <w:rsid w:val="3A230DBA"/>
    <w:rsid w:val="3A234969"/>
    <w:rsid w:val="3A234B2E"/>
    <w:rsid w:val="3A235A71"/>
    <w:rsid w:val="3A2434F2"/>
    <w:rsid w:val="3A247C6F"/>
    <w:rsid w:val="3A250F74"/>
    <w:rsid w:val="3A2556F1"/>
    <w:rsid w:val="3A255EE2"/>
    <w:rsid w:val="3A2669F5"/>
    <w:rsid w:val="3A27051A"/>
    <w:rsid w:val="3A2940F7"/>
    <w:rsid w:val="3A2A53FC"/>
    <w:rsid w:val="3A2A75FA"/>
    <w:rsid w:val="3A2B2E7D"/>
    <w:rsid w:val="3A2B507B"/>
    <w:rsid w:val="3A2D057F"/>
    <w:rsid w:val="3A2D4229"/>
    <w:rsid w:val="3A2D43ED"/>
    <w:rsid w:val="3A2D6380"/>
    <w:rsid w:val="3A2E3E02"/>
    <w:rsid w:val="3A2E6000"/>
    <w:rsid w:val="3A2F3A82"/>
    <w:rsid w:val="3A307305"/>
    <w:rsid w:val="3A314D86"/>
    <w:rsid w:val="3A316F85"/>
    <w:rsid w:val="3A32028A"/>
    <w:rsid w:val="3A3278B9"/>
    <w:rsid w:val="3A330458"/>
    <w:rsid w:val="3A335D0B"/>
    <w:rsid w:val="3A35120E"/>
    <w:rsid w:val="3A354CAF"/>
    <w:rsid w:val="3A35598B"/>
    <w:rsid w:val="3A36340C"/>
    <w:rsid w:val="3A366C90"/>
    <w:rsid w:val="3A374711"/>
    <w:rsid w:val="3A37724F"/>
    <w:rsid w:val="3A382193"/>
    <w:rsid w:val="3A383CAD"/>
    <w:rsid w:val="3A386910"/>
    <w:rsid w:val="3A394391"/>
    <w:rsid w:val="3A394687"/>
    <w:rsid w:val="3A397C14"/>
    <w:rsid w:val="3A3A1E13"/>
    <w:rsid w:val="3A3A5696"/>
    <w:rsid w:val="3A3B3117"/>
    <w:rsid w:val="3A3C1CB0"/>
    <w:rsid w:val="3A3C5316"/>
    <w:rsid w:val="3A3D2D97"/>
    <w:rsid w:val="3A3D40D8"/>
    <w:rsid w:val="3A3D661B"/>
    <w:rsid w:val="3A3D7EDC"/>
    <w:rsid w:val="3A3E08B6"/>
    <w:rsid w:val="3A3E409C"/>
    <w:rsid w:val="3A3F7042"/>
    <w:rsid w:val="3A412809"/>
    <w:rsid w:val="3A415021"/>
    <w:rsid w:val="3A422AA2"/>
    <w:rsid w:val="3A476A38"/>
    <w:rsid w:val="3A476BFD"/>
    <w:rsid w:val="3A476F2A"/>
    <w:rsid w:val="3A47779C"/>
    <w:rsid w:val="3A4875D7"/>
    <w:rsid w:val="3A49242D"/>
    <w:rsid w:val="3A4A7EAF"/>
    <w:rsid w:val="3A4B228D"/>
    <w:rsid w:val="3A4C0E33"/>
    <w:rsid w:val="3A4D1D3F"/>
    <w:rsid w:val="3A4D20AB"/>
    <w:rsid w:val="3A4D6EBA"/>
    <w:rsid w:val="3A4E4336"/>
    <w:rsid w:val="3A4F4F44"/>
    <w:rsid w:val="3A50783A"/>
    <w:rsid w:val="3A5164BC"/>
    <w:rsid w:val="3A5405D4"/>
    <w:rsid w:val="3A546240"/>
    <w:rsid w:val="3A561743"/>
    <w:rsid w:val="3A5626EB"/>
    <w:rsid w:val="3A572A48"/>
    <w:rsid w:val="3A5771C4"/>
    <w:rsid w:val="3A5804C9"/>
    <w:rsid w:val="3A5926C8"/>
    <w:rsid w:val="3A5A39CC"/>
    <w:rsid w:val="3A5A51DD"/>
    <w:rsid w:val="3A5B144E"/>
    <w:rsid w:val="3A5B5BCB"/>
    <w:rsid w:val="3A5C364C"/>
    <w:rsid w:val="3A5C3E46"/>
    <w:rsid w:val="3A5C6756"/>
    <w:rsid w:val="3A5D10CE"/>
    <w:rsid w:val="3A5D1B43"/>
    <w:rsid w:val="3A5D24A2"/>
    <w:rsid w:val="3A5E6B4F"/>
    <w:rsid w:val="3A5E7E93"/>
    <w:rsid w:val="3A5F45D1"/>
    <w:rsid w:val="3A601248"/>
    <w:rsid w:val="3A602052"/>
    <w:rsid w:val="3A611DE7"/>
    <w:rsid w:val="3A613357"/>
    <w:rsid w:val="3A620DD9"/>
    <w:rsid w:val="3A630A59"/>
    <w:rsid w:val="3A633EFE"/>
    <w:rsid w:val="3A6442DC"/>
    <w:rsid w:val="3A651D5D"/>
    <w:rsid w:val="3A6619DD"/>
    <w:rsid w:val="3A666016"/>
    <w:rsid w:val="3A675260"/>
    <w:rsid w:val="3A687753"/>
    <w:rsid w:val="3A690764"/>
    <w:rsid w:val="3A692962"/>
    <w:rsid w:val="3A6A0CCC"/>
    <w:rsid w:val="3A6A6CFA"/>
    <w:rsid w:val="3A6B550B"/>
    <w:rsid w:val="3A6C2245"/>
    <w:rsid w:val="3A6C423E"/>
    <w:rsid w:val="3A6C45A9"/>
    <w:rsid w:val="3A6C716A"/>
    <w:rsid w:val="3A6D4BEB"/>
    <w:rsid w:val="3A6E6DEA"/>
    <w:rsid w:val="3A6F00EE"/>
    <w:rsid w:val="3A6F486B"/>
    <w:rsid w:val="3A70246B"/>
    <w:rsid w:val="3A705B70"/>
    <w:rsid w:val="3A7135F2"/>
    <w:rsid w:val="3A717D6E"/>
    <w:rsid w:val="3A721073"/>
    <w:rsid w:val="3A727012"/>
    <w:rsid w:val="3A733271"/>
    <w:rsid w:val="3A736AF5"/>
    <w:rsid w:val="3A7379ED"/>
    <w:rsid w:val="3A744576"/>
    <w:rsid w:val="3A75112A"/>
    <w:rsid w:val="3A751FF8"/>
    <w:rsid w:val="3A756774"/>
    <w:rsid w:val="3A761B04"/>
    <w:rsid w:val="3A7641F6"/>
    <w:rsid w:val="3A771C78"/>
    <w:rsid w:val="3A7754FB"/>
    <w:rsid w:val="3A783242"/>
    <w:rsid w:val="3A7876F9"/>
    <w:rsid w:val="3A790053"/>
    <w:rsid w:val="3A7909FE"/>
    <w:rsid w:val="3A79517B"/>
    <w:rsid w:val="3A7A7612"/>
    <w:rsid w:val="3A7B288D"/>
    <w:rsid w:val="3A7B3F01"/>
    <w:rsid w:val="3A7B60FF"/>
    <w:rsid w:val="3A7D1602"/>
    <w:rsid w:val="3A7D7404"/>
    <w:rsid w:val="3A7E4E86"/>
    <w:rsid w:val="3A7E7084"/>
    <w:rsid w:val="3A7F09EA"/>
    <w:rsid w:val="3A800389"/>
    <w:rsid w:val="3A802587"/>
    <w:rsid w:val="3A811F62"/>
    <w:rsid w:val="3A82388C"/>
    <w:rsid w:val="3A825A8A"/>
    <w:rsid w:val="3A83350C"/>
    <w:rsid w:val="3A840F8D"/>
    <w:rsid w:val="3A84407A"/>
    <w:rsid w:val="3A844811"/>
    <w:rsid w:val="3A856A0F"/>
    <w:rsid w:val="3A864490"/>
    <w:rsid w:val="3A86542E"/>
    <w:rsid w:val="3A872856"/>
    <w:rsid w:val="3A875795"/>
    <w:rsid w:val="3A875FCD"/>
    <w:rsid w:val="3A883217"/>
    <w:rsid w:val="3A883219"/>
    <w:rsid w:val="3A890C98"/>
    <w:rsid w:val="3A895415"/>
    <w:rsid w:val="3A897546"/>
    <w:rsid w:val="3A8A0B21"/>
    <w:rsid w:val="3A8C165E"/>
    <w:rsid w:val="3A8C1C1D"/>
    <w:rsid w:val="3A8C21FC"/>
    <w:rsid w:val="3A8D769E"/>
    <w:rsid w:val="3A900623"/>
    <w:rsid w:val="3A904DA0"/>
    <w:rsid w:val="3A9160A5"/>
    <w:rsid w:val="3A9202A3"/>
    <w:rsid w:val="3A923B26"/>
    <w:rsid w:val="3A9315A8"/>
    <w:rsid w:val="3A93317B"/>
    <w:rsid w:val="3A941228"/>
    <w:rsid w:val="3A947029"/>
    <w:rsid w:val="3A956CA9"/>
    <w:rsid w:val="3A96252C"/>
    <w:rsid w:val="3A96472B"/>
    <w:rsid w:val="3A966CDC"/>
    <w:rsid w:val="3A971ABC"/>
    <w:rsid w:val="3A971C80"/>
    <w:rsid w:val="3A973D40"/>
    <w:rsid w:val="3A977FAE"/>
    <w:rsid w:val="3A9839D5"/>
    <w:rsid w:val="3A985A30"/>
    <w:rsid w:val="3A9931F9"/>
    <w:rsid w:val="3A9934B1"/>
    <w:rsid w:val="3A9A3131"/>
    <w:rsid w:val="3A9B0BB2"/>
    <w:rsid w:val="3A9C1EB7"/>
    <w:rsid w:val="3A9D40B6"/>
    <w:rsid w:val="3A9D7939"/>
    <w:rsid w:val="3A9E1B37"/>
    <w:rsid w:val="3A9E7428"/>
    <w:rsid w:val="3A9F2E3C"/>
    <w:rsid w:val="3AA009A1"/>
    <w:rsid w:val="3AA0503A"/>
    <w:rsid w:val="3AA12ABC"/>
    <w:rsid w:val="3AA1633F"/>
    <w:rsid w:val="3AA2053D"/>
    <w:rsid w:val="3AA23DC1"/>
    <w:rsid w:val="3AA31842"/>
    <w:rsid w:val="3AA32AB9"/>
    <w:rsid w:val="3AA54D45"/>
    <w:rsid w:val="3AA627C7"/>
    <w:rsid w:val="3AA85CCA"/>
    <w:rsid w:val="3AA9374B"/>
    <w:rsid w:val="3AAA009C"/>
    <w:rsid w:val="3AAB0C3B"/>
    <w:rsid w:val="3AAC1615"/>
    <w:rsid w:val="3AAD2152"/>
    <w:rsid w:val="3AAE4175"/>
    <w:rsid w:val="3AAE7BD3"/>
    <w:rsid w:val="3AB030D6"/>
    <w:rsid w:val="3AB042CB"/>
    <w:rsid w:val="3AB10B58"/>
    <w:rsid w:val="3AB14E6A"/>
    <w:rsid w:val="3AB25844"/>
    <w:rsid w:val="3AB3173C"/>
    <w:rsid w:val="3AB31ADC"/>
    <w:rsid w:val="3AB32333"/>
    <w:rsid w:val="3AB407D9"/>
    <w:rsid w:val="3AB50103"/>
    <w:rsid w:val="3AB57D98"/>
    <w:rsid w:val="3AB704E3"/>
    <w:rsid w:val="3AB74334"/>
    <w:rsid w:val="3ABA3D4F"/>
    <w:rsid w:val="3ABD23EC"/>
    <w:rsid w:val="3ABE7E6D"/>
    <w:rsid w:val="3ABF58EF"/>
    <w:rsid w:val="3ABF721B"/>
    <w:rsid w:val="3AC03371"/>
    <w:rsid w:val="3AC06BF4"/>
    <w:rsid w:val="3AC10958"/>
    <w:rsid w:val="3AC15CD5"/>
    <w:rsid w:val="3AC2368D"/>
    <w:rsid w:val="3AC23D63"/>
    <w:rsid w:val="3AC37B79"/>
    <w:rsid w:val="3AC41D77"/>
    <w:rsid w:val="3AC428AC"/>
    <w:rsid w:val="3AC455FA"/>
    <w:rsid w:val="3AC5307C"/>
    <w:rsid w:val="3AC577F8"/>
    <w:rsid w:val="3AC72CFB"/>
    <w:rsid w:val="3AC85F3C"/>
    <w:rsid w:val="3AC91A82"/>
    <w:rsid w:val="3ACA3C80"/>
    <w:rsid w:val="3ACA7503"/>
    <w:rsid w:val="3ACA7679"/>
    <w:rsid w:val="3ACB1702"/>
    <w:rsid w:val="3ACB7183"/>
    <w:rsid w:val="3ACC2A06"/>
    <w:rsid w:val="3ACD0488"/>
    <w:rsid w:val="3ACD2686"/>
    <w:rsid w:val="3ACE232F"/>
    <w:rsid w:val="3ACE5F0A"/>
    <w:rsid w:val="3ACF2D0A"/>
    <w:rsid w:val="3AD0140D"/>
    <w:rsid w:val="3AD0536F"/>
    <w:rsid w:val="3AD14E21"/>
    <w:rsid w:val="3AD14FE6"/>
    <w:rsid w:val="3AD24910"/>
    <w:rsid w:val="3AD33AB3"/>
    <w:rsid w:val="3AD34590"/>
    <w:rsid w:val="3AD42011"/>
    <w:rsid w:val="3AD45894"/>
    <w:rsid w:val="3AD53316"/>
    <w:rsid w:val="3AD57A93"/>
    <w:rsid w:val="3AD60676"/>
    <w:rsid w:val="3AD60D98"/>
    <w:rsid w:val="3AD91D1C"/>
    <w:rsid w:val="3AD925C9"/>
    <w:rsid w:val="3AD96499"/>
    <w:rsid w:val="3ADA3168"/>
    <w:rsid w:val="3ADA3F1A"/>
    <w:rsid w:val="3ADC2CA1"/>
    <w:rsid w:val="3ADC48A5"/>
    <w:rsid w:val="3ADC741E"/>
    <w:rsid w:val="3ADD0722"/>
    <w:rsid w:val="3ADE3AD4"/>
    <w:rsid w:val="3ADE61A4"/>
    <w:rsid w:val="3ADF03A2"/>
    <w:rsid w:val="3ADF7397"/>
    <w:rsid w:val="3AE016A7"/>
    <w:rsid w:val="3AE05E24"/>
    <w:rsid w:val="3AE0752F"/>
    <w:rsid w:val="3AE10910"/>
    <w:rsid w:val="3AE17129"/>
    <w:rsid w:val="3AE36DA8"/>
    <w:rsid w:val="3AE42A27"/>
    <w:rsid w:val="3AE535C6"/>
    <w:rsid w:val="3AE57D2D"/>
    <w:rsid w:val="3AE635B0"/>
    <w:rsid w:val="3AE73230"/>
    <w:rsid w:val="3AE74B3F"/>
    <w:rsid w:val="3AE86AB3"/>
    <w:rsid w:val="3AE96733"/>
    <w:rsid w:val="3AEA1FB6"/>
    <w:rsid w:val="3AEA6A92"/>
    <w:rsid w:val="3AEB7A38"/>
    <w:rsid w:val="3AEC2F3B"/>
    <w:rsid w:val="3AEC76B8"/>
    <w:rsid w:val="3AED2E24"/>
    <w:rsid w:val="3AED5139"/>
    <w:rsid w:val="3AEE22E7"/>
    <w:rsid w:val="3AEE274E"/>
    <w:rsid w:val="3AEE2BBB"/>
    <w:rsid w:val="3AEF063D"/>
    <w:rsid w:val="3AEF1636"/>
    <w:rsid w:val="3AEF2CC1"/>
    <w:rsid w:val="3AEF2E86"/>
    <w:rsid w:val="3AF01941"/>
    <w:rsid w:val="3AF060BE"/>
    <w:rsid w:val="3AF215C1"/>
    <w:rsid w:val="3AF24E44"/>
    <w:rsid w:val="3AF328C6"/>
    <w:rsid w:val="3AF40348"/>
    <w:rsid w:val="3AF44AC4"/>
    <w:rsid w:val="3AF46352"/>
    <w:rsid w:val="3AF46516"/>
    <w:rsid w:val="3AF6384B"/>
    <w:rsid w:val="3AF834CA"/>
    <w:rsid w:val="3AF90F4C"/>
    <w:rsid w:val="3AF92745"/>
    <w:rsid w:val="3AF947CF"/>
    <w:rsid w:val="3AFB444F"/>
    <w:rsid w:val="3AFB7CD2"/>
    <w:rsid w:val="3AFC5296"/>
    <w:rsid w:val="3AFC7952"/>
    <w:rsid w:val="3AFD31D5"/>
    <w:rsid w:val="3AFE38F2"/>
    <w:rsid w:val="3B006358"/>
    <w:rsid w:val="3B011BDC"/>
    <w:rsid w:val="3B02185C"/>
    <w:rsid w:val="3B032B60"/>
    <w:rsid w:val="3B0350DF"/>
    <w:rsid w:val="3B0372DD"/>
    <w:rsid w:val="3B0405E2"/>
    <w:rsid w:val="3B041E40"/>
    <w:rsid w:val="3B0527E0"/>
    <w:rsid w:val="3B056063"/>
    <w:rsid w:val="3B060262"/>
    <w:rsid w:val="3B0633B9"/>
    <w:rsid w:val="3B063AE5"/>
    <w:rsid w:val="3B083765"/>
    <w:rsid w:val="3B094A6A"/>
    <w:rsid w:val="3B09606F"/>
    <w:rsid w:val="3B0A014A"/>
    <w:rsid w:val="3B0A78BE"/>
    <w:rsid w:val="3B0B75E8"/>
    <w:rsid w:val="3B0B7708"/>
    <w:rsid w:val="3B0C59EE"/>
    <w:rsid w:val="3B0E0EF1"/>
    <w:rsid w:val="3B0F6973"/>
    <w:rsid w:val="3B1043F4"/>
    <w:rsid w:val="3B1139DC"/>
    <w:rsid w:val="3B1278F8"/>
    <w:rsid w:val="3B1319C2"/>
    <w:rsid w:val="3B135379"/>
    <w:rsid w:val="3B14592F"/>
    <w:rsid w:val="3B1564CD"/>
    <w:rsid w:val="3B15706C"/>
    <w:rsid w:val="3B1662FE"/>
    <w:rsid w:val="3B192250"/>
    <w:rsid w:val="3B1A14A3"/>
    <w:rsid w:val="3B1A26FC"/>
    <w:rsid w:val="3B1A4D04"/>
    <w:rsid w:val="3B1B01D6"/>
    <w:rsid w:val="3B1B30D7"/>
    <w:rsid w:val="3B1C0207"/>
    <w:rsid w:val="3B1E118C"/>
    <w:rsid w:val="3B1E53B3"/>
    <w:rsid w:val="3B220A43"/>
    <w:rsid w:val="3B221DD1"/>
    <w:rsid w:val="3B227B92"/>
    <w:rsid w:val="3B233415"/>
    <w:rsid w:val="3B235613"/>
    <w:rsid w:val="3B243095"/>
    <w:rsid w:val="3B246918"/>
    <w:rsid w:val="3B252221"/>
    <w:rsid w:val="3B25439A"/>
    <w:rsid w:val="3B260335"/>
    <w:rsid w:val="3B261E1B"/>
    <w:rsid w:val="3B266598"/>
    <w:rsid w:val="3B27401A"/>
    <w:rsid w:val="3B281A9B"/>
    <w:rsid w:val="3B283760"/>
    <w:rsid w:val="3B28531E"/>
    <w:rsid w:val="3B292DA0"/>
    <w:rsid w:val="3B2933F5"/>
    <w:rsid w:val="3B29564C"/>
    <w:rsid w:val="3B2A0822"/>
    <w:rsid w:val="3B2B62A3"/>
    <w:rsid w:val="3B2D17A6"/>
    <w:rsid w:val="3B2D5F23"/>
    <w:rsid w:val="3B2E39A5"/>
    <w:rsid w:val="3B2E7228"/>
    <w:rsid w:val="3B2F1426"/>
    <w:rsid w:val="3B2F16B7"/>
    <w:rsid w:val="3B302256"/>
    <w:rsid w:val="3B30272B"/>
    <w:rsid w:val="3B306EA8"/>
    <w:rsid w:val="3B3101AC"/>
    <w:rsid w:val="3B310502"/>
    <w:rsid w:val="3B312DF4"/>
    <w:rsid w:val="3B314929"/>
    <w:rsid w:val="3B3223AB"/>
    <w:rsid w:val="3B325C2E"/>
    <w:rsid w:val="3B334F0C"/>
    <w:rsid w:val="3B337E2C"/>
    <w:rsid w:val="3B341131"/>
    <w:rsid w:val="3B3458AE"/>
    <w:rsid w:val="3B345984"/>
    <w:rsid w:val="3B350DB1"/>
    <w:rsid w:val="3B356BB3"/>
    <w:rsid w:val="3B364634"/>
    <w:rsid w:val="3B366832"/>
    <w:rsid w:val="3B3742B4"/>
    <w:rsid w:val="3B375346"/>
    <w:rsid w:val="3B375866"/>
    <w:rsid w:val="3B3763D1"/>
    <w:rsid w:val="3B377BC2"/>
    <w:rsid w:val="3B390F77"/>
    <w:rsid w:val="3B3955B9"/>
    <w:rsid w:val="3B3A303A"/>
    <w:rsid w:val="3B3A5239"/>
    <w:rsid w:val="3B3B0ABC"/>
    <w:rsid w:val="3B3B2CBA"/>
    <w:rsid w:val="3B3C073C"/>
    <w:rsid w:val="3B3C3FBF"/>
    <w:rsid w:val="3B3E3C3F"/>
    <w:rsid w:val="3B3E74C2"/>
    <w:rsid w:val="3B3F4F44"/>
    <w:rsid w:val="3B3F51A6"/>
    <w:rsid w:val="3B4029C5"/>
    <w:rsid w:val="3B407142"/>
    <w:rsid w:val="3B410447"/>
    <w:rsid w:val="3B414BC4"/>
    <w:rsid w:val="3B422645"/>
    <w:rsid w:val="3B425EC8"/>
    <w:rsid w:val="3B43394A"/>
    <w:rsid w:val="3B4413CB"/>
    <w:rsid w:val="3B445B48"/>
    <w:rsid w:val="3B4503AF"/>
    <w:rsid w:val="3B450FA6"/>
    <w:rsid w:val="3B451F73"/>
    <w:rsid w:val="3B4535CA"/>
    <w:rsid w:val="3B456E4D"/>
    <w:rsid w:val="3B4648CF"/>
    <w:rsid w:val="3B4736B1"/>
    <w:rsid w:val="3B491FD0"/>
    <w:rsid w:val="3B4A7A51"/>
    <w:rsid w:val="3B4B0D56"/>
    <w:rsid w:val="3B4B164C"/>
    <w:rsid w:val="3B4C09D6"/>
    <w:rsid w:val="3B4C2F55"/>
    <w:rsid w:val="3B4D02BA"/>
    <w:rsid w:val="3B4E0E59"/>
    <w:rsid w:val="3B4E1CDB"/>
    <w:rsid w:val="3B4F195B"/>
    <w:rsid w:val="3B5051DE"/>
    <w:rsid w:val="3B5073DC"/>
    <w:rsid w:val="3B512C60"/>
    <w:rsid w:val="3B5206E1"/>
    <w:rsid w:val="3B5224A4"/>
    <w:rsid w:val="3B5228DF"/>
    <w:rsid w:val="3B530361"/>
    <w:rsid w:val="3B5330AD"/>
    <w:rsid w:val="3B5335CD"/>
    <w:rsid w:val="3B541666"/>
    <w:rsid w:val="3B542D41"/>
    <w:rsid w:val="3B543BE4"/>
    <w:rsid w:val="3B543F45"/>
    <w:rsid w:val="3B5518BE"/>
    <w:rsid w:val="3B553864"/>
    <w:rsid w:val="3B55589E"/>
    <w:rsid w:val="3B555A62"/>
    <w:rsid w:val="3B5570E7"/>
    <w:rsid w:val="3B5612E6"/>
    <w:rsid w:val="3B564B69"/>
    <w:rsid w:val="3B5725EA"/>
    <w:rsid w:val="3B573D09"/>
    <w:rsid w:val="3B576D67"/>
    <w:rsid w:val="3B58006C"/>
    <w:rsid w:val="3B5847E9"/>
    <w:rsid w:val="3B591265"/>
    <w:rsid w:val="3B5A356F"/>
    <w:rsid w:val="3B5B0FF1"/>
    <w:rsid w:val="3B5B2830"/>
    <w:rsid w:val="3B5B50B2"/>
    <w:rsid w:val="3B5C320A"/>
    <w:rsid w:val="3B5D0C70"/>
    <w:rsid w:val="3B5E4783"/>
    <w:rsid w:val="3B5E66F2"/>
    <w:rsid w:val="3B5F515D"/>
    <w:rsid w:val="3B5F5322"/>
    <w:rsid w:val="3B605478"/>
    <w:rsid w:val="3B616481"/>
    <w:rsid w:val="3B617677"/>
    <w:rsid w:val="3B6250F8"/>
    <w:rsid w:val="3B627275"/>
    <w:rsid w:val="3B627439"/>
    <w:rsid w:val="3B6363FD"/>
    <w:rsid w:val="3B6405FB"/>
    <w:rsid w:val="3B6439C5"/>
    <w:rsid w:val="3B643E7F"/>
    <w:rsid w:val="3B65138C"/>
    <w:rsid w:val="3B651900"/>
    <w:rsid w:val="3B661580"/>
    <w:rsid w:val="3B661F2B"/>
    <w:rsid w:val="3B667382"/>
    <w:rsid w:val="3B672ACA"/>
    <w:rsid w:val="3B674E03"/>
    <w:rsid w:val="3B677002"/>
    <w:rsid w:val="3B692505"/>
    <w:rsid w:val="3B6A5D88"/>
    <w:rsid w:val="3B6B3809"/>
    <w:rsid w:val="3B6B5A08"/>
    <w:rsid w:val="3B6C3489"/>
    <w:rsid w:val="3B6D0F0B"/>
    <w:rsid w:val="3B6D478E"/>
    <w:rsid w:val="3B6E43A4"/>
    <w:rsid w:val="3B6E698C"/>
    <w:rsid w:val="3B6F7C91"/>
    <w:rsid w:val="3B705713"/>
    <w:rsid w:val="3B707990"/>
    <w:rsid w:val="3B713194"/>
    <w:rsid w:val="3B720C16"/>
    <w:rsid w:val="3B736697"/>
    <w:rsid w:val="3B7665B8"/>
    <w:rsid w:val="3B77509E"/>
    <w:rsid w:val="3B782B1F"/>
    <w:rsid w:val="3B7905A1"/>
    <w:rsid w:val="3B7A10AA"/>
    <w:rsid w:val="3B7A6022"/>
    <w:rsid w:val="3B7B3AA4"/>
    <w:rsid w:val="3B7C2623"/>
    <w:rsid w:val="3B7D31C1"/>
    <w:rsid w:val="3B7D32FB"/>
    <w:rsid w:val="3B7F473A"/>
    <w:rsid w:val="3B80144A"/>
    <w:rsid w:val="3B8159AD"/>
    <w:rsid w:val="3B847DCB"/>
    <w:rsid w:val="3B851E35"/>
    <w:rsid w:val="3B8678B6"/>
    <w:rsid w:val="3B875338"/>
    <w:rsid w:val="3B8758C1"/>
    <w:rsid w:val="3B882DB9"/>
    <w:rsid w:val="3B883620"/>
    <w:rsid w:val="3B89663D"/>
    <w:rsid w:val="3B8A40BE"/>
    <w:rsid w:val="3B8A62BD"/>
    <w:rsid w:val="3B8B3D3E"/>
    <w:rsid w:val="3B8B5573"/>
    <w:rsid w:val="3B8C17C0"/>
    <w:rsid w:val="3B8C5043"/>
    <w:rsid w:val="3B8C62D6"/>
    <w:rsid w:val="3B8C75C1"/>
    <w:rsid w:val="3B8D2AC4"/>
    <w:rsid w:val="3B8D6AEC"/>
    <w:rsid w:val="3B8E0546"/>
    <w:rsid w:val="3B8E4CC3"/>
    <w:rsid w:val="3B8F0229"/>
    <w:rsid w:val="3B8F2744"/>
    <w:rsid w:val="3B8F5FC8"/>
    <w:rsid w:val="3B900C03"/>
    <w:rsid w:val="3B900DC8"/>
    <w:rsid w:val="3B903A49"/>
    <w:rsid w:val="3B9114CB"/>
    <w:rsid w:val="3B912340"/>
    <w:rsid w:val="3B915C47"/>
    <w:rsid w:val="3B926F4C"/>
    <w:rsid w:val="3B93114B"/>
    <w:rsid w:val="3B94244F"/>
    <w:rsid w:val="3B946BCC"/>
    <w:rsid w:val="3B957ED1"/>
    <w:rsid w:val="3B976570"/>
    <w:rsid w:val="3B976916"/>
    <w:rsid w:val="3B980E56"/>
    <w:rsid w:val="3B9855D2"/>
    <w:rsid w:val="3B9A0AD5"/>
    <w:rsid w:val="3B9B1061"/>
    <w:rsid w:val="3B9B6557"/>
    <w:rsid w:val="3B9B7648"/>
    <w:rsid w:val="3B9C1C00"/>
    <w:rsid w:val="3B9C785C"/>
    <w:rsid w:val="3B9D1A5A"/>
    <w:rsid w:val="3B9D5CA4"/>
    <w:rsid w:val="3B9E333D"/>
    <w:rsid w:val="3B9E4F5D"/>
    <w:rsid w:val="3B9F48B6"/>
    <w:rsid w:val="3BA06262"/>
    <w:rsid w:val="3BA21765"/>
    <w:rsid w:val="3BA23963"/>
    <w:rsid w:val="3BA26809"/>
    <w:rsid w:val="3BA313E5"/>
    <w:rsid w:val="3BA371E7"/>
    <w:rsid w:val="3BA44C68"/>
    <w:rsid w:val="3BA46E66"/>
    <w:rsid w:val="3BA526EA"/>
    <w:rsid w:val="3BA548E8"/>
    <w:rsid w:val="3BA65BED"/>
    <w:rsid w:val="3BA71E9A"/>
    <w:rsid w:val="3BA7366E"/>
    <w:rsid w:val="3BA77DEB"/>
    <w:rsid w:val="3BA82A38"/>
    <w:rsid w:val="3BA8586D"/>
    <w:rsid w:val="3BAA4176"/>
    <w:rsid w:val="3BAB09A2"/>
    <w:rsid w:val="3BAB2075"/>
    <w:rsid w:val="3BAC7A40"/>
    <w:rsid w:val="3BAC7AF6"/>
    <w:rsid w:val="3BAD1CF4"/>
    <w:rsid w:val="3BAD5578"/>
    <w:rsid w:val="3BAE2FF9"/>
    <w:rsid w:val="3BAE7806"/>
    <w:rsid w:val="3BAF0A7B"/>
    <w:rsid w:val="3BAF51F7"/>
    <w:rsid w:val="3BB02C79"/>
    <w:rsid w:val="3BB106FB"/>
    <w:rsid w:val="3BB12AD2"/>
    <w:rsid w:val="3BB219FF"/>
    <w:rsid w:val="3BB222F8"/>
    <w:rsid w:val="3BB2617C"/>
    <w:rsid w:val="3BB33BFE"/>
    <w:rsid w:val="3BB37481"/>
    <w:rsid w:val="3BB4167F"/>
    <w:rsid w:val="3BB43A35"/>
    <w:rsid w:val="3BB52984"/>
    <w:rsid w:val="3BB54B82"/>
    <w:rsid w:val="3BB60406"/>
    <w:rsid w:val="3BB62604"/>
    <w:rsid w:val="3BB70085"/>
    <w:rsid w:val="3BB75B4D"/>
    <w:rsid w:val="3BB75E87"/>
    <w:rsid w:val="3BB83909"/>
    <w:rsid w:val="3BB85B07"/>
    <w:rsid w:val="3BBA100A"/>
    <w:rsid w:val="3BBA2588"/>
    <w:rsid w:val="3BBA6E0C"/>
    <w:rsid w:val="3BBB6A8C"/>
    <w:rsid w:val="3BBC1BB7"/>
    <w:rsid w:val="3BBC230F"/>
    <w:rsid w:val="3BBC450D"/>
    <w:rsid w:val="3BBD5812"/>
    <w:rsid w:val="3BBE3130"/>
    <w:rsid w:val="3BBF0D15"/>
    <w:rsid w:val="3BBF5492"/>
    <w:rsid w:val="3BC14218"/>
    <w:rsid w:val="3BC15248"/>
    <w:rsid w:val="3BC26416"/>
    <w:rsid w:val="3BC3771B"/>
    <w:rsid w:val="3BC4735F"/>
    <w:rsid w:val="3BC52C1E"/>
    <w:rsid w:val="3BC5739B"/>
    <w:rsid w:val="3BC608D8"/>
    <w:rsid w:val="3BC64E1D"/>
    <w:rsid w:val="3BC76121"/>
    <w:rsid w:val="3BC80320"/>
    <w:rsid w:val="3BCA3823"/>
    <w:rsid w:val="3BCB12A4"/>
    <w:rsid w:val="3BCC25A9"/>
    <w:rsid w:val="3BCC5297"/>
    <w:rsid w:val="3BCC56A6"/>
    <w:rsid w:val="3BCC6D26"/>
    <w:rsid w:val="3BCD2229"/>
    <w:rsid w:val="3BCD47A7"/>
    <w:rsid w:val="3BCE5AAC"/>
    <w:rsid w:val="3BCE7CAB"/>
    <w:rsid w:val="3BCF352E"/>
    <w:rsid w:val="3BCF7321"/>
    <w:rsid w:val="3BD00FAF"/>
    <w:rsid w:val="3BD10C2F"/>
    <w:rsid w:val="3BD31F34"/>
    <w:rsid w:val="3BD32474"/>
    <w:rsid w:val="3BD41BB4"/>
    <w:rsid w:val="3BD52EB9"/>
    <w:rsid w:val="3BD55437"/>
    <w:rsid w:val="3BD6093A"/>
    <w:rsid w:val="3BD763BC"/>
    <w:rsid w:val="3BD76E6C"/>
    <w:rsid w:val="3BD864DE"/>
    <w:rsid w:val="3BD866A3"/>
    <w:rsid w:val="3BD918BF"/>
    <w:rsid w:val="3BDB05F6"/>
    <w:rsid w:val="3BDB07BA"/>
    <w:rsid w:val="3BDB4DC2"/>
    <w:rsid w:val="3BDC2844"/>
    <w:rsid w:val="3BDD1B6F"/>
    <w:rsid w:val="3BDE270D"/>
    <w:rsid w:val="3BDE5D47"/>
    <w:rsid w:val="3BDF32AC"/>
    <w:rsid w:val="3BE03C86"/>
    <w:rsid w:val="3BE16CCB"/>
    <w:rsid w:val="3BE2474D"/>
    <w:rsid w:val="3BE251FF"/>
    <w:rsid w:val="3BE321CE"/>
    <w:rsid w:val="3BE42917"/>
    <w:rsid w:val="3BE42C82"/>
    <w:rsid w:val="3BE4693D"/>
    <w:rsid w:val="3BE47C50"/>
    <w:rsid w:val="3BE523F6"/>
    <w:rsid w:val="3BE556D1"/>
    <w:rsid w:val="3BE60890"/>
    <w:rsid w:val="3BE612DE"/>
    <w:rsid w:val="3BE63153"/>
    <w:rsid w:val="3BE70BD5"/>
    <w:rsid w:val="3BE940D8"/>
    <w:rsid w:val="3BEA1B59"/>
    <w:rsid w:val="3BEB75DB"/>
    <w:rsid w:val="3BEC4ABF"/>
    <w:rsid w:val="3BEC4C83"/>
    <w:rsid w:val="3BEE5FE1"/>
    <w:rsid w:val="3BF014E4"/>
    <w:rsid w:val="3BF072E6"/>
    <w:rsid w:val="3BF16F66"/>
    <w:rsid w:val="3BF2188D"/>
    <w:rsid w:val="3BF227E9"/>
    <w:rsid w:val="3BF3026A"/>
    <w:rsid w:val="3BF32469"/>
    <w:rsid w:val="3BF533E5"/>
    <w:rsid w:val="3BF5596C"/>
    <w:rsid w:val="3BF57C96"/>
    <w:rsid w:val="3BF633ED"/>
    <w:rsid w:val="3BF6437E"/>
    <w:rsid w:val="3BF66C71"/>
    <w:rsid w:val="3BF70E6F"/>
    <w:rsid w:val="3BF746F2"/>
    <w:rsid w:val="3BF750E1"/>
    <w:rsid w:val="3BF861C1"/>
    <w:rsid w:val="3BF868F0"/>
    <w:rsid w:val="3BF96496"/>
    <w:rsid w:val="3BF9665A"/>
    <w:rsid w:val="3BFA1DF4"/>
    <w:rsid w:val="3BFA7034"/>
    <w:rsid w:val="3BFB30F8"/>
    <w:rsid w:val="3BFC0B7A"/>
    <w:rsid w:val="3BFD2D78"/>
    <w:rsid w:val="3BFE407D"/>
    <w:rsid w:val="3BFF627B"/>
    <w:rsid w:val="3C003CFD"/>
    <w:rsid w:val="3C0149A1"/>
    <w:rsid w:val="3C015002"/>
    <w:rsid w:val="3C022A83"/>
    <w:rsid w:val="3C0267B9"/>
    <w:rsid w:val="3C030505"/>
    <w:rsid w:val="3C034C82"/>
    <w:rsid w:val="3C0360E3"/>
    <w:rsid w:val="3C046AB8"/>
    <w:rsid w:val="3C052615"/>
    <w:rsid w:val="3C053A08"/>
    <w:rsid w:val="3C057493"/>
    <w:rsid w:val="3C063688"/>
    <w:rsid w:val="3C076F0B"/>
    <w:rsid w:val="3C08498D"/>
    <w:rsid w:val="3C086B8B"/>
    <w:rsid w:val="3C09460C"/>
    <w:rsid w:val="3C0A208E"/>
    <w:rsid w:val="3C0B5911"/>
    <w:rsid w:val="3C0B7B0F"/>
    <w:rsid w:val="3C0C3393"/>
    <w:rsid w:val="3C0C409C"/>
    <w:rsid w:val="3C0D3013"/>
    <w:rsid w:val="3C0E5615"/>
    <w:rsid w:val="3C0E6896"/>
    <w:rsid w:val="3C0F1D99"/>
    <w:rsid w:val="3C0F6516"/>
    <w:rsid w:val="3C1014B7"/>
    <w:rsid w:val="3C101822"/>
    <w:rsid w:val="3C101D43"/>
    <w:rsid w:val="3C10781A"/>
    <w:rsid w:val="3C11070A"/>
    <w:rsid w:val="3C122D1E"/>
    <w:rsid w:val="3C12749A"/>
    <w:rsid w:val="3C134F1C"/>
    <w:rsid w:val="3C1423E3"/>
    <w:rsid w:val="3C161724"/>
    <w:rsid w:val="3C165EA1"/>
    <w:rsid w:val="3C173922"/>
    <w:rsid w:val="3C174336"/>
    <w:rsid w:val="3C1771A5"/>
    <w:rsid w:val="3C1813A4"/>
    <w:rsid w:val="3C184C27"/>
    <w:rsid w:val="3C184ED4"/>
    <w:rsid w:val="3C196E25"/>
    <w:rsid w:val="3C1A48A7"/>
    <w:rsid w:val="3C1A644D"/>
    <w:rsid w:val="3C1A6612"/>
    <w:rsid w:val="3C1A71B0"/>
    <w:rsid w:val="3C1B5BAC"/>
    <w:rsid w:val="3C1B7B8B"/>
    <w:rsid w:val="3C1C0565"/>
    <w:rsid w:val="3C1C7DAA"/>
    <w:rsid w:val="3C1D10AF"/>
    <w:rsid w:val="3C1E6B30"/>
    <w:rsid w:val="3C1F3929"/>
    <w:rsid w:val="3C1F45B2"/>
    <w:rsid w:val="3C1F67B0"/>
    <w:rsid w:val="3C211CB3"/>
    <w:rsid w:val="3C225536"/>
    <w:rsid w:val="3C227735"/>
    <w:rsid w:val="3C232FB8"/>
    <w:rsid w:val="3C2351B6"/>
    <w:rsid w:val="3C240A39"/>
    <w:rsid w:val="3C242C38"/>
    <w:rsid w:val="3C2564BB"/>
    <w:rsid w:val="3C2568AB"/>
    <w:rsid w:val="3C256A70"/>
    <w:rsid w:val="3C2619BE"/>
    <w:rsid w:val="3C263F3D"/>
    <w:rsid w:val="3C26613B"/>
    <w:rsid w:val="3C26744A"/>
    <w:rsid w:val="3C270B87"/>
    <w:rsid w:val="3C277E24"/>
    <w:rsid w:val="3C2809C3"/>
    <w:rsid w:val="3C28163E"/>
    <w:rsid w:val="3C284EC1"/>
    <w:rsid w:val="3C291F3C"/>
    <w:rsid w:val="3C292943"/>
    <w:rsid w:val="3C2A03C4"/>
    <w:rsid w:val="3C2A4B41"/>
    <w:rsid w:val="3C2B25C3"/>
    <w:rsid w:val="3C2B34B5"/>
    <w:rsid w:val="3C2C38C7"/>
    <w:rsid w:val="3C2C4053"/>
    <w:rsid w:val="3C2D1349"/>
    <w:rsid w:val="3C2E5791"/>
    <w:rsid w:val="3C2F0FC9"/>
    <w:rsid w:val="3C2F484C"/>
    <w:rsid w:val="3C2F4917"/>
    <w:rsid w:val="3C2F4C83"/>
    <w:rsid w:val="3C2F6E1E"/>
    <w:rsid w:val="3C3144CC"/>
    <w:rsid w:val="3C3176E4"/>
    <w:rsid w:val="3C317D4F"/>
    <w:rsid w:val="3C320447"/>
    <w:rsid w:val="3C3257D1"/>
    <w:rsid w:val="3C3379CF"/>
    <w:rsid w:val="3C340CD4"/>
    <w:rsid w:val="3C35239A"/>
    <w:rsid w:val="3C35255E"/>
    <w:rsid w:val="3C360954"/>
    <w:rsid w:val="3C362D74"/>
    <w:rsid w:val="3C3641D7"/>
    <w:rsid w:val="3C371C58"/>
    <w:rsid w:val="3C373913"/>
    <w:rsid w:val="3C39515C"/>
    <w:rsid w:val="3C395BEF"/>
    <w:rsid w:val="3C3A2BDD"/>
    <w:rsid w:val="3C3A65C9"/>
    <w:rsid w:val="3C3B065F"/>
    <w:rsid w:val="3C3B7168"/>
    <w:rsid w:val="3C3C7D06"/>
    <w:rsid w:val="3C3D3B62"/>
    <w:rsid w:val="3C3E15E3"/>
    <w:rsid w:val="3C3F4AE6"/>
    <w:rsid w:val="3C402568"/>
    <w:rsid w:val="3C4131D2"/>
    <w:rsid w:val="3C425A6B"/>
    <w:rsid w:val="3C4334ED"/>
    <w:rsid w:val="3C440F6E"/>
    <w:rsid w:val="3C456863"/>
    <w:rsid w:val="3C4569F0"/>
    <w:rsid w:val="3C464471"/>
    <w:rsid w:val="3C4675C6"/>
    <w:rsid w:val="3C471EF3"/>
    <w:rsid w:val="3C477FA0"/>
    <w:rsid w:val="3C48097A"/>
    <w:rsid w:val="3C487974"/>
    <w:rsid w:val="3C4953F6"/>
    <w:rsid w:val="3C4A342B"/>
    <w:rsid w:val="3C4B267E"/>
    <w:rsid w:val="3C4B2C56"/>
    <w:rsid w:val="3C4C637B"/>
    <w:rsid w:val="3C4D3DFC"/>
    <w:rsid w:val="3C4E187E"/>
    <w:rsid w:val="3C4F64BA"/>
    <w:rsid w:val="3C4F72FF"/>
    <w:rsid w:val="3C504D81"/>
    <w:rsid w:val="3C512802"/>
    <w:rsid w:val="3C516CC1"/>
    <w:rsid w:val="3C516E85"/>
    <w:rsid w:val="3C520284"/>
    <w:rsid w:val="3C543787"/>
    <w:rsid w:val="3C54700A"/>
    <w:rsid w:val="3C554A8C"/>
    <w:rsid w:val="3C57218D"/>
    <w:rsid w:val="3C573A8F"/>
    <w:rsid w:val="3C577F8F"/>
    <w:rsid w:val="3C585C08"/>
    <w:rsid w:val="3C587C0F"/>
    <w:rsid w:val="3C593492"/>
    <w:rsid w:val="3C595690"/>
    <w:rsid w:val="3C5A0F14"/>
    <w:rsid w:val="3C5B6995"/>
    <w:rsid w:val="3C5C711F"/>
    <w:rsid w:val="3C601C11"/>
    <w:rsid w:val="3C612A9D"/>
    <w:rsid w:val="3C616320"/>
    <w:rsid w:val="3C62051E"/>
    <w:rsid w:val="3C623D29"/>
    <w:rsid w:val="3C645466"/>
    <w:rsid w:val="3C6472A5"/>
    <w:rsid w:val="3C654D26"/>
    <w:rsid w:val="3C656005"/>
    <w:rsid w:val="3C670229"/>
    <w:rsid w:val="3C67757D"/>
    <w:rsid w:val="3C677D0F"/>
    <w:rsid w:val="3C690932"/>
    <w:rsid w:val="3C6A592B"/>
    <w:rsid w:val="3C6B33AC"/>
    <w:rsid w:val="3C6B6C2F"/>
    <w:rsid w:val="3C6C46B1"/>
    <w:rsid w:val="3C6D2D06"/>
    <w:rsid w:val="3C6D68AF"/>
    <w:rsid w:val="3C6E1DB2"/>
    <w:rsid w:val="3C6E7BB4"/>
    <w:rsid w:val="3C6F5636"/>
    <w:rsid w:val="3C6F5700"/>
    <w:rsid w:val="3C7030B7"/>
    <w:rsid w:val="3C716C78"/>
    <w:rsid w:val="3C73403C"/>
    <w:rsid w:val="3C741ABD"/>
    <w:rsid w:val="3C75173D"/>
    <w:rsid w:val="3C762309"/>
    <w:rsid w:val="3C764FC0"/>
    <w:rsid w:val="3C7671BF"/>
    <w:rsid w:val="3C774C40"/>
    <w:rsid w:val="3C7826C2"/>
    <w:rsid w:val="3C785F45"/>
    <w:rsid w:val="3C7A1448"/>
    <w:rsid w:val="3C7A4FBF"/>
    <w:rsid w:val="3C7A5BC5"/>
    <w:rsid w:val="3C7B6ECA"/>
    <w:rsid w:val="3C7C10C8"/>
    <w:rsid w:val="3C7C494B"/>
    <w:rsid w:val="3C7D23CD"/>
    <w:rsid w:val="3C7D6B4A"/>
    <w:rsid w:val="3C7E45CB"/>
    <w:rsid w:val="3C7E7E4E"/>
    <w:rsid w:val="3C801BC8"/>
    <w:rsid w:val="3C815550"/>
    <w:rsid w:val="3C822FD1"/>
    <w:rsid w:val="3C823306"/>
    <w:rsid w:val="3C826855"/>
    <w:rsid w:val="3C853F56"/>
    <w:rsid w:val="3C8577D9"/>
    <w:rsid w:val="3C8619D8"/>
    <w:rsid w:val="3C8623C3"/>
    <w:rsid w:val="3C86525B"/>
    <w:rsid w:val="3C865DF7"/>
    <w:rsid w:val="3C865FBC"/>
    <w:rsid w:val="3C872CDC"/>
    <w:rsid w:val="3C88075E"/>
    <w:rsid w:val="3C88295C"/>
    <w:rsid w:val="3C8903DE"/>
    <w:rsid w:val="3C8A1488"/>
    <w:rsid w:val="3C8A164C"/>
    <w:rsid w:val="3C8A3C61"/>
    <w:rsid w:val="3C8B2027"/>
    <w:rsid w:val="3C8D4BE6"/>
    <w:rsid w:val="3C8E2667"/>
    <w:rsid w:val="3C8E4303"/>
    <w:rsid w:val="3C8E4865"/>
    <w:rsid w:val="3C8F22E7"/>
    <w:rsid w:val="3C8F5B6A"/>
    <w:rsid w:val="3C9035EC"/>
    <w:rsid w:val="3C907D69"/>
    <w:rsid w:val="3C91106D"/>
    <w:rsid w:val="3C92326C"/>
    <w:rsid w:val="3C934571"/>
    <w:rsid w:val="3C936A65"/>
    <w:rsid w:val="3C937993"/>
    <w:rsid w:val="3C941FF2"/>
    <w:rsid w:val="3C94676F"/>
    <w:rsid w:val="3C9541F0"/>
    <w:rsid w:val="3C957A74"/>
    <w:rsid w:val="3C973023"/>
    <w:rsid w:val="3C9809F8"/>
    <w:rsid w:val="3C9839FE"/>
    <w:rsid w:val="3C99647A"/>
    <w:rsid w:val="3C9A0678"/>
    <w:rsid w:val="3C9B197D"/>
    <w:rsid w:val="3C9B5B15"/>
    <w:rsid w:val="3C9B60FA"/>
    <w:rsid w:val="3C9C3B7B"/>
    <w:rsid w:val="3C9C73FE"/>
    <w:rsid w:val="3C9D15FD"/>
    <w:rsid w:val="3C9D4E80"/>
    <w:rsid w:val="3C9E2902"/>
    <w:rsid w:val="3C9E707E"/>
    <w:rsid w:val="3C9F07CB"/>
    <w:rsid w:val="3C9F2581"/>
    <w:rsid w:val="3CA00003"/>
    <w:rsid w:val="3CA05E05"/>
    <w:rsid w:val="3CA13886"/>
    <w:rsid w:val="3CA23F97"/>
    <w:rsid w:val="3CA4480B"/>
    <w:rsid w:val="3CA449FA"/>
    <w:rsid w:val="3CA4693B"/>
    <w:rsid w:val="3CA5228C"/>
    <w:rsid w:val="3CA65F73"/>
    <w:rsid w:val="3CA67D0E"/>
    <w:rsid w:val="3CA73211"/>
    <w:rsid w:val="3CA7694E"/>
    <w:rsid w:val="3CA80C93"/>
    <w:rsid w:val="3CA96714"/>
    <w:rsid w:val="3CAA4196"/>
    <w:rsid w:val="3CAC7699"/>
    <w:rsid w:val="3CAD697D"/>
    <w:rsid w:val="3CAF061D"/>
    <w:rsid w:val="3CAF40F6"/>
    <w:rsid w:val="3CAF4F46"/>
    <w:rsid w:val="3CAF753A"/>
    <w:rsid w:val="3CB02FDD"/>
    <w:rsid w:val="3CB0609F"/>
    <w:rsid w:val="3CB12230"/>
    <w:rsid w:val="3CB13B21"/>
    <w:rsid w:val="3CB163D2"/>
    <w:rsid w:val="3CB20F63"/>
    <w:rsid w:val="3CB37786"/>
    <w:rsid w:val="3CB40325"/>
    <w:rsid w:val="3CB50CFF"/>
    <w:rsid w:val="3CB6189E"/>
    <w:rsid w:val="3CB61A62"/>
    <w:rsid w:val="3CB7243C"/>
    <w:rsid w:val="3CB75A2A"/>
    <w:rsid w:val="3CBA2232"/>
    <w:rsid w:val="3CBA69AE"/>
    <w:rsid w:val="3CBB4F2E"/>
    <w:rsid w:val="3CBB50F2"/>
    <w:rsid w:val="3CBC5735"/>
    <w:rsid w:val="3CBD666B"/>
    <w:rsid w:val="3CBE53B5"/>
    <w:rsid w:val="3CBE720A"/>
    <w:rsid w:val="3CBE7BFC"/>
    <w:rsid w:val="3CBE7DA9"/>
    <w:rsid w:val="3CBF544F"/>
    <w:rsid w:val="3CBF7768"/>
    <w:rsid w:val="3CBF7F20"/>
    <w:rsid w:val="3CC03C61"/>
    <w:rsid w:val="3CC0413B"/>
    <w:rsid w:val="3CC06339"/>
    <w:rsid w:val="3CC13DBB"/>
    <w:rsid w:val="3CC2289A"/>
    <w:rsid w:val="3CC2763E"/>
    <w:rsid w:val="3CC33439"/>
    <w:rsid w:val="3CC372BE"/>
    <w:rsid w:val="3CC42B41"/>
    <w:rsid w:val="3CC43E13"/>
    <w:rsid w:val="3CC505C3"/>
    <w:rsid w:val="3CC527C1"/>
    <w:rsid w:val="3CC66044"/>
    <w:rsid w:val="3CC71547"/>
    <w:rsid w:val="3CC73AC6"/>
    <w:rsid w:val="3CC86905"/>
    <w:rsid w:val="3CC86AC9"/>
    <w:rsid w:val="3CC911C7"/>
    <w:rsid w:val="3CCA24CC"/>
    <w:rsid w:val="3CCA6154"/>
    <w:rsid w:val="3CCC15BB"/>
    <w:rsid w:val="3CCC214C"/>
    <w:rsid w:val="3CCE564F"/>
    <w:rsid w:val="3CCF30D1"/>
    <w:rsid w:val="3CCF4271"/>
    <w:rsid w:val="3CCF60D3"/>
    <w:rsid w:val="3CCF6954"/>
    <w:rsid w:val="3CD00B52"/>
    <w:rsid w:val="3CD043D5"/>
    <w:rsid w:val="3CD04C4C"/>
    <w:rsid w:val="3CD04E10"/>
    <w:rsid w:val="3CD11E57"/>
    <w:rsid w:val="3CD26389"/>
    <w:rsid w:val="3CD278D9"/>
    <w:rsid w:val="3CD31AD7"/>
    <w:rsid w:val="3CD4773D"/>
    <w:rsid w:val="3CD662DF"/>
    <w:rsid w:val="3CD704DD"/>
    <w:rsid w:val="3CD70C03"/>
    <w:rsid w:val="3CD73D60"/>
    <w:rsid w:val="3CD75F5F"/>
    <w:rsid w:val="3CD839E0"/>
    <w:rsid w:val="3CD97263"/>
    <w:rsid w:val="3CDA245A"/>
    <w:rsid w:val="3CDA396C"/>
    <w:rsid w:val="3CDA3B31"/>
    <w:rsid w:val="3CDA4CE5"/>
    <w:rsid w:val="3CDA6EE3"/>
    <w:rsid w:val="3CDB2766"/>
    <w:rsid w:val="3CDC01E8"/>
    <w:rsid w:val="3CDC5C48"/>
    <w:rsid w:val="3CDD06FA"/>
    <w:rsid w:val="3CDD12F1"/>
    <w:rsid w:val="3CDE58E9"/>
    <w:rsid w:val="3CDE71C1"/>
    <w:rsid w:val="3CDF6BEE"/>
    <w:rsid w:val="3CE00DEC"/>
    <w:rsid w:val="3CE04670"/>
    <w:rsid w:val="3CE1686E"/>
    <w:rsid w:val="3CE27B73"/>
    <w:rsid w:val="3CE32852"/>
    <w:rsid w:val="3CE43076"/>
    <w:rsid w:val="3CE50AF7"/>
    <w:rsid w:val="3CE62CF6"/>
    <w:rsid w:val="3CE64969"/>
    <w:rsid w:val="3CE70777"/>
    <w:rsid w:val="3CE73FFB"/>
    <w:rsid w:val="3CE81A7C"/>
    <w:rsid w:val="3CE93C7A"/>
    <w:rsid w:val="3CE968BC"/>
    <w:rsid w:val="3CE974FE"/>
    <w:rsid w:val="3CEA16FC"/>
    <w:rsid w:val="3CEB0B98"/>
    <w:rsid w:val="3CEB2A01"/>
    <w:rsid w:val="3CEC0482"/>
    <w:rsid w:val="3CEC1573"/>
    <w:rsid w:val="3CEC308D"/>
    <w:rsid w:val="3CEF5B84"/>
    <w:rsid w:val="3CF01087"/>
    <w:rsid w:val="3CF03605"/>
    <w:rsid w:val="3CF04064"/>
    <w:rsid w:val="3CF06E89"/>
    <w:rsid w:val="3CF1490A"/>
    <w:rsid w:val="3CF16B08"/>
    <w:rsid w:val="3CF2458A"/>
    <w:rsid w:val="3CF257A2"/>
    <w:rsid w:val="3CF3200B"/>
    <w:rsid w:val="3CF4588F"/>
    <w:rsid w:val="3CF46EDF"/>
    <w:rsid w:val="3CF47A8D"/>
    <w:rsid w:val="3CF5550F"/>
    <w:rsid w:val="3CF60D92"/>
    <w:rsid w:val="3CF60FF7"/>
    <w:rsid w:val="3CF62F90"/>
    <w:rsid w:val="3CF81D16"/>
    <w:rsid w:val="3CF84295"/>
    <w:rsid w:val="3CF93F15"/>
    <w:rsid w:val="3CF960F6"/>
    <w:rsid w:val="3CF97798"/>
    <w:rsid w:val="3CFA521A"/>
    <w:rsid w:val="3CFB2C9B"/>
    <w:rsid w:val="3CFB4ABD"/>
    <w:rsid w:val="3CFB4FDE"/>
    <w:rsid w:val="3CFC071D"/>
    <w:rsid w:val="3CFD291B"/>
    <w:rsid w:val="3CFD5C00"/>
    <w:rsid w:val="3CFD619E"/>
    <w:rsid w:val="3CFE039D"/>
    <w:rsid w:val="3CFE3C20"/>
    <w:rsid w:val="3CFE65DA"/>
    <w:rsid w:val="3CFF16A1"/>
    <w:rsid w:val="3D007123"/>
    <w:rsid w:val="3D014BA4"/>
    <w:rsid w:val="3D021290"/>
    <w:rsid w:val="3D035B6B"/>
    <w:rsid w:val="3D0433A8"/>
    <w:rsid w:val="3D045B29"/>
    <w:rsid w:val="3D053D82"/>
    <w:rsid w:val="3D057D27"/>
    <w:rsid w:val="3D06102C"/>
    <w:rsid w:val="3D0657A9"/>
    <w:rsid w:val="3D07115F"/>
    <w:rsid w:val="3D07322A"/>
    <w:rsid w:val="3D076AAE"/>
    <w:rsid w:val="3D08452F"/>
    <w:rsid w:val="3D08605E"/>
    <w:rsid w:val="3D0B54B4"/>
    <w:rsid w:val="3D0C2F35"/>
    <w:rsid w:val="3D0D09B7"/>
    <w:rsid w:val="3D0E228D"/>
    <w:rsid w:val="3D0F2AA3"/>
    <w:rsid w:val="3D0F2C67"/>
    <w:rsid w:val="3D0F3EBA"/>
    <w:rsid w:val="3D10193C"/>
    <w:rsid w:val="3D1228C0"/>
    <w:rsid w:val="3D12591E"/>
    <w:rsid w:val="3D130342"/>
    <w:rsid w:val="3D145DC3"/>
    <w:rsid w:val="3D153845"/>
    <w:rsid w:val="3D163786"/>
    <w:rsid w:val="3D17214E"/>
    <w:rsid w:val="3D181B4D"/>
    <w:rsid w:val="3D1847CA"/>
    <w:rsid w:val="3D19224B"/>
    <w:rsid w:val="3D1A7CCD"/>
    <w:rsid w:val="3D1C31D0"/>
    <w:rsid w:val="3D1C447A"/>
    <w:rsid w:val="3D1C463E"/>
    <w:rsid w:val="3D1E06B7"/>
    <w:rsid w:val="3D1E5BB7"/>
    <w:rsid w:val="3D1F4154"/>
    <w:rsid w:val="3D1F6756"/>
    <w:rsid w:val="3D201BD6"/>
    <w:rsid w:val="3D205459"/>
    <w:rsid w:val="3D217658"/>
    <w:rsid w:val="3D2427C1"/>
    <w:rsid w:val="3D243E5F"/>
    <w:rsid w:val="3D245A43"/>
    <w:rsid w:val="3D2518E1"/>
    <w:rsid w:val="3D25605E"/>
    <w:rsid w:val="3D263ADF"/>
    <w:rsid w:val="3D26492B"/>
    <w:rsid w:val="3D271561"/>
    <w:rsid w:val="3D2748D8"/>
    <w:rsid w:val="3D274DE4"/>
    <w:rsid w:val="3D282866"/>
    <w:rsid w:val="3D295E51"/>
    <w:rsid w:val="3D2A7F67"/>
    <w:rsid w:val="3D2B37EA"/>
    <w:rsid w:val="3D2B59E9"/>
    <w:rsid w:val="3D2B758E"/>
    <w:rsid w:val="3D2C346A"/>
    <w:rsid w:val="3D2D0B07"/>
    <w:rsid w:val="3D2D0EEC"/>
    <w:rsid w:val="3D2D6CED"/>
    <w:rsid w:val="3D2E476F"/>
    <w:rsid w:val="3D2F21F1"/>
    <w:rsid w:val="3D2F43EF"/>
    <w:rsid w:val="3D313175"/>
    <w:rsid w:val="3D31435C"/>
    <w:rsid w:val="3D3178F2"/>
    <w:rsid w:val="3D320BF7"/>
    <w:rsid w:val="3D340877"/>
    <w:rsid w:val="3D3440FA"/>
    <w:rsid w:val="3D3562F8"/>
    <w:rsid w:val="3D356C89"/>
    <w:rsid w:val="3D363D7A"/>
    <w:rsid w:val="3D3717FB"/>
    <w:rsid w:val="3D380F65"/>
    <w:rsid w:val="3D383EEB"/>
    <w:rsid w:val="3D3A6003"/>
    <w:rsid w:val="3D3B0201"/>
    <w:rsid w:val="3D3B2EB9"/>
    <w:rsid w:val="3D3D3705"/>
    <w:rsid w:val="3D3D6F88"/>
    <w:rsid w:val="3D3E1186"/>
    <w:rsid w:val="3D3E4A09"/>
    <w:rsid w:val="3D3F0B93"/>
    <w:rsid w:val="3D3F6549"/>
    <w:rsid w:val="3D40210B"/>
    <w:rsid w:val="3D4072AC"/>
    <w:rsid w:val="3D412D68"/>
    <w:rsid w:val="3D420661"/>
    <w:rsid w:val="3D4218E5"/>
    <w:rsid w:val="3D4311FF"/>
    <w:rsid w:val="3D43308F"/>
    <w:rsid w:val="3D4402AC"/>
    <w:rsid w:val="3D452778"/>
    <w:rsid w:val="3D454394"/>
    <w:rsid w:val="3D461E16"/>
    <w:rsid w:val="3D464014"/>
    <w:rsid w:val="3D466670"/>
    <w:rsid w:val="3D473EB5"/>
    <w:rsid w:val="3D477897"/>
    <w:rsid w:val="3D482D9A"/>
    <w:rsid w:val="3D485319"/>
    <w:rsid w:val="3D4A6972"/>
    <w:rsid w:val="3D4B049C"/>
    <w:rsid w:val="3D4B3D1F"/>
    <w:rsid w:val="3D4B7546"/>
    <w:rsid w:val="3D4C17A1"/>
    <w:rsid w:val="3D4C5F1D"/>
    <w:rsid w:val="3D4D399F"/>
    <w:rsid w:val="3D4D7222"/>
    <w:rsid w:val="3D4E1420"/>
    <w:rsid w:val="3D4E4CA4"/>
    <w:rsid w:val="3D4F2725"/>
    <w:rsid w:val="3D504798"/>
    <w:rsid w:val="3D524314"/>
    <w:rsid w:val="3D527E27"/>
    <w:rsid w:val="3D534EB2"/>
    <w:rsid w:val="3D5358A8"/>
    <w:rsid w:val="3D54332A"/>
    <w:rsid w:val="3D56682D"/>
    <w:rsid w:val="3D5777E0"/>
    <w:rsid w:val="3D577B32"/>
    <w:rsid w:val="3D5855B3"/>
    <w:rsid w:val="3D5877B1"/>
    <w:rsid w:val="3D595233"/>
    <w:rsid w:val="3D5A0AB6"/>
    <w:rsid w:val="3D5A265A"/>
    <w:rsid w:val="3D5B0736"/>
    <w:rsid w:val="3D5B2AD3"/>
    <w:rsid w:val="3D5B3034"/>
    <w:rsid w:val="3D5C3FB9"/>
    <w:rsid w:val="3D5C61B8"/>
    <w:rsid w:val="3D5D1A3B"/>
    <w:rsid w:val="3D5E74BC"/>
    <w:rsid w:val="3D5F713C"/>
    <w:rsid w:val="3D600441"/>
    <w:rsid w:val="3D6029C0"/>
    <w:rsid w:val="3D6066C5"/>
    <w:rsid w:val="3D615EC3"/>
    <w:rsid w:val="3D61709F"/>
    <w:rsid w:val="3D6200C1"/>
    <w:rsid w:val="3D627C3E"/>
    <w:rsid w:val="3D6307DC"/>
    <w:rsid w:val="3D6435C4"/>
    <w:rsid w:val="3D646E47"/>
    <w:rsid w:val="3D651046"/>
    <w:rsid w:val="3D653486"/>
    <w:rsid w:val="3D66234A"/>
    <w:rsid w:val="3D666AC7"/>
    <w:rsid w:val="3D673E6D"/>
    <w:rsid w:val="3D681FCA"/>
    <w:rsid w:val="3D684847"/>
    <w:rsid w:val="3D68584E"/>
    <w:rsid w:val="3D697A4C"/>
    <w:rsid w:val="3D6A0D51"/>
    <w:rsid w:val="3D6B67D2"/>
    <w:rsid w:val="3D6B6B23"/>
    <w:rsid w:val="3D6C74FD"/>
    <w:rsid w:val="3D6C76C2"/>
    <w:rsid w:val="3D6D009C"/>
    <w:rsid w:val="3D6D13E7"/>
    <w:rsid w:val="3D6D6452"/>
    <w:rsid w:val="3D6E7757"/>
    <w:rsid w:val="3D6F51D8"/>
    <w:rsid w:val="3D707D6C"/>
    <w:rsid w:val="3D72372C"/>
    <w:rsid w:val="3D733BDF"/>
    <w:rsid w:val="3D734107"/>
    <w:rsid w:val="3D741660"/>
    <w:rsid w:val="3D75621E"/>
    <w:rsid w:val="3D764B63"/>
    <w:rsid w:val="3D766F81"/>
    <w:rsid w:val="3D791D75"/>
    <w:rsid w:val="3D795AE8"/>
    <w:rsid w:val="3D7A1A73"/>
    <w:rsid w:val="3D7C44EE"/>
    <w:rsid w:val="3D7D2C62"/>
    <w:rsid w:val="3D7E1B4A"/>
    <w:rsid w:val="3D7E79F1"/>
    <w:rsid w:val="3D7F5473"/>
    <w:rsid w:val="3D805CA2"/>
    <w:rsid w:val="3D810976"/>
    <w:rsid w:val="3D8263F7"/>
    <w:rsid w:val="3D827BF5"/>
    <w:rsid w:val="3D830958"/>
    <w:rsid w:val="3D8418FA"/>
    <w:rsid w:val="3D864DFE"/>
    <w:rsid w:val="3D87287F"/>
    <w:rsid w:val="3D880301"/>
    <w:rsid w:val="3D883B84"/>
    <w:rsid w:val="3D8A670D"/>
    <w:rsid w:val="3D8B4B09"/>
    <w:rsid w:val="3D8B5F3C"/>
    <w:rsid w:val="3D8C6D07"/>
    <w:rsid w:val="3D8D000C"/>
    <w:rsid w:val="3D8E220A"/>
    <w:rsid w:val="3D8E5A8D"/>
    <w:rsid w:val="3D910C10"/>
    <w:rsid w:val="3D9126AB"/>
    <w:rsid w:val="3D91318F"/>
    <w:rsid w:val="3D916A12"/>
    <w:rsid w:val="3D924493"/>
    <w:rsid w:val="3D926692"/>
    <w:rsid w:val="3D934282"/>
    <w:rsid w:val="3D941B95"/>
    <w:rsid w:val="3D944E21"/>
    <w:rsid w:val="3D955418"/>
    <w:rsid w:val="3D957616"/>
    <w:rsid w:val="3D965098"/>
    <w:rsid w:val="3D96639A"/>
    <w:rsid w:val="3D97091B"/>
    <w:rsid w:val="3D972B19"/>
    <w:rsid w:val="3D98059B"/>
    <w:rsid w:val="3D9842E8"/>
    <w:rsid w:val="3D9902ED"/>
    <w:rsid w:val="3D9918A0"/>
    <w:rsid w:val="3D993E1E"/>
    <w:rsid w:val="3D99601D"/>
    <w:rsid w:val="3D9A76D5"/>
    <w:rsid w:val="3D9B1520"/>
    <w:rsid w:val="3D9B1A2A"/>
    <w:rsid w:val="3D9D02A6"/>
    <w:rsid w:val="3D9D3B42"/>
    <w:rsid w:val="3D9E5D28"/>
    <w:rsid w:val="3D9F50BB"/>
    <w:rsid w:val="3D9F7F26"/>
    <w:rsid w:val="3DA0122B"/>
    <w:rsid w:val="3DA05C59"/>
    <w:rsid w:val="3DA167F8"/>
    <w:rsid w:val="3DA2472E"/>
    <w:rsid w:val="3DA27397"/>
    <w:rsid w:val="3DA321AF"/>
    <w:rsid w:val="3DA37D71"/>
    <w:rsid w:val="3DA40910"/>
    <w:rsid w:val="3DA443AE"/>
    <w:rsid w:val="3DA45043"/>
    <w:rsid w:val="3DA556B2"/>
    <w:rsid w:val="3DA61E89"/>
    <w:rsid w:val="3DA678B1"/>
    <w:rsid w:val="3DA70BB6"/>
    <w:rsid w:val="3DA72863"/>
    <w:rsid w:val="3DA819B8"/>
    <w:rsid w:val="3DA81ED8"/>
    <w:rsid w:val="3DA82DB4"/>
    <w:rsid w:val="3DA85FA7"/>
    <w:rsid w:val="3DA86637"/>
    <w:rsid w:val="3DA90835"/>
    <w:rsid w:val="3DA93DDC"/>
    <w:rsid w:val="3DA93FA0"/>
    <w:rsid w:val="3DA940B9"/>
    <w:rsid w:val="3DAA3D38"/>
    <w:rsid w:val="3DAA497A"/>
    <w:rsid w:val="3DAB17BA"/>
    <w:rsid w:val="3DAB60B8"/>
    <w:rsid w:val="3DAB75BC"/>
    <w:rsid w:val="3DAD4CBD"/>
    <w:rsid w:val="3DAE0540"/>
    <w:rsid w:val="3DAE273F"/>
    <w:rsid w:val="3DAF01C0"/>
    <w:rsid w:val="3DB07174"/>
    <w:rsid w:val="3DB136C3"/>
    <w:rsid w:val="3DB16F47"/>
    <w:rsid w:val="3DB21145"/>
    <w:rsid w:val="3DB22CC1"/>
    <w:rsid w:val="3DB32CC8"/>
    <w:rsid w:val="3DB36BC6"/>
    <w:rsid w:val="3DB443FE"/>
    <w:rsid w:val="3DB520C9"/>
    <w:rsid w:val="3DB5594D"/>
    <w:rsid w:val="3DB657B3"/>
    <w:rsid w:val="3DB65977"/>
    <w:rsid w:val="3DB67B4B"/>
    <w:rsid w:val="3DB70D74"/>
    <w:rsid w:val="3DB70E50"/>
    <w:rsid w:val="3DB73753"/>
    <w:rsid w:val="3DB73909"/>
    <w:rsid w:val="3DB8304E"/>
    <w:rsid w:val="3DB868D1"/>
    <w:rsid w:val="3DB86D2C"/>
    <w:rsid w:val="3DB878CA"/>
    <w:rsid w:val="3DB90AD0"/>
    <w:rsid w:val="3DB94353"/>
    <w:rsid w:val="3DBA1DD5"/>
    <w:rsid w:val="3DBA6551"/>
    <w:rsid w:val="3DBB3FD3"/>
    <w:rsid w:val="3DBB7856"/>
    <w:rsid w:val="3DBC1A54"/>
    <w:rsid w:val="3DBC52D8"/>
    <w:rsid w:val="3DBD2D59"/>
    <w:rsid w:val="3DBD5FF0"/>
    <w:rsid w:val="3DBE07DB"/>
    <w:rsid w:val="3DBE3CBE"/>
    <w:rsid w:val="3DBE4F57"/>
    <w:rsid w:val="3DBF29D9"/>
    <w:rsid w:val="3DC03CDE"/>
    <w:rsid w:val="3DC267B0"/>
    <w:rsid w:val="3DC271E1"/>
    <w:rsid w:val="3DC50166"/>
    <w:rsid w:val="3DC50703"/>
    <w:rsid w:val="3DC5216B"/>
    <w:rsid w:val="3DC52364"/>
    <w:rsid w:val="3DC56E93"/>
    <w:rsid w:val="3DC65BE7"/>
    <w:rsid w:val="3DC729DF"/>
    <w:rsid w:val="3DC75867"/>
    <w:rsid w:val="3DC810EA"/>
    <w:rsid w:val="3DC833B9"/>
    <w:rsid w:val="3DC90D6A"/>
    <w:rsid w:val="3DC93E69"/>
    <w:rsid w:val="3DCA4AF6"/>
    <w:rsid w:val="3DCA67EC"/>
    <w:rsid w:val="3DCB7AF0"/>
    <w:rsid w:val="3DCC1CEF"/>
    <w:rsid w:val="3DCC5572"/>
    <w:rsid w:val="3DCC606F"/>
    <w:rsid w:val="3DCC6ADF"/>
    <w:rsid w:val="3DCD2FF3"/>
    <w:rsid w:val="3DCE0A75"/>
    <w:rsid w:val="3DCE51F2"/>
    <w:rsid w:val="3DCE75E8"/>
    <w:rsid w:val="3DCF2C73"/>
    <w:rsid w:val="3DCF64F7"/>
    <w:rsid w:val="3DD006F5"/>
    <w:rsid w:val="3DD113D0"/>
    <w:rsid w:val="3DD119FA"/>
    <w:rsid w:val="3DD16176"/>
    <w:rsid w:val="3DD22E3D"/>
    <w:rsid w:val="3DD23BF8"/>
    <w:rsid w:val="3DD2747B"/>
    <w:rsid w:val="3DD3114F"/>
    <w:rsid w:val="3DD31670"/>
    <w:rsid w:val="3DD33817"/>
    <w:rsid w:val="3DD65E81"/>
    <w:rsid w:val="3DD73903"/>
    <w:rsid w:val="3DD76309"/>
    <w:rsid w:val="3DD81385"/>
    <w:rsid w:val="3DD86EA7"/>
    <w:rsid w:val="3DDA0420"/>
    <w:rsid w:val="3DDB2309"/>
    <w:rsid w:val="3DDC7D8B"/>
    <w:rsid w:val="3DDD580C"/>
    <w:rsid w:val="3DDE328E"/>
    <w:rsid w:val="3DE06791"/>
    <w:rsid w:val="3DE1436E"/>
    <w:rsid w:val="3DE2392C"/>
    <w:rsid w:val="3DE23AE2"/>
    <w:rsid w:val="3DE35197"/>
    <w:rsid w:val="3DE42C19"/>
    <w:rsid w:val="3DE6141D"/>
    <w:rsid w:val="3DE71DF7"/>
    <w:rsid w:val="3DE8161F"/>
    <w:rsid w:val="3DE93535"/>
    <w:rsid w:val="3DEB25A4"/>
    <w:rsid w:val="3DEB48E9"/>
    <w:rsid w:val="3DEC0025"/>
    <w:rsid w:val="3DEC38A8"/>
    <w:rsid w:val="3DEC5488"/>
    <w:rsid w:val="3DED5AA7"/>
    <w:rsid w:val="3DED6027"/>
    <w:rsid w:val="3DED6BC5"/>
    <w:rsid w:val="3DEE3528"/>
    <w:rsid w:val="3DEE6DAB"/>
    <w:rsid w:val="3DEF013E"/>
    <w:rsid w:val="3DEF482D"/>
    <w:rsid w:val="3DF022AF"/>
    <w:rsid w:val="3DF05F54"/>
    <w:rsid w:val="3DF06995"/>
    <w:rsid w:val="3DF06A2B"/>
    <w:rsid w:val="3DF17D30"/>
    <w:rsid w:val="3DF21F2E"/>
    <w:rsid w:val="3DF33233"/>
    <w:rsid w:val="3DF45431"/>
    <w:rsid w:val="3DF52EB3"/>
    <w:rsid w:val="3DF641B8"/>
    <w:rsid w:val="3DF64D47"/>
    <w:rsid w:val="3DF75525"/>
    <w:rsid w:val="3DF763B6"/>
    <w:rsid w:val="3DF876BB"/>
    <w:rsid w:val="3DF9513C"/>
    <w:rsid w:val="3DF96E5F"/>
    <w:rsid w:val="3DFA2BBE"/>
    <w:rsid w:val="3DFA4DBC"/>
    <w:rsid w:val="3DFA733B"/>
    <w:rsid w:val="3DFB059C"/>
    <w:rsid w:val="3DFB0640"/>
    <w:rsid w:val="3DFC60C1"/>
    <w:rsid w:val="3DFD26B4"/>
    <w:rsid w:val="3DFE15C4"/>
    <w:rsid w:val="3DFE37C3"/>
    <w:rsid w:val="3DFF005A"/>
    <w:rsid w:val="3DFF0210"/>
    <w:rsid w:val="3DFF7B39"/>
    <w:rsid w:val="3DFF7CEF"/>
    <w:rsid w:val="3E006CC6"/>
    <w:rsid w:val="3E007984"/>
    <w:rsid w:val="3E012549"/>
    <w:rsid w:val="3E025A4C"/>
    <w:rsid w:val="3E025B80"/>
    <w:rsid w:val="3E027FCA"/>
    <w:rsid w:val="3E0334CE"/>
    <w:rsid w:val="3E037C4A"/>
    <w:rsid w:val="3E0470F9"/>
    <w:rsid w:val="3E0569D1"/>
    <w:rsid w:val="3E057C97"/>
    <w:rsid w:val="3E060BCF"/>
    <w:rsid w:val="3E071210"/>
    <w:rsid w:val="3E071ED4"/>
    <w:rsid w:val="3E076650"/>
    <w:rsid w:val="3E0840D2"/>
    <w:rsid w:val="3E0953D7"/>
    <w:rsid w:val="3E0A1D77"/>
    <w:rsid w:val="3E0A2E58"/>
    <w:rsid w:val="3E0A3328"/>
    <w:rsid w:val="3E0B08DA"/>
    <w:rsid w:val="3E0C635B"/>
    <w:rsid w:val="3E0D2BA2"/>
    <w:rsid w:val="3E0D3DDD"/>
    <w:rsid w:val="3E0E185F"/>
    <w:rsid w:val="3E0E1A8B"/>
    <w:rsid w:val="3E0F3A5D"/>
    <w:rsid w:val="3E0F5D1F"/>
    <w:rsid w:val="3E1014DE"/>
    <w:rsid w:val="3E110AD0"/>
    <w:rsid w:val="3E1127E3"/>
    <w:rsid w:val="3E116A1F"/>
    <w:rsid w:val="3E116F60"/>
    <w:rsid w:val="3E121833"/>
    <w:rsid w:val="3E1249E2"/>
    <w:rsid w:val="3E135CE6"/>
    <w:rsid w:val="3E137EE5"/>
    <w:rsid w:val="3E1533E8"/>
    <w:rsid w:val="3E15394A"/>
    <w:rsid w:val="3E18436C"/>
    <w:rsid w:val="3E197BF0"/>
    <w:rsid w:val="3E1A5671"/>
    <w:rsid w:val="3E1A6A53"/>
    <w:rsid w:val="3E1A786F"/>
    <w:rsid w:val="3E1B0B74"/>
    <w:rsid w:val="3E1B52F1"/>
    <w:rsid w:val="3E1B58A0"/>
    <w:rsid w:val="3E1B5A56"/>
    <w:rsid w:val="3E1C2D73"/>
    <w:rsid w:val="3E1C4788"/>
    <w:rsid w:val="3E1C65F6"/>
    <w:rsid w:val="3E1D07F4"/>
    <w:rsid w:val="3E1D4077"/>
    <w:rsid w:val="3E1E1AF9"/>
    <w:rsid w:val="3E1E3305"/>
    <w:rsid w:val="3E1E6276"/>
    <w:rsid w:val="3E1F3CF7"/>
    <w:rsid w:val="3E1F757A"/>
    <w:rsid w:val="3E201779"/>
    <w:rsid w:val="3E203BE4"/>
    <w:rsid w:val="3E204FFC"/>
    <w:rsid w:val="3E212A7E"/>
    <w:rsid w:val="3E2171FA"/>
    <w:rsid w:val="3E2204FF"/>
    <w:rsid w:val="3E22515D"/>
    <w:rsid w:val="3E225321"/>
    <w:rsid w:val="3E2326FD"/>
    <w:rsid w:val="3E2345EB"/>
    <w:rsid w:val="3E235F81"/>
    <w:rsid w:val="3E24017F"/>
    <w:rsid w:val="3E243A02"/>
    <w:rsid w:val="3E2505C7"/>
    <w:rsid w:val="3E2609B2"/>
    <w:rsid w:val="3E271104"/>
    <w:rsid w:val="3E286B85"/>
    <w:rsid w:val="3E292905"/>
    <w:rsid w:val="3E294607"/>
    <w:rsid w:val="3E297E8A"/>
    <w:rsid w:val="3E2A2088"/>
    <w:rsid w:val="3E2A590C"/>
    <w:rsid w:val="3E2A7B0A"/>
    <w:rsid w:val="3E2B558B"/>
    <w:rsid w:val="3E2B711B"/>
    <w:rsid w:val="3E2E5F95"/>
    <w:rsid w:val="3E2E615A"/>
    <w:rsid w:val="3E2E6510"/>
    <w:rsid w:val="3E2F1D93"/>
    <w:rsid w:val="3E2F3F92"/>
    <w:rsid w:val="3E307815"/>
    <w:rsid w:val="3E315296"/>
    <w:rsid w:val="3E320799"/>
    <w:rsid w:val="3E322D18"/>
    <w:rsid w:val="3E33621B"/>
    <w:rsid w:val="3E35171E"/>
    <w:rsid w:val="3E353902"/>
    <w:rsid w:val="3E355E9B"/>
    <w:rsid w:val="3E36391C"/>
    <w:rsid w:val="3E37139E"/>
    <w:rsid w:val="3E374CB6"/>
    <w:rsid w:val="3E374E7B"/>
    <w:rsid w:val="3E3826A3"/>
    <w:rsid w:val="3E385855"/>
    <w:rsid w:val="3E385A19"/>
    <w:rsid w:val="3E386E20"/>
    <w:rsid w:val="3E390124"/>
    <w:rsid w:val="3E3913D7"/>
    <w:rsid w:val="3E3963F4"/>
    <w:rsid w:val="3E3B3627"/>
    <w:rsid w:val="3E3B7F54"/>
    <w:rsid w:val="3E3C10A9"/>
    <w:rsid w:val="3E3D0EE5"/>
    <w:rsid w:val="3E3D10AA"/>
    <w:rsid w:val="3E3D6B2B"/>
    <w:rsid w:val="3E3E1A84"/>
    <w:rsid w:val="3E3E1C48"/>
    <w:rsid w:val="3E3F202E"/>
    <w:rsid w:val="3E407AAF"/>
    <w:rsid w:val="3E414576"/>
    <w:rsid w:val="3E416068"/>
    <w:rsid w:val="3E425114"/>
    <w:rsid w:val="3E430A34"/>
    <w:rsid w:val="3E453F37"/>
    <w:rsid w:val="3E470969"/>
    <w:rsid w:val="3E47743A"/>
    <w:rsid w:val="3E484EBC"/>
    <w:rsid w:val="3E49293D"/>
    <w:rsid w:val="3E4A03BF"/>
    <w:rsid w:val="3E4A678D"/>
    <w:rsid w:val="3E4C1343"/>
    <w:rsid w:val="3E4D6DC5"/>
    <w:rsid w:val="3E4E4846"/>
    <w:rsid w:val="3E507D4A"/>
    <w:rsid w:val="3E510064"/>
    <w:rsid w:val="3E510819"/>
    <w:rsid w:val="3E5157CB"/>
    <w:rsid w:val="3E520C03"/>
    <w:rsid w:val="3E52324D"/>
    <w:rsid w:val="3E526AD0"/>
    <w:rsid w:val="3E530CCE"/>
    <w:rsid w:val="3E534551"/>
    <w:rsid w:val="3E541FD3"/>
    <w:rsid w:val="3E542340"/>
    <w:rsid w:val="3E546750"/>
    <w:rsid w:val="3E557A55"/>
    <w:rsid w:val="3E5636F5"/>
    <w:rsid w:val="3E5654D6"/>
    <w:rsid w:val="3E57579A"/>
    <w:rsid w:val="3E5776D4"/>
    <w:rsid w:val="3E5809D9"/>
    <w:rsid w:val="3E584682"/>
    <w:rsid w:val="3E585156"/>
    <w:rsid w:val="3E5906E4"/>
    <w:rsid w:val="3E592BD7"/>
    <w:rsid w:val="3E59645B"/>
    <w:rsid w:val="3E5A0659"/>
    <w:rsid w:val="3E5B60DB"/>
    <w:rsid w:val="3E5B7AE8"/>
    <w:rsid w:val="3E5C3B5C"/>
    <w:rsid w:val="3E5C7924"/>
    <w:rsid w:val="3E5D4E61"/>
    <w:rsid w:val="3E5E28E2"/>
    <w:rsid w:val="3E5E705F"/>
    <w:rsid w:val="3E602562"/>
    <w:rsid w:val="3E602FB4"/>
    <w:rsid w:val="3E613867"/>
    <w:rsid w:val="3E6212E9"/>
    <w:rsid w:val="3E6246F2"/>
    <w:rsid w:val="3E630F69"/>
    <w:rsid w:val="3E633482"/>
    <w:rsid w:val="3E6350CC"/>
    <w:rsid w:val="3E635290"/>
    <w:rsid w:val="3E636D6A"/>
    <w:rsid w:val="3E6415B0"/>
    <w:rsid w:val="3E6447EC"/>
    <w:rsid w:val="3E645C6A"/>
    <w:rsid w:val="3E6469EA"/>
    <w:rsid w:val="3E65064E"/>
    <w:rsid w:val="3E65226D"/>
    <w:rsid w:val="3E65446C"/>
    <w:rsid w:val="3E666CAA"/>
    <w:rsid w:val="3E667380"/>
    <w:rsid w:val="3E6676EB"/>
    <w:rsid w:val="3E675770"/>
    <w:rsid w:val="3E67796F"/>
    <w:rsid w:val="3E68075C"/>
    <w:rsid w:val="3E6831F2"/>
    <w:rsid w:val="3E6853F0"/>
    <w:rsid w:val="3E690C74"/>
    <w:rsid w:val="3E692E72"/>
    <w:rsid w:val="3E6A2A38"/>
    <w:rsid w:val="3E6A66F5"/>
    <w:rsid w:val="3E6B2874"/>
    <w:rsid w:val="3E6B4177"/>
    <w:rsid w:val="3E6B6375"/>
    <w:rsid w:val="3E6C3DF6"/>
    <w:rsid w:val="3E6C767A"/>
    <w:rsid w:val="3E6D4B50"/>
    <w:rsid w:val="3E6E72FA"/>
    <w:rsid w:val="3E6F05FE"/>
    <w:rsid w:val="3E6F4D7B"/>
    <w:rsid w:val="3E6F60C9"/>
    <w:rsid w:val="3E71027E"/>
    <w:rsid w:val="3E713B01"/>
    <w:rsid w:val="3E7201E0"/>
    <w:rsid w:val="3E7277C4"/>
    <w:rsid w:val="3E730D7F"/>
    <w:rsid w:val="3E733501"/>
    <w:rsid w:val="3E733781"/>
    <w:rsid w:val="3E737005"/>
    <w:rsid w:val="3E741203"/>
    <w:rsid w:val="3E741759"/>
    <w:rsid w:val="3E742755"/>
    <w:rsid w:val="3E744A86"/>
    <w:rsid w:val="3E752508"/>
    <w:rsid w:val="3E764706"/>
    <w:rsid w:val="3E767F89"/>
    <w:rsid w:val="3E78348C"/>
    <w:rsid w:val="3E784FAE"/>
    <w:rsid w:val="3E7A310C"/>
    <w:rsid w:val="3E7A6362"/>
    <w:rsid w:val="3E7A698F"/>
    <w:rsid w:val="3E7B0B8E"/>
    <w:rsid w:val="3E7B660F"/>
    <w:rsid w:val="3E7B6F01"/>
    <w:rsid w:val="3E7C1E93"/>
    <w:rsid w:val="3E7C24D6"/>
    <w:rsid w:val="3E7C4091"/>
    <w:rsid w:val="3E7C78DB"/>
    <w:rsid w:val="3E7D1B12"/>
    <w:rsid w:val="3E7D7914"/>
    <w:rsid w:val="3E7F2E17"/>
    <w:rsid w:val="3E813130"/>
    <w:rsid w:val="3E83181D"/>
    <w:rsid w:val="3E833A1C"/>
    <w:rsid w:val="3E833C64"/>
    <w:rsid w:val="3E83729F"/>
    <w:rsid w:val="3E844D20"/>
    <w:rsid w:val="3E845248"/>
    <w:rsid w:val="3E845DE6"/>
    <w:rsid w:val="3E856F1F"/>
    <w:rsid w:val="3E860224"/>
    <w:rsid w:val="3E8649A0"/>
    <w:rsid w:val="3E86719B"/>
    <w:rsid w:val="3E872422"/>
    <w:rsid w:val="3E875CA5"/>
    <w:rsid w:val="3E877EFE"/>
    <w:rsid w:val="3E8808D8"/>
    <w:rsid w:val="3E883727"/>
    <w:rsid w:val="3E887EA3"/>
    <w:rsid w:val="3E8911A8"/>
    <w:rsid w:val="3E895925"/>
    <w:rsid w:val="3E8A33A6"/>
    <w:rsid w:val="3E8A6C2A"/>
    <w:rsid w:val="3E8B0E28"/>
    <w:rsid w:val="3E8B46AB"/>
    <w:rsid w:val="3E8C33CA"/>
    <w:rsid w:val="3E8D018C"/>
    <w:rsid w:val="3E8D42D9"/>
    <w:rsid w:val="3E8D432B"/>
    <w:rsid w:val="3E8D7BAE"/>
    <w:rsid w:val="3E8E1DAD"/>
    <w:rsid w:val="3E8F30B2"/>
    <w:rsid w:val="3E8F54E1"/>
    <w:rsid w:val="3E9052B0"/>
    <w:rsid w:val="3E906080"/>
    <w:rsid w:val="3E912D31"/>
    <w:rsid w:val="3E9207B3"/>
    <w:rsid w:val="3E9277BD"/>
    <w:rsid w:val="3E93265B"/>
    <w:rsid w:val="3E933CB6"/>
    <w:rsid w:val="3E941738"/>
    <w:rsid w:val="3E9418D5"/>
    <w:rsid w:val="3E942C1B"/>
    <w:rsid w:val="3E95247A"/>
    <w:rsid w:val="3E954FBB"/>
    <w:rsid w:val="3E964C3B"/>
    <w:rsid w:val="3E973828"/>
    <w:rsid w:val="3E995BBF"/>
    <w:rsid w:val="3E9A3641"/>
    <w:rsid w:val="3E9A5940"/>
    <w:rsid w:val="3E9B10C2"/>
    <w:rsid w:val="3E9B4946"/>
    <w:rsid w:val="3E9C6B44"/>
    <w:rsid w:val="3E9C707D"/>
    <w:rsid w:val="3E9D2C8E"/>
    <w:rsid w:val="3E9E2047"/>
    <w:rsid w:val="3E9E74C7"/>
    <w:rsid w:val="3E9F0FD0"/>
    <w:rsid w:val="3E9F7AC9"/>
    <w:rsid w:val="3EA00DCD"/>
    <w:rsid w:val="3EA00DD4"/>
    <w:rsid w:val="3EA130E8"/>
    <w:rsid w:val="3EA1684F"/>
    <w:rsid w:val="3EA16B7F"/>
    <w:rsid w:val="3EA242D1"/>
    <w:rsid w:val="3EA55D9E"/>
    <w:rsid w:val="3EA87EB5"/>
    <w:rsid w:val="3EA93C5B"/>
    <w:rsid w:val="3EAA142E"/>
    <w:rsid w:val="3EAA16DD"/>
    <w:rsid w:val="3EAB715E"/>
    <w:rsid w:val="3EAC2B6C"/>
    <w:rsid w:val="3EAD2662"/>
    <w:rsid w:val="3EAD3546"/>
    <w:rsid w:val="3EAD4D9F"/>
    <w:rsid w:val="3EAE00E3"/>
    <w:rsid w:val="3EAE3090"/>
    <w:rsid w:val="3EAF565D"/>
    <w:rsid w:val="3EB035E6"/>
    <w:rsid w:val="3EB06037"/>
    <w:rsid w:val="3EB11068"/>
    <w:rsid w:val="3EB26AE9"/>
    <w:rsid w:val="3EB30313"/>
    <w:rsid w:val="3EB3456B"/>
    <w:rsid w:val="3EB47A6E"/>
    <w:rsid w:val="3EB62267"/>
    <w:rsid w:val="3EB72E05"/>
    <w:rsid w:val="3EB86474"/>
    <w:rsid w:val="3EB91CF7"/>
    <w:rsid w:val="3EB93EF6"/>
    <w:rsid w:val="3EBA1977"/>
    <w:rsid w:val="3EBA4F1D"/>
    <w:rsid w:val="3EBA7779"/>
    <w:rsid w:val="3EBB2C7C"/>
    <w:rsid w:val="3EBB51FB"/>
    <w:rsid w:val="3EBB5ABB"/>
    <w:rsid w:val="3EBB73F9"/>
    <w:rsid w:val="3EBC06FE"/>
    <w:rsid w:val="3EBC4E7A"/>
    <w:rsid w:val="3EBC6464"/>
    <w:rsid w:val="3EBC6496"/>
    <w:rsid w:val="3EBD4FE1"/>
    <w:rsid w:val="3EBD617F"/>
    <w:rsid w:val="3EBE3C01"/>
    <w:rsid w:val="3EBF114C"/>
    <w:rsid w:val="3EBF1682"/>
    <w:rsid w:val="3EBF5DFF"/>
    <w:rsid w:val="3EC03881"/>
    <w:rsid w:val="3EC07104"/>
    <w:rsid w:val="3EC11302"/>
    <w:rsid w:val="3EC12500"/>
    <w:rsid w:val="3EC14B85"/>
    <w:rsid w:val="3EC26D84"/>
    <w:rsid w:val="3EC30088"/>
    <w:rsid w:val="3EC34805"/>
    <w:rsid w:val="3EC42287"/>
    <w:rsid w:val="3EC5358C"/>
    <w:rsid w:val="3EC5537B"/>
    <w:rsid w:val="3EC80C8D"/>
    <w:rsid w:val="3EC90A0B"/>
    <w:rsid w:val="3EC91F92"/>
    <w:rsid w:val="3EC930B6"/>
    <w:rsid w:val="3EC9670E"/>
    <w:rsid w:val="3ECA0DF7"/>
    <w:rsid w:val="3ECA4190"/>
    <w:rsid w:val="3ECB004A"/>
    <w:rsid w:val="3ECB1C12"/>
    <w:rsid w:val="3ECB1F84"/>
    <w:rsid w:val="3ECB5495"/>
    <w:rsid w:val="3ECB7693"/>
    <w:rsid w:val="3ECC295E"/>
    <w:rsid w:val="3ECC2F16"/>
    <w:rsid w:val="3ECD0998"/>
    <w:rsid w:val="3ECD2B96"/>
    <w:rsid w:val="3ECE641A"/>
    <w:rsid w:val="3ECF6099"/>
    <w:rsid w:val="3ED05615"/>
    <w:rsid w:val="3ED1159C"/>
    <w:rsid w:val="3ED1523D"/>
    <w:rsid w:val="3ED26D52"/>
    <w:rsid w:val="3ED2701E"/>
    <w:rsid w:val="3ED30323"/>
    <w:rsid w:val="3ED328A1"/>
    <w:rsid w:val="3ED34AA0"/>
    <w:rsid w:val="3ED45DA4"/>
    <w:rsid w:val="3ED53826"/>
    <w:rsid w:val="3ED612A7"/>
    <w:rsid w:val="3ED6167F"/>
    <w:rsid w:val="3ED65A24"/>
    <w:rsid w:val="3ED7221E"/>
    <w:rsid w:val="3ED734A6"/>
    <w:rsid w:val="3ED76D29"/>
    <w:rsid w:val="3ED847AB"/>
    <w:rsid w:val="3ED9341F"/>
    <w:rsid w:val="3ED94336"/>
    <w:rsid w:val="3ED944FA"/>
    <w:rsid w:val="3ED969A9"/>
    <w:rsid w:val="3EDA0523"/>
    <w:rsid w:val="3EDA442A"/>
    <w:rsid w:val="3EDB1EAC"/>
    <w:rsid w:val="3EDC31B1"/>
    <w:rsid w:val="3EDD0C32"/>
    <w:rsid w:val="3EDD53AF"/>
    <w:rsid w:val="3EDE66B4"/>
    <w:rsid w:val="3EDF08B2"/>
    <w:rsid w:val="3EDF4135"/>
    <w:rsid w:val="3EE06334"/>
    <w:rsid w:val="3EE13DB5"/>
    <w:rsid w:val="3EE17638"/>
    <w:rsid w:val="3EE21837"/>
    <w:rsid w:val="3EE2267C"/>
    <w:rsid w:val="3EE250BA"/>
    <w:rsid w:val="3EE32B3C"/>
    <w:rsid w:val="3EE33056"/>
    <w:rsid w:val="3EE405BD"/>
    <w:rsid w:val="3EE43BF5"/>
    <w:rsid w:val="3EE5023D"/>
    <w:rsid w:val="3EE54794"/>
    <w:rsid w:val="3EE55332"/>
    <w:rsid w:val="3EE5603F"/>
    <w:rsid w:val="3EE63AC0"/>
    <w:rsid w:val="3EE65D0D"/>
    <w:rsid w:val="3EE71542"/>
    <w:rsid w:val="3EE73740"/>
    <w:rsid w:val="3EE80126"/>
    <w:rsid w:val="3EE811C2"/>
    <w:rsid w:val="3EE8492E"/>
    <w:rsid w:val="3EE94A45"/>
    <w:rsid w:val="3EE96C43"/>
    <w:rsid w:val="3EEA07FE"/>
    <w:rsid w:val="3EEA24C6"/>
    <w:rsid w:val="3EEA46C5"/>
    <w:rsid w:val="3EEB2146"/>
    <w:rsid w:val="3EEC344B"/>
    <w:rsid w:val="3EEC59CA"/>
    <w:rsid w:val="3EEC7BC8"/>
    <w:rsid w:val="3EED0ECD"/>
    <w:rsid w:val="3EEE30CB"/>
    <w:rsid w:val="3EEE34B5"/>
    <w:rsid w:val="3EEE3679"/>
    <w:rsid w:val="3EEF0B4C"/>
    <w:rsid w:val="3EEF43D0"/>
    <w:rsid w:val="3EF00FF5"/>
    <w:rsid w:val="3EF01E51"/>
    <w:rsid w:val="3EF065CE"/>
    <w:rsid w:val="3EF14050"/>
    <w:rsid w:val="3EF21AD1"/>
    <w:rsid w:val="3EF25354"/>
    <w:rsid w:val="3EF2616B"/>
    <w:rsid w:val="3EF32DD6"/>
    <w:rsid w:val="3EF52A56"/>
    <w:rsid w:val="3EF562D9"/>
    <w:rsid w:val="3EF604D7"/>
    <w:rsid w:val="3EF63D5B"/>
    <w:rsid w:val="3EF7015B"/>
    <w:rsid w:val="3EF717DC"/>
    <w:rsid w:val="3EF82D74"/>
    <w:rsid w:val="3EF82F39"/>
    <w:rsid w:val="3EF839DA"/>
    <w:rsid w:val="3EF94872"/>
    <w:rsid w:val="3EFA2761"/>
    <w:rsid w:val="3EFA6EDE"/>
    <w:rsid w:val="3EFB01E2"/>
    <w:rsid w:val="3EFB495F"/>
    <w:rsid w:val="3EFC23E1"/>
    <w:rsid w:val="3EFC5866"/>
    <w:rsid w:val="3EFC5C64"/>
    <w:rsid w:val="3EFE3365"/>
    <w:rsid w:val="3F00466A"/>
    <w:rsid w:val="3F006868"/>
    <w:rsid w:val="3F0110BB"/>
    <w:rsid w:val="3F0120EC"/>
    <w:rsid w:val="3F0142EA"/>
    <w:rsid w:val="3F021A95"/>
    <w:rsid w:val="3F022634"/>
    <w:rsid w:val="3F027B6D"/>
    <w:rsid w:val="3F0377ED"/>
    <w:rsid w:val="3F042BB6"/>
    <w:rsid w:val="3F04526F"/>
    <w:rsid w:val="3F052CF0"/>
    <w:rsid w:val="3F063FF5"/>
    <w:rsid w:val="3F071A76"/>
    <w:rsid w:val="3F097401"/>
    <w:rsid w:val="3F0A29FB"/>
    <w:rsid w:val="3F0A7FA0"/>
    <w:rsid w:val="3F0B047D"/>
    <w:rsid w:val="3F0B097A"/>
    <w:rsid w:val="3F0C5EFE"/>
    <w:rsid w:val="3F0D1EF3"/>
    <w:rsid w:val="3F0D3980"/>
    <w:rsid w:val="3F0F6E83"/>
    <w:rsid w:val="3F104904"/>
    <w:rsid w:val="3F115584"/>
    <w:rsid w:val="3F127E08"/>
    <w:rsid w:val="3F135889"/>
    <w:rsid w:val="3F136AFC"/>
    <w:rsid w:val="3F136CC1"/>
    <w:rsid w:val="3F14330B"/>
    <w:rsid w:val="3F150D8C"/>
    <w:rsid w:val="3F16680E"/>
    <w:rsid w:val="3F1717B3"/>
    <w:rsid w:val="3F17428F"/>
    <w:rsid w:val="3F1A5214"/>
    <w:rsid w:val="3F1B2C95"/>
    <w:rsid w:val="3F1C0717"/>
    <w:rsid w:val="3F1C59E2"/>
    <w:rsid w:val="3F1D3C1A"/>
    <w:rsid w:val="3F200698"/>
    <w:rsid w:val="3F204B9F"/>
    <w:rsid w:val="3F210422"/>
    <w:rsid w:val="3F212620"/>
    <w:rsid w:val="3F2200A2"/>
    <w:rsid w:val="3F221C11"/>
    <w:rsid w:val="3F225EA4"/>
    <w:rsid w:val="3F2268A2"/>
    <w:rsid w:val="3F2325EB"/>
    <w:rsid w:val="3F2327AF"/>
    <w:rsid w:val="3F233925"/>
    <w:rsid w:val="3F2350B4"/>
    <w:rsid w:val="3F2413A7"/>
    <w:rsid w:val="3F24318A"/>
    <w:rsid w:val="3F2435A5"/>
    <w:rsid w:val="3F246E28"/>
    <w:rsid w:val="3F253B64"/>
    <w:rsid w:val="3F2548AA"/>
    <w:rsid w:val="3F26232B"/>
    <w:rsid w:val="3F27452A"/>
    <w:rsid w:val="3F277DAD"/>
    <w:rsid w:val="3F281FAB"/>
    <w:rsid w:val="3F28582E"/>
    <w:rsid w:val="3F285C7B"/>
    <w:rsid w:val="3F2932B0"/>
    <w:rsid w:val="3F297A2D"/>
    <w:rsid w:val="3F2A0D32"/>
    <w:rsid w:val="3F2A54AE"/>
    <w:rsid w:val="3F2C09B1"/>
    <w:rsid w:val="3F2C130C"/>
    <w:rsid w:val="3F2C14D0"/>
    <w:rsid w:val="3F2C4235"/>
    <w:rsid w:val="3F2D1CB6"/>
    <w:rsid w:val="3F2E2A49"/>
    <w:rsid w:val="3F2E7738"/>
    <w:rsid w:val="3F2F51B9"/>
    <w:rsid w:val="3F303FC2"/>
    <w:rsid w:val="3F304187"/>
    <w:rsid w:val="3F3228BB"/>
    <w:rsid w:val="3F327891"/>
    <w:rsid w:val="3F33033C"/>
    <w:rsid w:val="3F341641"/>
    <w:rsid w:val="3F345DBE"/>
    <w:rsid w:val="3F3570C3"/>
    <w:rsid w:val="3F357817"/>
    <w:rsid w:val="3F3603B6"/>
    <w:rsid w:val="3F364B44"/>
    <w:rsid w:val="3F370BCB"/>
    <w:rsid w:val="3F3725C6"/>
    <w:rsid w:val="3F3747C4"/>
    <w:rsid w:val="3F38176A"/>
    <w:rsid w:val="3F395AC9"/>
    <w:rsid w:val="3F3A5749"/>
    <w:rsid w:val="3F3B31CA"/>
    <w:rsid w:val="3F3C0C4C"/>
    <w:rsid w:val="3F3C44CF"/>
    <w:rsid w:val="3F3C4DFA"/>
    <w:rsid w:val="3F3C6A4D"/>
    <w:rsid w:val="3F3E79D2"/>
    <w:rsid w:val="3F3F1BD0"/>
    <w:rsid w:val="3F3F5454"/>
    <w:rsid w:val="3F402ED5"/>
    <w:rsid w:val="3F407AB1"/>
    <w:rsid w:val="3F411B4D"/>
    <w:rsid w:val="3F422B55"/>
    <w:rsid w:val="3F4263D8"/>
    <w:rsid w:val="3F4305D7"/>
    <w:rsid w:val="3F4418DB"/>
    <w:rsid w:val="3F4425A2"/>
    <w:rsid w:val="3F446058"/>
    <w:rsid w:val="3F450160"/>
    <w:rsid w:val="3F453ADA"/>
    <w:rsid w:val="3F45735D"/>
    <w:rsid w:val="3F464DDE"/>
    <w:rsid w:val="3F4802E2"/>
    <w:rsid w:val="3F495D63"/>
    <w:rsid w:val="3F496996"/>
    <w:rsid w:val="3F4A37E5"/>
    <w:rsid w:val="3F4C08E9"/>
    <w:rsid w:val="3F4C3465"/>
    <w:rsid w:val="3F4C6CE8"/>
    <w:rsid w:val="3F4D603A"/>
    <w:rsid w:val="3F4D63A5"/>
    <w:rsid w:val="3F4D7170"/>
    <w:rsid w:val="3F4E1E62"/>
    <w:rsid w:val="3F4E43E9"/>
    <w:rsid w:val="3F4F2A01"/>
    <w:rsid w:val="3F4F3FBF"/>
    <w:rsid w:val="3F4F7C6C"/>
    <w:rsid w:val="3F50551A"/>
    <w:rsid w:val="3F5056EE"/>
    <w:rsid w:val="3F520BF1"/>
    <w:rsid w:val="3F522DEF"/>
    <w:rsid w:val="3F52505A"/>
    <w:rsid w:val="3F530871"/>
    <w:rsid w:val="3F536673"/>
    <w:rsid w:val="3F5462F2"/>
    <w:rsid w:val="3F551B76"/>
    <w:rsid w:val="3F5617F6"/>
    <w:rsid w:val="3F565079"/>
    <w:rsid w:val="3F570D47"/>
    <w:rsid w:val="3F577277"/>
    <w:rsid w:val="3F584CF9"/>
    <w:rsid w:val="3F595FFD"/>
    <w:rsid w:val="3F5974E6"/>
    <w:rsid w:val="3F5B0661"/>
    <w:rsid w:val="3F5B1501"/>
    <w:rsid w:val="3F5B5C7D"/>
    <w:rsid w:val="3F5C36FF"/>
    <w:rsid w:val="3F5D4F76"/>
    <w:rsid w:val="3F5D679C"/>
    <w:rsid w:val="3F5D7028"/>
    <w:rsid w:val="3F5E5B15"/>
    <w:rsid w:val="3F5E6431"/>
    <w:rsid w:val="3F5F4684"/>
    <w:rsid w:val="3F5F64EF"/>
    <w:rsid w:val="3F602105"/>
    <w:rsid w:val="3F60708E"/>
    <w:rsid w:val="3F607C2D"/>
    <w:rsid w:val="3F610607"/>
    <w:rsid w:val="3F61340A"/>
    <w:rsid w:val="3F617A68"/>
    <w:rsid w:val="3F617B87"/>
    <w:rsid w:val="3F620E8B"/>
    <w:rsid w:val="3F6211A5"/>
    <w:rsid w:val="3F625608"/>
    <w:rsid w:val="3F631B80"/>
    <w:rsid w:val="3F63308A"/>
    <w:rsid w:val="3F63690D"/>
    <w:rsid w:val="3F64438F"/>
    <w:rsid w:val="3F651E10"/>
    <w:rsid w:val="3F661A90"/>
    <w:rsid w:val="3F663E5C"/>
    <w:rsid w:val="3F6705F8"/>
    <w:rsid w:val="3F675313"/>
    <w:rsid w:val="3F677511"/>
    <w:rsid w:val="3F682D95"/>
    <w:rsid w:val="3F685210"/>
    <w:rsid w:val="3F690816"/>
    <w:rsid w:val="3F6A0496"/>
    <w:rsid w:val="3F6A23FD"/>
    <w:rsid w:val="3F6A6298"/>
    <w:rsid w:val="3F6B2091"/>
    <w:rsid w:val="3F6B3D19"/>
    <w:rsid w:val="3F6B5F18"/>
    <w:rsid w:val="3F6B74EC"/>
    <w:rsid w:val="3F6C0F7A"/>
    <w:rsid w:val="3F6C112F"/>
    <w:rsid w:val="3F6C179B"/>
    <w:rsid w:val="3F6D4C9E"/>
    <w:rsid w:val="3F6D721C"/>
    <w:rsid w:val="3F6E4FAF"/>
    <w:rsid w:val="3F6E64A8"/>
    <w:rsid w:val="3F6F01A1"/>
    <w:rsid w:val="3F7029B8"/>
    <w:rsid w:val="3F705C23"/>
    <w:rsid w:val="3F7160E6"/>
    <w:rsid w:val="3F721126"/>
    <w:rsid w:val="3F73566E"/>
    <w:rsid w:val="3F736BA7"/>
    <w:rsid w:val="3F746048"/>
    <w:rsid w:val="3F767786"/>
    <w:rsid w:val="3F767B2C"/>
    <w:rsid w:val="3F770160"/>
    <w:rsid w:val="3F77041B"/>
    <w:rsid w:val="3F7755AE"/>
    <w:rsid w:val="3F785466"/>
    <w:rsid w:val="3F7A243C"/>
    <w:rsid w:val="3F7A3757"/>
    <w:rsid w:val="3F7A3E2D"/>
    <w:rsid w:val="3F7A6532"/>
    <w:rsid w:val="3F7D4F2E"/>
    <w:rsid w:val="3F7E4F38"/>
    <w:rsid w:val="3F7F64A7"/>
    <w:rsid w:val="3F80043B"/>
    <w:rsid w:val="3F807045"/>
    <w:rsid w:val="3F815EBD"/>
    <w:rsid w:val="3F8205BE"/>
    <w:rsid w:val="3F82393F"/>
    <w:rsid w:val="3F8526D6"/>
    <w:rsid w:val="3F85289A"/>
    <w:rsid w:val="3F8630B0"/>
    <w:rsid w:val="3F865BC8"/>
    <w:rsid w:val="3F867DC6"/>
    <w:rsid w:val="3F87364A"/>
    <w:rsid w:val="3F873C4F"/>
    <w:rsid w:val="3F87704C"/>
    <w:rsid w:val="3F8832C9"/>
    <w:rsid w:val="3F890D4B"/>
    <w:rsid w:val="3F89538C"/>
    <w:rsid w:val="3F895A13"/>
    <w:rsid w:val="3F896B4D"/>
    <w:rsid w:val="3F8A45CE"/>
    <w:rsid w:val="3F8A67CD"/>
    <w:rsid w:val="3F8B424E"/>
    <w:rsid w:val="3F8C1CD0"/>
    <w:rsid w:val="3F8C7AD1"/>
    <w:rsid w:val="3F8D0A1C"/>
    <w:rsid w:val="3F8D2FD4"/>
    <w:rsid w:val="3F8E0A56"/>
    <w:rsid w:val="3F8E51D3"/>
    <w:rsid w:val="3F8F1F95"/>
    <w:rsid w:val="3F9006D6"/>
    <w:rsid w:val="3F903F59"/>
    <w:rsid w:val="3F9119DB"/>
    <w:rsid w:val="3F91350E"/>
    <w:rsid w:val="3F916157"/>
    <w:rsid w:val="3F934C4B"/>
    <w:rsid w:val="3F945626"/>
    <w:rsid w:val="3F9470DC"/>
    <w:rsid w:val="3F9503E1"/>
    <w:rsid w:val="3F954B5E"/>
    <w:rsid w:val="3F9625DF"/>
    <w:rsid w:val="3F965E62"/>
    <w:rsid w:val="3F970061"/>
    <w:rsid w:val="3F970A7C"/>
    <w:rsid w:val="3F981365"/>
    <w:rsid w:val="3F991855"/>
    <w:rsid w:val="3F996DE7"/>
    <w:rsid w:val="3F9A0FE5"/>
    <w:rsid w:val="3F9A4869"/>
    <w:rsid w:val="3F9B22EA"/>
    <w:rsid w:val="3F9C396C"/>
    <w:rsid w:val="3F9D1F6A"/>
    <w:rsid w:val="3F9D57ED"/>
    <w:rsid w:val="3F9D6AB3"/>
    <w:rsid w:val="3F9F0CF0"/>
    <w:rsid w:val="3F9F5A84"/>
    <w:rsid w:val="3FA06772"/>
    <w:rsid w:val="3FA163F2"/>
    <w:rsid w:val="3FA171C1"/>
    <w:rsid w:val="3FA21C75"/>
    <w:rsid w:val="3FA3073A"/>
    <w:rsid w:val="3FA376F7"/>
    <w:rsid w:val="3FA45178"/>
    <w:rsid w:val="3FA47376"/>
    <w:rsid w:val="3FA5067B"/>
    <w:rsid w:val="3FA51CB3"/>
    <w:rsid w:val="3FA53AE5"/>
    <w:rsid w:val="3FA54DF8"/>
    <w:rsid w:val="3FA62141"/>
    <w:rsid w:val="3FA62879"/>
    <w:rsid w:val="3FA62B83"/>
    <w:rsid w:val="3FA702FB"/>
    <w:rsid w:val="3FA73B7E"/>
    <w:rsid w:val="3FA85D7D"/>
    <w:rsid w:val="3FA937FE"/>
    <w:rsid w:val="3FA95343"/>
    <w:rsid w:val="3FA97081"/>
    <w:rsid w:val="3FAB2584"/>
    <w:rsid w:val="3FAB6D01"/>
    <w:rsid w:val="3FAC7296"/>
    <w:rsid w:val="3FAC745B"/>
    <w:rsid w:val="3FAD2204"/>
    <w:rsid w:val="3FAE3509"/>
    <w:rsid w:val="3FAE43B6"/>
    <w:rsid w:val="3FAF0F8B"/>
    <w:rsid w:val="3FAF1572"/>
    <w:rsid w:val="3FAF5707"/>
    <w:rsid w:val="3FB03189"/>
    <w:rsid w:val="3FB06A0C"/>
    <w:rsid w:val="3FB12AEB"/>
    <w:rsid w:val="3FB1448E"/>
    <w:rsid w:val="3FB21F0F"/>
    <w:rsid w:val="3FB34229"/>
    <w:rsid w:val="3FB35BEC"/>
    <w:rsid w:val="3FB37991"/>
    <w:rsid w:val="3FB543FD"/>
    <w:rsid w:val="3FB54EFD"/>
    <w:rsid w:val="3FB5617C"/>
    <w:rsid w:val="3FB62B14"/>
    <w:rsid w:val="3FB70595"/>
    <w:rsid w:val="3FB86017"/>
    <w:rsid w:val="3FB9189A"/>
    <w:rsid w:val="3FBA151A"/>
    <w:rsid w:val="3FBA180C"/>
    <w:rsid w:val="3FBA19D1"/>
    <w:rsid w:val="3FBB4D9D"/>
    <w:rsid w:val="3FBC281F"/>
    <w:rsid w:val="3FBC2F4A"/>
    <w:rsid w:val="3FBC4A1D"/>
    <w:rsid w:val="3FBD02A0"/>
    <w:rsid w:val="3FBD249F"/>
    <w:rsid w:val="3FBD3AE8"/>
    <w:rsid w:val="3FBD5D22"/>
    <w:rsid w:val="3FBE20F7"/>
    <w:rsid w:val="3FBE37A3"/>
    <w:rsid w:val="3FBE44C2"/>
    <w:rsid w:val="3FBE7F20"/>
    <w:rsid w:val="3FBF59A2"/>
    <w:rsid w:val="3FC06CA7"/>
    <w:rsid w:val="3FC108EA"/>
    <w:rsid w:val="3FC10A9F"/>
    <w:rsid w:val="3FC14728"/>
    <w:rsid w:val="3FC221AA"/>
    <w:rsid w:val="3FC26926"/>
    <w:rsid w:val="3FC27B53"/>
    <w:rsid w:val="3FC27CF2"/>
    <w:rsid w:val="3FC3686F"/>
    <w:rsid w:val="3FC36BDA"/>
    <w:rsid w:val="3FC3761C"/>
    <w:rsid w:val="3FC37C2B"/>
    <w:rsid w:val="3FC410CC"/>
    <w:rsid w:val="3FC456AD"/>
    <w:rsid w:val="3FC51C6A"/>
    <w:rsid w:val="3FC6128D"/>
    <w:rsid w:val="3FC6532D"/>
    <w:rsid w:val="3FC73D34"/>
    <w:rsid w:val="3FC840B3"/>
    <w:rsid w:val="3FC91B34"/>
    <w:rsid w:val="3FCA3D33"/>
    <w:rsid w:val="3FCA54BF"/>
    <w:rsid w:val="3FCC2AB9"/>
    <w:rsid w:val="3FCD053B"/>
    <w:rsid w:val="3FCD4A3C"/>
    <w:rsid w:val="3FCD4CB7"/>
    <w:rsid w:val="3FCE742E"/>
    <w:rsid w:val="3FCF3A3E"/>
    <w:rsid w:val="3FCF5C3C"/>
    <w:rsid w:val="3FD1113F"/>
    <w:rsid w:val="3FD1231A"/>
    <w:rsid w:val="3FD12AA3"/>
    <w:rsid w:val="3FD20E97"/>
    <w:rsid w:val="3FD21202"/>
    <w:rsid w:val="3FD249C2"/>
    <w:rsid w:val="3FD47EC6"/>
    <w:rsid w:val="3FD60E4A"/>
    <w:rsid w:val="3FD633C9"/>
    <w:rsid w:val="3FD768CC"/>
    <w:rsid w:val="3FD83D14"/>
    <w:rsid w:val="3FD8434D"/>
    <w:rsid w:val="3FD9024B"/>
    <w:rsid w:val="3FDB52D2"/>
    <w:rsid w:val="3FDC2D53"/>
    <w:rsid w:val="3FE0175A"/>
    <w:rsid w:val="3FE03829"/>
    <w:rsid w:val="3FE059F3"/>
    <w:rsid w:val="3FE171DB"/>
    <w:rsid w:val="3FE40160"/>
    <w:rsid w:val="3FE47979"/>
    <w:rsid w:val="3FE63663"/>
    <w:rsid w:val="3FE8335F"/>
    <w:rsid w:val="3FE86B66"/>
    <w:rsid w:val="3FE91433"/>
    <w:rsid w:val="3FE945E8"/>
    <w:rsid w:val="3FEB51AC"/>
    <w:rsid w:val="3FEC0081"/>
    <w:rsid w:val="3FEC0DF0"/>
    <w:rsid w:val="3FEC682B"/>
    <w:rsid w:val="3FED748A"/>
    <w:rsid w:val="3FED758E"/>
    <w:rsid w:val="3FEE42F3"/>
    <w:rsid w:val="3FEE64F1"/>
    <w:rsid w:val="3FEE6527"/>
    <w:rsid w:val="3FEE6A48"/>
    <w:rsid w:val="3FEF1D74"/>
    <w:rsid w:val="3FF016A6"/>
    <w:rsid w:val="3FF11EBC"/>
    <w:rsid w:val="3FF15277"/>
    <w:rsid w:val="3FF17476"/>
    <w:rsid w:val="3FF3077A"/>
    <w:rsid w:val="3FF32979"/>
    <w:rsid w:val="3FF403FA"/>
    <w:rsid w:val="3FF55E7C"/>
    <w:rsid w:val="3FF60466"/>
    <w:rsid w:val="3FF616FF"/>
    <w:rsid w:val="3FF638FD"/>
    <w:rsid w:val="3FF65710"/>
    <w:rsid w:val="3FF67181"/>
    <w:rsid w:val="3FF74C02"/>
    <w:rsid w:val="3FF762AF"/>
    <w:rsid w:val="3FF82684"/>
    <w:rsid w:val="3FF86E00"/>
    <w:rsid w:val="3FFA5B87"/>
    <w:rsid w:val="3FFB7D85"/>
    <w:rsid w:val="3FFC108A"/>
    <w:rsid w:val="3FFC1C67"/>
    <w:rsid w:val="3FFC231A"/>
    <w:rsid w:val="3FFC39B7"/>
    <w:rsid w:val="3FFD6B0B"/>
    <w:rsid w:val="3FFE458D"/>
    <w:rsid w:val="3FFE7A37"/>
    <w:rsid w:val="3FFE7F58"/>
    <w:rsid w:val="3FFF678B"/>
    <w:rsid w:val="4000420D"/>
    <w:rsid w:val="40011C8E"/>
    <w:rsid w:val="400133EE"/>
    <w:rsid w:val="40015512"/>
    <w:rsid w:val="40027710"/>
    <w:rsid w:val="40036064"/>
    <w:rsid w:val="400370E7"/>
    <w:rsid w:val="40042C13"/>
    <w:rsid w:val="40046496"/>
    <w:rsid w:val="40047AC2"/>
    <w:rsid w:val="400511F4"/>
    <w:rsid w:val="40053F18"/>
    <w:rsid w:val="40061999"/>
    <w:rsid w:val="40066116"/>
    <w:rsid w:val="40071619"/>
    <w:rsid w:val="4008709B"/>
    <w:rsid w:val="40094B1C"/>
    <w:rsid w:val="400B001F"/>
    <w:rsid w:val="400B542E"/>
    <w:rsid w:val="400B5E21"/>
    <w:rsid w:val="400C23CA"/>
    <w:rsid w:val="400C38A3"/>
    <w:rsid w:val="400C5AA1"/>
    <w:rsid w:val="400D1324"/>
    <w:rsid w:val="400E0FA4"/>
    <w:rsid w:val="400E4827"/>
    <w:rsid w:val="400F2769"/>
    <w:rsid w:val="401044A7"/>
    <w:rsid w:val="401157AC"/>
    <w:rsid w:val="4012322E"/>
    <w:rsid w:val="401279AA"/>
    <w:rsid w:val="40132A12"/>
    <w:rsid w:val="40142EAD"/>
    <w:rsid w:val="401435B0"/>
    <w:rsid w:val="4014414F"/>
    <w:rsid w:val="4015092F"/>
    <w:rsid w:val="401541B2"/>
    <w:rsid w:val="40154B29"/>
    <w:rsid w:val="401818B4"/>
    <w:rsid w:val="40185137"/>
    <w:rsid w:val="40186C41"/>
    <w:rsid w:val="40186E05"/>
    <w:rsid w:val="40192BB8"/>
    <w:rsid w:val="40197335"/>
    <w:rsid w:val="401977DF"/>
    <w:rsid w:val="401A01BA"/>
    <w:rsid w:val="401A037E"/>
    <w:rsid w:val="401A063A"/>
    <w:rsid w:val="401B2838"/>
    <w:rsid w:val="401B60BB"/>
    <w:rsid w:val="401C02BA"/>
    <w:rsid w:val="401C3B3D"/>
    <w:rsid w:val="401E37BD"/>
    <w:rsid w:val="40202543"/>
    <w:rsid w:val="40204742"/>
    <w:rsid w:val="402121C3"/>
    <w:rsid w:val="40215B26"/>
    <w:rsid w:val="40217FC5"/>
    <w:rsid w:val="40225A46"/>
    <w:rsid w:val="40227C45"/>
    <w:rsid w:val="402334C8"/>
    <w:rsid w:val="4023709F"/>
    <w:rsid w:val="40240F49"/>
    <w:rsid w:val="40243148"/>
    <w:rsid w:val="40250BC9"/>
    <w:rsid w:val="402569CB"/>
    <w:rsid w:val="4026664B"/>
    <w:rsid w:val="402715B4"/>
    <w:rsid w:val="40271B91"/>
    <w:rsid w:val="402A08D4"/>
    <w:rsid w:val="402A5051"/>
    <w:rsid w:val="402C2958"/>
    <w:rsid w:val="402C3DD7"/>
    <w:rsid w:val="402D1859"/>
    <w:rsid w:val="402D5FD6"/>
    <w:rsid w:val="402E3A57"/>
    <w:rsid w:val="402E72DA"/>
    <w:rsid w:val="402F14D9"/>
    <w:rsid w:val="4031025F"/>
    <w:rsid w:val="40311450"/>
    <w:rsid w:val="40311615"/>
    <w:rsid w:val="403149DC"/>
    <w:rsid w:val="4032245D"/>
    <w:rsid w:val="40333762"/>
    <w:rsid w:val="40356C65"/>
    <w:rsid w:val="40362FE4"/>
    <w:rsid w:val="40364CA5"/>
    <w:rsid w:val="40372168"/>
    <w:rsid w:val="40374367"/>
    <w:rsid w:val="40375844"/>
    <w:rsid w:val="40387BEA"/>
    <w:rsid w:val="40396DBD"/>
    <w:rsid w:val="403A7797"/>
    <w:rsid w:val="403B0B6F"/>
    <w:rsid w:val="403C0ED4"/>
    <w:rsid w:val="403D4072"/>
    <w:rsid w:val="403F31D8"/>
    <w:rsid w:val="403F4FF6"/>
    <w:rsid w:val="403F7575"/>
    <w:rsid w:val="40445456"/>
    <w:rsid w:val="40454F35"/>
    <w:rsid w:val="40457BF5"/>
    <w:rsid w:val="40471332"/>
    <w:rsid w:val="40472403"/>
    <w:rsid w:val="40487E84"/>
    <w:rsid w:val="404926E7"/>
    <w:rsid w:val="404A344A"/>
    <w:rsid w:val="404B0950"/>
    <w:rsid w:val="404B0E09"/>
    <w:rsid w:val="404B47FE"/>
    <w:rsid w:val="404C688B"/>
    <w:rsid w:val="404E1D8E"/>
    <w:rsid w:val="404F780F"/>
    <w:rsid w:val="40505291"/>
    <w:rsid w:val="40507E8F"/>
    <w:rsid w:val="40510A2D"/>
    <w:rsid w:val="40516596"/>
    <w:rsid w:val="40520794"/>
    <w:rsid w:val="405232FA"/>
    <w:rsid w:val="40524017"/>
    <w:rsid w:val="40531A99"/>
    <w:rsid w:val="4053216B"/>
    <w:rsid w:val="40542D09"/>
    <w:rsid w:val="40543C97"/>
    <w:rsid w:val="405465FA"/>
    <w:rsid w:val="405467B0"/>
    <w:rsid w:val="4054703C"/>
    <w:rsid w:val="40555BB9"/>
    <w:rsid w:val="4056719A"/>
    <w:rsid w:val="4057049F"/>
    <w:rsid w:val="40574C1C"/>
    <w:rsid w:val="40574C5C"/>
    <w:rsid w:val="4058639A"/>
    <w:rsid w:val="405939A2"/>
    <w:rsid w:val="40595BA0"/>
    <w:rsid w:val="405A3622"/>
    <w:rsid w:val="405A7913"/>
    <w:rsid w:val="405C0C68"/>
    <w:rsid w:val="405D1A2A"/>
    <w:rsid w:val="405E2028"/>
    <w:rsid w:val="405E7E2A"/>
    <w:rsid w:val="405F58AB"/>
    <w:rsid w:val="40603B42"/>
    <w:rsid w:val="40620A2E"/>
    <w:rsid w:val="406242B1"/>
    <w:rsid w:val="40631D33"/>
    <w:rsid w:val="40642868"/>
    <w:rsid w:val="406477B5"/>
    <w:rsid w:val="406519B3"/>
    <w:rsid w:val="40662CB8"/>
    <w:rsid w:val="40667BAC"/>
    <w:rsid w:val="40670739"/>
    <w:rsid w:val="40674EB6"/>
    <w:rsid w:val="40681CC4"/>
    <w:rsid w:val="406861BB"/>
    <w:rsid w:val="40693C3C"/>
    <w:rsid w:val="406A16BE"/>
    <w:rsid w:val="406A3401"/>
    <w:rsid w:val="406B713F"/>
    <w:rsid w:val="406C133E"/>
    <w:rsid w:val="406C4BC1"/>
    <w:rsid w:val="406C64A4"/>
    <w:rsid w:val="406D2642"/>
    <w:rsid w:val="406D5354"/>
    <w:rsid w:val="406D5BC1"/>
    <w:rsid w:val="406D6DBF"/>
    <w:rsid w:val="406F6A92"/>
    <w:rsid w:val="407035C7"/>
    <w:rsid w:val="40703E40"/>
    <w:rsid w:val="40711049"/>
    <w:rsid w:val="40713094"/>
    <w:rsid w:val="40720CC9"/>
    <w:rsid w:val="4073454C"/>
    <w:rsid w:val="40741FCD"/>
    <w:rsid w:val="40751A71"/>
    <w:rsid w:val="40751C4D"/>
    <w:rsid w:val="4075369B"/>
    <w:rsid w:val="40757A4F"/>
    <w:rsid w:val="40764075"/>
    <w:rsid w:val="407709D4"/>
    <w:rsid w:val="40775150"/>
    <w:rsid w:val="40782BD2"/>
    <w:rsid w:val="40786455"/>
    <w:rsid w:val="407A60D5"/>
    <w:rsid w:val="407A6407"/>
    <w:rsid w:val="407B73DA"/>
    <w:rsid w:val="407B7706"/>
    <w:rsid w:val="407C02A4"/>
    <w:rsid w:val="407D0E43"/>
    <w:rsid w:val="407D705A"/>
    <w:rsid w:val="407E19E2"/>
    <w:rsid w:val="407E4ADB"/>
    <w:rsid w:val="407F255D"/>
    <w:rsid w:val="40802F5B"/>
    <w:rsid w:val="40803861"/>
    <w:rsid w:val="408112E3"/>
    <w:rsid w:val="408234E1"/>
    <w:rsid w:val="40826D65"/>
    <w:rsid w:val="40830F63"/>
    <w:rsid w:val="40835C11"/>
    <w:rsid w:val="40842268"/>
    <w:rsid w:val="408467AF"/>
    <w:rsid w:val="4085718A"/>
    <w:rsid w:val="40861EE7"/>
    <w:rsid w:val="4086576B"/>
    <w:rsid w:val="40867B64"/>
    <w:rsid w:val="40867D28"/>
    <w:rsid w:val="408810DD"/>
    <w:rsid w:val="40882E6C"/>
    <w:rsid w:val="40891E40"/>
    <w:rsid w:val="408A4171"/>
    <w:rsid w:val="408B33B9"/>
    <w:rsid w:val="408C1872"/>
    <w:rsid w:val="408C7674"/>
    <w:rsid w:val="408D72F4"/>
    <w:rsid w:val="408E2B77"/>
    <w:rsid w:val="408E4D75"/>
    <w:rsid w:val="408E606F"/>
    <w:rsid w:val="408E7CE2"/>
    <w:rsid w:val="408F27F7"/>
    <w:rsid w:val="40900279"/>
    <w:rsid w:val="40903AFC"/>
    <w:rsid w:val="4091157D"/>
    <w:rsid w:val="40915CFA"/>
    <w:rsid w:val="4093153B"/>
    <w:rsid w:val="40942502"/>
    <w:rsid w:val="40946C7F"/>
    <w:rsid w:val="40952AB4"/>
    <w:rsid w:val="40954700"/>
    <w:rsid w:val="40957F84"/>
    <w:rsid w:val="40965A05"/>
    <w:rsid w:val="40977C03"/>
    <w:rsid w:val="40980F08"/>
    <w:rsid w:val="40985685"/>
    <w:rsid w:val="40993106"/>
    <w:rsid w:val="4099698A"/>
    <w:rsid w:val="409A0B88"/>
    <w:rsid w:val="409B1E8D"/>
    <w:rsid w:val="409B660A"/>
    <w:rsid w:val="409B6EA7"/>
    <w:rsid w:val="409C2B96"/>
    <w:rsid w:val="409C408B"/>
    <w:rsid w:val="409C790E"/>
    <w:rsid w:val="409D1B0D"/>
    <w:rsid w:val="409E1999"/>
    <w:rsid w:val="409E2E12"/>
    <w:rsid w:val="409E758E"/>
    <w:rsid w:val="409F2538"/>
    <w:rsid w:val="40A13D96"/>
    <w:rsid w:val="40A3502A"/>
    <w:rsid w:val="40A37299"/>
    <w:rsid w:val="40A45A04"/>
    <w:rsid w:val="40A45BC8"/>
    <w:rsid w:val="40A5279C"/>
    <w:rsid w:val="40A62E81"/>
    <w:rsid w:val="40A67141"/>
    <w:rsid w:val="40A73721"/>
    <w:rsid w:val="40A75C9F"/>
    <w:rsid w:val="40A77B1B"/>
    <w:rsid w:val="40A8087E"/>
    <w:rsid w:val="40A91259"/>
    <w:rsid w:val="40AA056E"/>
    <w:rsid w:val="40AB2BE8"/>
    <w:rsid w:val="40AC3EF0"/>
    <w:rsid w:val="40AC3F0F"/>
    <w:rsid w:val="40AC4411"/>
    <w:rsid w:val="40AC7BA9"/>
    <w:rsid w:val="40AE52C3"/>
    <w:rsid w:val="40AE5488"/>
    <w:rsid w:val="40B065AF"/>
    <w:rsid w:val="40B1759F"/>
    <w:rsid w:val="40B21AB2"/>
    <w:rsid w:val="40B30B18"/>
    <w:rsid w:val="40B37534"/>
    <w:rsid w:val="40B414F2"/>
    <w:rsid w:val="40B44FB5"/>
    <w:rsid w:val="40B52091"/>
    <w:rsid w:val="40B62C30"/>
    <w:rsid w:val="40B717BD"/>
    <w:rsid w:val="40B9143D"/>
    <w:rsid w:val="40B94CC0"/>
    <w:rsid w:val="40B958E6"/>
    <w:rsid w:val="40BA2742"/>
    <w:rsid w:val="40BB01C3"/>
    <w:rsid w:val="40BB4940"/>
    <w:rsid w:val="40BB5FF7"/>
    <w:rsid w:val="40BB6E5F"/>
    <w:rsid w:val="40BC5C45"/>
    <w:rsid w:val="40BC7839"/>
    <w:rsid w:val="40BD36C6"/>
    <w:rsid w:val="40BE0DB2"/>
    <w:rsid w:val="40BE1148"/>
    <w:rsid w:val="40BE58C5"/>
    <w:rsid w:val="40BF1951"/>
    <w:rsid w:val="40BF6BC9"/>
    <w:rsid w:val="40C00DC8"/>
    <w:rsid w:val="40C024EF"/>
    <w:rsid w:val="40C05905"/>
    <w:rsid w:val="40C06849"/>
    <w:rsid w:val="40C120CD"/>
    <w:rsid w:val="40C1308E"/>
    <w:rsid w:val="40C142CB"/>
    <w:rsid w:val="40C21D4C"/>
    <w:rsid w:val="40C27B4E"/>
    <w:rsid w:val="40C34442"/>
    <w:rsid w:val="40C34607"/>
    <w:rsid w:val="40C43051"/>
    <w:rsid w:val="40C4524F"/>
    <w:rsid w:val="40C52CD1"/>
    <w:rsid w:val="40C57BAE"/>
    <w:rsid w:val="40C66554"/>
    <w:rsid w:val="40C672BD"/>
    <w:rsid w:val="40C724E3"/>
    <w:rsid w:val="40C73FD6"/>
    <w:rsid w:val="40C761D4"/>
    <w:rsid w:val="40C80671"/>
    <w:rsid w:val="40C81A57"/>
    <w:rsid w:val="40C81FC2"/>
    <w:rsid w:val="40C83C56"/>
    <w:rsid w:val="40C874D9"/>
    <w:rsid w:val="40C94F5B"/>
    <w:rsid w:val="40CA7159"/>
    <w:rsid w:val="40CB2789"/>
    <w:rsid w:val="40CB4BDA"/>
    <w:rsid w:val="40CC265C"/>
    <w:rsid w:val="40CD00DD"/>
    <w:rsid w:val="40CD3961"/>
    <w:rsid w:val="40CE13E2"/>
    <w:rsid w:val="40CE48A0"/>
    <w:rsid w:val="40CF35E1"/>
    <w:rsid w:val="40CF6E64"/>
    <w:rsid w:val="40D01062"/>
    <w:rsid w:val="40D12367"/>
    <w:rsid w:val="40D1305E"/>
    <w:rsid w:val="40D16AE4"/>
    <w:rsid w:val="40D24565"/>
    <w:rsid w:val="40D27DE8"/>
    <w:rsid w:val="40D3586A"/>
    <w:rsid w:val="40D4166E"/>
    <w:rsid w:val="40D432EC"/>
    <w:rsid w:val="40D52048"/>
    <w:rsid w:val="40D645E9"/>
    <w:rsid w:val="40D667EF"/>
    <w:rsid w:val="40D709ED"/>
    <w:rsid w:val="40D735C1"/>
    <w:rsid w:val="40D74270"/>
    <w:rsid w:val="40D770E1"/>
    <w:rsid w:val="40D77348"/>
    <w:rsid w:val="40D81CF2"/>
    <w:rsid w:val="40D82A90"/>
    <w:rsid w:val="40D83EF0"/>
    <w:rsid w:val="40D84160"/>
    <w:rsid w:val="40DA4E47"/>
    <w:rsid w:val="40DA589D"/>
    <w:rsid w:val="40DB2C76"/>
    <w:rsid w:val="40DD0378"/>
    <w:rsid w:val="40DD6179"/>
    <w:rsid w:val="40DE038F"/>
    <w:rsid w:val="40DE0554"/>
    <w:rsid w:val="40DE3BFB"/>
    <w:rsid w:val="40DE5DF9"/>
    <w:rsid w:val="40DF0F2E"/>
    <w:rsid w:val="40DF387B"/>
    <w:rsid w:val="40E070FE"/>
    <w:rsid w:val="40E124A7"/>
    <w:rsid w:val="40E16D7E"/>
    <w:rsid w:val="40E20083"/>
    <w:rsid w:val="40E22E81"/>
    <w:rsid w:val="40E23A1F"/>
    <w:rsid w:val="40E23BE4"/>
    <w:rsid w:val="40E345BE"/>
    <w:rsid w:val="40E35B04"/>
    <w:rsid w:val="40E43586"/>
    <w:rsid w:val="40E4515D"/>
    <w:rsid w:val="40E51007"/>
    <w:rsid w:val="40E55CFB"/>
    <w:rsid w:val="40E55E64"/>
    <w:rsid w:val="40E63206"/>
    <w:rsid w:val="40E655D8"/>
    <w:rsid w:val="40E66A89"/>
    <w:rsid w:val="40E70C87"/>
    <w:rsid w:val="40E81F8C"/>
    <w:rsid w:val="40E86709"/>
    <w:rsid w:val="40EA548F"/>
    <w:rsid w:val="40EB2F11"/>
    <w:rsid w:val="40EB768D"/>
    <w:rsid w:val="40EC0992"/>
    <w:rsid w:val="40EC510F"/>
    <w:rsid w:val="40ED32DF"/>
    <w:rsid w:val="40ED6414"/>
    <w:rsid w:val="40F14E1A"/>
    <w:rsid w:val="40F17018"/>
    <w:rsid w:val="40F21C7A"/>
    <w:rsid w:val="40F2289C"/>
    <w:rsid w:val="40F24A9A"/>
    <w:rsid w:val="40F3031D"/>
    <w:rsid w:val="40F30ECD"/>
    <w:rsid w:val="40F3251B"/>
    <w:rsid w:val="40F37EE8"/>
    <w:rsid w:val="40F40121"/>
    <w:rsid w:val="40F47F9D"/>
    <w:rsid w:val="40F55A1F"/>
    <w:rsid w:val="40F57529"/>
    <w:rsid w:val="40F612A2"/>
    <w:rsid w:val="40F62000"/>
    <w:rsid w:val="40F76D23"/>
    <w:rsid w:val="40F82226"/>
    <w:rsid w:val="40F91EC7"/>
    <w:rsid w:val="40F942DC"/>
    <w:rsid w:val="40F94425"/>
    <w:rsid w:val="40FA1EA6"/>
    <w:rsid w:val="40FA4CB6"/>
    <w:rsid w:val="40FA572A"/>
    <w:rsid w:val="40FB31AB"/>
    <w:rsid w:val="40FB7928"/>
    <w:rsid w:val="40FC0C2D"/>
    <w:rsid w:val="40FC53A9"/>
    <w:rsid w:val="40FC63F3"/>
    <w:rsid w:val="40FE08AC"/>
    <w:rsid w:val="40FE4130"/>
    <w:rsid w:val="40FF1BB1"/>
    <w:rsid w:val="40FF632E"/>
    <w:rsid w:val="410018BF"/>
    <w:rsid w:val="41003DB0"/>
    <w:rsid w:val="41007633"/>
    <w:rsid w:val="41011831"/>
    <w:rsid w:val="41012622"/>
    <w:rsid w:val="41013BCB"/>
    <w:rsid w:val="410150B4"/>
    <w:rsid w:val="41022AB3"/>
    <w:rsid w:val="410305B7"/>
    <w:rsid w:val="41031B51"/>
    <w:rsid w:val="41032227"/>
    <w:rsid w:val="41034D34"/>
    <w:rsid w:val="41044576"/>
    <w:rsid w:val="41065CB3"/>
    <w:rsid w:val="41076FBE"/>
    <w:rsid w:val="41084A3F"/>
    <w:rsid w:val="41087067"/>
    <w:rsid w:val="410924C1"/>
    <w:rsid w:val="41097DCA"/>
    <w:rsid w:val="410A07A5"/>
    <w:rsid w:val="410A7F42"/>
    <w:rsid w:val="410B117F"/>
    <w:rsid w:val="410C28BC"/>
    <w:rsid w:val="410D0EC7"/>
    <w:rsid w:val="410D3296"/>
    <w:rsid w:val="410E3720"/>
    <w:rsid w:val="41115290"/>
    <w:rsid w:val="41115F4D"/>
    <w:rsid w:val="41140064"/>
    <w:rsid w:val="411462D3"/>
    <w:rsid w:val="41153D55"/>
    <w:rsid w:val="411615DD"/>
    <w:rsid w:val="411617A1"/>
    <w:rsid w:val="411617D6"/>
    <w:rsid w:val="411838B9"/>
    <w:rsid w:val="41184CDA"/>
    <w:rsid w:val="411B5C5E"/>
    <w:rsid w:val="411D1161"/>
    <w:rsid w:val="411D6D85"/>
    <w:rsid w:val="411E0B85"/>
    <w:rsid w:val="41200E9D"/>
    <w:rsid w:val="412010D8"/>
    <w:rsid w:val="412020E6"/>
    <w:rsid w:val="412065EA"/>
    <w:rsid w:val="4120702C"/>
    <w:rsid w:val="41217B68"/>
    <w:rsid w:val="41220E6C"/>
    <w:rsid w:val="412225DA"/>
    <w:rsid w:val="412255E9"/>
    <w:rsid w:val="4123306B"/>
    <w:rsid w:val="412368EE"/>
    <w:rsid w:val="4124436F"/>
    <w:rsid w:val="41267873"/>
    <w:rsid w:val="41271A71"/>
    <w:rsid w:val="41276809"/>
    <w:rsid w:val="41284F74"/>
    <w:rsid w:val="412929F5"/>
    <w:rsid w:val="41297098"/>
    <w:rsid w:val="412B3CFA"/>
    <w:rsid w:val="412B5EF9"/>
    <w:rsid w:val="412C177C"/>
    <w:rsid w:val="412C397A"/>
    <w:rsid w:val="412D2921"/>
    <w:rsid w:val="412D71FD"/>
    <w:rsid w:val="412E324E"/>
    <w:rsid w:val="412E4C7F"/>
    <w:rsid w:val="412F2700"/>
    <w:rsid w:val="412F48FF"/>
    <w:rsid w:val="41300182"/>
    <w:rsid w:val="41302380"/>
    <w:rsid w:val="4130498B"/>
    <w:rsid w:val="41313685"/>
    <w:rsid w:val="41317E02"/>
    <w:rsid w:val="41321107"/>
    <w:rsid w:val="4132171D"/>
    <w:rsid w:val="41325883"/>
    <w:rsid w:val="41325F04"/>
    <w:rsid w:val="41336AA3"/>
    <w:rsid w:val="41336B88"/>
    <w:rsid w:val="41340D87"/>
    <w:rsid w:val="4134460A"/>
    <w:rsid w:val="41347641"/>
    <w:rsid w:val="41356808"/>
    <w:rsid w:val="41361759"/>
    <w:rsid w:val="4136428A"/>
    <w:rsid w:val="4137558E"/>
    <w:rsid w:val="41383010"/>
    <w:rsid w:val="4138778D"/>
    <w:rsid w:val="41390A92"/>
    <w:rsid w:val="413A2C90"/>
    <w:rsid w:val="413A6513"/>
    <w:rsid w:val="413B3F95"/>
    <w:rsid w:val="413B4C25"/>
    <w:rsid w:val="413C46BC"/>
    <w:rsid w:val="413C6193"/>
    <w:rsid w:val="413E6F01"/>
    <w:rsid w:val="413F4150"/>
    <w:rsid w:val="413F7118"/>
    <w:rsid w:val="413F78DB"/>
    <w:rsid w:val="41404B99"/>
    <w:rsid w:val="4141009C"/>
    <w:rsid w:val="41415E9E"/>
    <w:rsid w:val="41422591"/>
    <w:rsid w:val="4143359F"/>
    <w:rsid w:val="414411BA"/>
    <w:rsid w:val="41462326"/>
    <w:rsid w:val="41464524"/>
    <w:rsid w:val="41477DA7"/>
    <w:rsid w:val="41485829"/>
    <w:rsid w:val="414867C0"/>
    <w:rsid w:val="41487299"/>
    <w:rsid w:val="414932AA"/>
    <w:rsid w:val="4149719B"/>
    <w:rsid w:val="414A47BD"/>
    <w:rsid w:val="414A67AD"/>
    <w:rsid w:val="414B09AC"/>
    <w:rsid w:val="414B6458"/>
    <w:rsid w:val="414B67C3"/>
    <w:rsid w:val="414C1CB1"/>
    <w:rsid w:val="414C518A"/>
    <w:rsid w:val="414C5340"/>
    <w:rsid w:val="414C642D"/>
    <w:rsid w:val="414D7732"/>
    <w:rsid w:val="414E1930"/>
    <w:rsid w:val="414E282B"/>
    <w:rsid w:val="414F198B"/>
    <w:rsid w:val="414F2C35"/>
    <w:rsid w:val="415006B7"/>
    <w:rsid w:val="415128B5"/>
    <w:rsid w:val="415154E1"/>
    <w:rsid w:val="41516138"/>
    <w:rsid w:val="41520337"/>
    <w:rsid w:val="4153163B"/>
    <w:rsid w:val="4154383A"/>
    <w:rsid w:val="415470BD"/>
    <w:rsid w:val="415625C0"/>
    <w:rsid w:val="41566D3D"/>
    <w:rsid w:val="41585AC3"/>
    <w:rsid w:val="415914C1"/>
    <w:rsid w:val="41591676"/>
    <w:rsid w:val="41592C89"/>
    <w:rsid w:val="41595743"/>
    <w:rsid w:val="415A055F"/>
    <w:rsid w:val="415A0FC6"/>
    <w:rsid w:val="415A3828"/>
    <w:rsid w:val="415D1F4B"/>
    <w:rsid w:val="415D4149"/>
    <w:rsid w:val="415E1BCB"/>
    <w:rsid w:val="415E6EB8"/>
    <w:rsid w:val="415E79CC"/>
    <w:rsid w:val="415F544E"/>
    <w:rsid w:val="415F764C"/>
    <w:rsid w:val="415F7A57"/>
    <w:rsid w:val="41602ED0"/>
    <w:rsid w:val="41612B4F"/>
    <w:rsid w:val="416219AA"/>
    <w:rsid w:val="416318D6"/>
    <w:rsid w:val="41643AD4"/>
    <w:rsid w:val="41653C86"/>
    <w:rsid w:val="41664660"/>
    <w:rsid w:val="41666FD7"/>
    <w:rsid w:val="416741BF"/>
    <w:rsid w:val="416751FF"/>
    <w:rsid w:val="41683C8E"/>
    <w:rsid w:val="41685BD9"/>
    <w:rsid w:val="41685D5D"/>
    <w:rsid w:val="416922FA"/>
    <w:rsid w:val="416A59DD"/>
    <w:rsid w:val="416B088F"/>
    <w:rsid w:val="416D21E5"/>
    <w:rsid w:val="416F56E8"/>
    <w:rsid w:val="4170316A"/>
    <w:rsid w:val="41714ABE"/>
    <w:rsid w:val="41725499"/>
    <w:rsid w:val="41735E73"/>
    <w:rsid w:val="417575B0"/>
    <w:rsid w:val="417575F2"/>
    <w:rsid w:val="41767F8A"/>
    <w:rsid w:val="41772AF5"/>
    <w:rsid w:val="41780576"/>
    <w:rsid w:val="417816C8"/>
    <w:rsid w:val="41784096"/>
    <w:rsid w:val="41784401"/>
    <w:rsid w:val="41795FF8"/>
    <w:rsid w:val="417A14FB"/>
    <w:rsid w:val="417B6F7C"/>
    <w:rsid w:val="417D5732"/>
    <w:rsid w:val="417D58F7"/>
    <w:rsid w:val="417F5983"/>
    <w:rsid w:val="41837C0C"/>
    <w:rsid w:val="41840E0E"/>
    <w:rsid w:val="4184568E"/>
    <w:rsid w:val="4185310F"/>
    <w:rsid w:val="4185788C"/>
    <w:rsid w:val="41857CF6"/>
    <w:rsid w:val="41860B91"/>
    <w:rsid w:val="41863C3D"/>
    <w:rsid w:val="418670FF"/>
    <w:rsid w:val="418672B4"/>
    <w:rsid w:val="41876612"/>
    <w:rsid w:val="41884094"/>
    <w:rsid w:val="41891B15"/>
    <w:rsid w:val="41896292"/>
    <w:rsid w:val="418A7597"/>
    <w:rsid w:val="418B1795"/>
    <w:rsid w:val="418B7E6D"/>
    <w:rsid w:val="418C2A9A"/>
    <w:rsid w:val="418E1DC0"/>
    <w:rsid w:val="418E1F84"/>
    <w:rsid w:val="418E5F9D"/>
    <w:rsid w:val="418F019B"/>
    <w:rsid w:val="418F3A1F"/>
    <w:rsid w:val="419014A0"/>
    <w:rsid w:val="41911120"/>
    <w:rsid w:val="41923435"/>
    <w:rsid w:val="41932425"/>
    <w:rsid w:val="41935615"/>
    <w:rsid w:val="41947EA6"/>
    <w:rsid w:val="41951050"/>
    <w:rsid w:val="41955928"/>
    <w:rsid w:val="419633AA"/>
    <w:rsid w:val="419655A8"/>
    <w:rsid w:val="419825D7"/>
    <w:rsid w:val="419868AD"/>
    <w:rsid w:val="4199652C"/>
    <w:rsid w:val="419A2BF8"/>
    <w:rsid w:val="419A7831"/>
    <w:rsid w:val="419C4171"/>
    <w:rsid w:val="419D4F33"/>
    <w:rsid w:val="419E6238"/>
    <w:rsid w:val="419F0436"/>
    <w:rsid w:val="41A0173B"/>
    <w:rsid w:val="41A06FEC"/>
    <w:rsid w:val="41A20564"/>
    <w:rsid w:val="41A24C3E"/>
    <w:rsid w:val="41A40141"/>
    <w:rsid w:val="41A5233F"/>
    <w:rsid w:val="41A55BC2"/>
    <w:rsid w:val="41A63644"/>
    <w:rsid w:val="41A63BF5"/>
    <w:rsid w:val="41A67DC1"/>
    <w:rsid w:val="41A710C5"/>
    <w:rsid w:val="41A745CF"/>
    <w:rsid w:val="41A74794"/>
    <w:rsid w:val="41A77FEE"/>
    <w:rsid w:val="41A832C4"/>
    <w:rsid w:val="41A90D45"/>
    <w:rsid w:val="41AA4248"/>
    <w:rsid w:val="41AA67C7"/>
    <w:rsid w:val="41AB1CCA"/>
    <w:rsid w:val="41AB2105"/>
    <w:rsid w:val="41AB7285"/>
    <w:rsid w:val="41AB7ACC"/>
    <w:rsid w:val="41AC7E24"/>
    <w:rsid w:val="41AD09C3"/>
    <w:rsid w:val="41AD1C45"/>
    <w:rsid w:val="41AD2FCF"/>
    <w:rsid w:val="41AE2C4F"/>
    <w:rsid w:val="41AF06D0"/>
    <w:rsid w:val="41AF1D77"/>
    <w:rsid w:val="41AF1F3C"/>
    <w:rsid w:val="41AF64D2"/>
    <w:rsid w:val="41B119D5"/>
    <w:rsid w:val="41B13E8F"/>
    <w:rsid w:val="41B1600A"/>
    <w:rsid w:val="41B161BF"/>
    <w:rsid w:val="41B21655"/>
    <w:rsid w:val="41B24ED8"/>
    <w:rsid w:val="41B25933"/>
    <w:rsid w:val="41B25E54"/>
    <w:rsid w:val="41B355CC"/>
    <w:rsid w:val="41B370D6"/>
    <w:rsid w:val="41B45FA6"/>
    <w:rsid w:val="41B55E5D"/>
    <w:rsid w:val="41B5779B"/>
    <w:rsid w:val="41B6005B"/>
    <w:rsid w:val="41B676E4"/>
    <w:rsid w:val="41B75ADD"/>
    <w:rsid w:val="41B77160"/>
    <w:rsid w:val="41B8355E"/>
    <w:rsid w:val="41B86DE1"/>
    <w:rsid w:val="41BA6A61"/>
    <w:rsid w:val="41BB2BB0"/>
    <w:rsid w:val="41BB7D66"/>
    <w:rsid w:val="41BC3913"/>
    <w:rsid w:val="41BC57E8"/>
    <w:rsid w:val="41BD3269"/>
    <w:rsid w:val="41BD4E8B"/>
    <w:rsid w:val="41BD79E6"/>
    <w:rsid w:val="41BE0CEB"/>
    <w:rsid w:val="41BE5467"/>
    <w:rsid w:val="41BF2EE9"/>
    <w:rsid w:val="41BF676C"/>
    <w:rsid w:val="41C041EE"/>
    <w:rsid w:val="41C11C6F"/>
    <w:rsid w:val="41C218EF"/>
    <w:rsid w:val="41C23E6E"/>
    <w:rsid w:val="41C272E5"/>
    <w:rsid w:val="41C276F1"/>
    <w:rsid w:val="41C42BF4"/>
    <w:rsid w:val="41C44DF2"/>
    <w:rsid w:val="41C50675"/>
    <w:rsid w:val="41C52874"/>
    <w:rsid w:val="41C62D89"/>
    <w:rsid w:val="41C64DF5"/>
    <w:rsid w:val="41C660F7"/>
    <w:rsid w:val="41C73BAC"/>
    <w:rsid w:val="41C837F8"/>
    <w:rsid w:val="41C8474B"/>
    <w:rsid w:val="41C9707C"/>
    <w:rsid w:val="41CA4AFD"/>
    <w:rsid w:val="41CA6CFC"/>
    <w:rsid w:val="41CC21FF"/>
    <w:rsid w:val="41CC5A82"/>
    <w:rsid w:val="41CC723D"/>
    <w:rsid w:val="41CD3503"/>
    <w:rsid w:val="41CD3BBB"/>
    <w:rsid w:val="41CE317A"/>
    <w:rsid w:val="41CE5702"/>
    <w:rsid w:val="41CF18BC"/>
    <w:rsid w:val="41CF1D2F"/>
    <w:rsid w:val="41D00C05"/>
    <w:rsid w:val="41D04488"/>
    <w:rsid w:val="41D11F0A"/>
    <w:rsid w:val="41D2798B"/>
    <w:rsid w:val="41D34BA9"/>
    <w:rsid w:val="41D3540D"/>
    <w:rsid w:val="41D42E8E"/>
    <w:rsid w:val="41D50910"/>
    <w:rsid w:val="41D66391"/>
    <w:rsid w:val="41D66AFC"/>
    <w:rsid w:val="41D8023A"/>
    <w:rsid w:val="41D97316"/>
    <w:rsid w:val="41DA218D"/>
    <w:rsid w:val="41DB2819"/>
    <w:rsid w:val="41DB2D2B"/>
    <w:rsid w:val="41DD42A4"/>
    <w:rsid w:val="41DD50CB"/>
    <w:rsid w:val="41DD5D1C"/>
    <w:rsid w:val="41DF59E2"/>
    <w:rsid w:val="41E06CA1"/>
    <w:rsid w:val="41E16D96"/>
    <w:rsid w:val="41E221A4"/>
    <w:rsid w:val="41E27C26"/>
    <w:rsid w:val="41E304D3"/>
    <w:rsid w:val="41E43129"/>
    <w:rsid w:val="41E6662C"/>
    <w:rsid w:val="41E84702"/>
    <w:rsid w:val="41E975B0"/>
    <w:rsid w:val="41EA08B5"/>
    <w:rsid w:val="41EA2E34"/>
    <w:rsid w:val="41EB2AB3"/>
    <w:rsid w:val="41ED5FB7"/>
    <w:rsid w:val="41EE5DDE"/>
    <w:rsid w:val="41EF14D0"/>
    <w:rsid w:val="41EF4D3D"/>
    <w:rsid w:val="41F027BE"/>
    <w:rsid w:val="41F12A49"/>
    <w:rsid w:val="41F149BD"/>
    <w:rsid w:val="41F25CC2"/>
    <w:rsid w:val="41F33DFE"/>
    <w:rsid w:val="41F33FC2"/>
    <w:rsid w:val="41F36D83"/>
    <w:rsid w:val="41F37EC0"/>
    <w:rsid w:val="41F411C5"/>
    <w:rsid w:val="41F56C46"/>
    <w:rsid w:val="41F646C8"/>
    <w:rsid w:val="41F77652"/>
    <w:rsid w:val="41F84348"/>
    <w:rsid w:val="41F87BCB"/>
    <w:rsid w:val="41F9564C"/>
    <w:rsid w:val="41FA23F0"/>
    <w:rsid w:val="41FA30CE"/>
    <w:rsid w:val="41FA784B"/>
    <w:rsid w:val="41FB0B50"/>
    <w:rsid w:val="41FB148E"/>
    <w:rsid w:val="41FB2309"/>
    <w:rsid w:val="41FB2532"/>
    <w:rsid w:val="41FB2D4E"/>
    <w:rsid w:val="41FC07CF"/>
    <w:rsid w:val="41FC2CE3"/>
    <w:rsid w:val="41FD36BD"/>
    <w:rsid w:val="41FD5DA8"/>
    <w:rsid w:val="41FD6251"/>
    <w:rsid w:val="41FE1AD4"/>
    <w:rsid w:val="41FE3CD2"/>
    <w:rsid w:val="41FE425C"/>
    <w:rsid w:val="4200449D"/>
    <w:rsid w:val="42004FD7"/>
    <w:rsid w:val="42005999"/>
    <w:rsid w:val="42012A59"/>
    <w:rsid w:val="42014C57"/>
    <w:rsid w:val="420226D9"/>
    <w:rsid w:val="42027AB1"/>
    <w:rsid w:val="4203048B"/>
    <w:rsid w:val="420339DD"/>
    <w:rsid w:val="42056EE1"/>
    <w:rsid w:val="420610DF"/>
    <w:rsid w:val="42064962"/>
    <w:rsid w:val="42072F7D"/>
    <w:rsid w:val="420757C4"/>
    <w:rsid w:val="42075CE5"/>
    <w:rsid w:val="42083CE0"/>
    <w:rsid w:val="420845E2"/>
    <w:rsid w:val="42087E65"/>
    <w:rsid w:val="4209418C"/>
    <w:rsid w:val="420958E7"/>
    <w:rsid w:val="420A3368"/>
    <w:rsid w:val="420B0DEA"/>
    <w:rsid w:val="420B5567"/>
    <w:rsid w:val="420C2FE8"/>
    <w:rsid w:val="420C686B"/>
    <w:rsid w:val="420D42ED"/>
    <w:rsid w:val="420D4AD1"/>
    <w:rsid w:val="420D71AC"/>
    <w:rsid w:val="420D7370"/>
    <w:rsid w:val="420E1D6F"/>
    <w:rsid w:val="420E7F0F"/>
    <w:rsid w:val="420F08E9"/>
    <w:rsid w:val="42105272"/>
    <w:rsid w:val="42112CF3"/>
    <w:rsid w:val="42117470"/>
    <w:rsid w:val="42122973"/>
    <w:rsid w:val="4212359F"/>
    <w:rsid w:val="42124EF1"/>
    <w:rsid w:val="421303F5"/>
    <w:rsid w:val="421516F9"/>
    <w:rsid w:val="42161379"/>
    <w:rsid w:val="421673AA"/>
    <w:rsid w:val="42174BFC"/>
    <w:rsid w:val="42176C30"/>
    <w:rsid w:val="4218267E"/>
    <w:rsid w:val="4218487C"/>
    <w:rsid w:val="42185A06"/>
    <w:rsid w:val="421877CE"/>
    <w:rsid w:val="42190100"/>
    <w:rsid w:val="421922FE"/>
    <w:rsid w:val="421A3603"/>
    <w:rsid w:val="421A7D7F"/>
    <w:rsid w:val="421B1084"/>
    <w:rsid w:val="421B5801"/>
    <w:rsid w:val="421B6683"/>
    <w:rsid w:val="421C6B06"/>
    <w:rsid w:val="421D2C9A"/>
    <w:rsid w:val="421D2E5F"/>
    <w:rsid w:val="421E2009"/>
    <w:rsid w:val="421E6786"/>
    <w:rsid w:val="421F4213"/>
    <w:rsid w:val="421F4DB2"/>
    <w:rsid w:val="4220550C"/>
    <w:rsid w:val="4221770A"/>
    <w:rsid w:val="42217818"/>
    <w:rsid w:val="42232C0D"/>
    <w:rsid w:val="42236491"/>
    <w:rsid w:val="422378A4"/>
    <w:rsid w:val="42237A68"/>
    <w:rsid w:val="42240442"/>
    <w:rsid w:val="42243F12"/>
    <w:rsid w:val="42245DA7"/>
    <w:rsid w:val="42250FE1"/>
    <w:rsid w:val="42256110"/>
    <w:rsid w:val="42261B80"/>
    <w:rsid w:val="42263B92"/>
    <w:rsid w:val="42271614"/>
    <w:rsid w:val="42282918"/>
    <w:rsid w:val="422830F8"/>
    <w:rsid w:val="4229039A"/>
    <w:rsid w:val="422A17CF"/>
    <w:rsid w:val="422B001A"/>
    <w:rsid w:val="422B389D"/>
    <w:rsid w:val="422B5DAF"/>
    <w:rsid w:val="422C131F"/>
    <w:rsid w:val="422C5BEA"/>
    <w:rsid w:val="422D6DA0"/>
    <w:rsid w:val="422E6A20"/>
    <w:rsid w:val="422F44A2"/>
    <w:rsid w:val="42301F23"/>
    <w:rsid w:val="42307D25"/>
    <w:rsid w:val="423157A6"/>
    <w:rsid w:val="42323228"/>
    <w:rsid w:val="42330CA9"/>
    <w:rsid w:val="4233229F"/>
    <w:rsid w:val="42332EA8"/>
    <w:rsid w:val="42333557"/>
    <w:rsid w:val="4233672B"/>
    <w:rsid w:val="42340929"/>
    <w:rsid w:val="42343402"/>
    <w:rsid w:val="42351C2E"/>
    <w:rsid w:val="42363E2C"/>
    <w:rsid w:val="423654AA"/>
    <w:rsid w:val="4237620D"/>
    <w:rsid w:val="42386A23"/>
    <w:rsid w:val="42386BE7"/>
    <w:rsid w:val="42390634"/>
    <w:rsid w:val="423A3BCC"/>
    <w:rsid w:val="423A60B6"/>
    <w:rsid w:val="423B3B37"/>
    <w:rsid w:val="423C1CEE"/>
    <w:rsid w:val="423C2277"/>
    <w:rsid w:val="423D703A"/>
    <w:rsid w:val="423D7920"/>
    <w:rsid w:val="423F253E"/>
    <w:rsid w:val="42404D69"/>
    <w:rsid w:val="42407FBF"/>
    <w:rsid w:val="42415A41"/>
    <w:rsid w:val="4241698C"/>
    <w:rsid w:val="424234C2"/>
    <w:rsid w:val="42426621"/>
    <w:rsid w:val="42432E35"/>
    <w:rsid w:val="42434C7D"/>
    <w:rsid w:val="42436E81"/>
    <w:rsid w:val="424505BE"/>
    <w:rsid w:val="42454447"/>
    <w:rsid w:val="42471B37"/>
    <w:rsid w:val="424726D6"/>
    <w:rsid w:val="4247794A"/>
    <w:rsid w:val="42483274"/>
    <w:rsid w:val="424B538C"/>
    <w:rsid w:val="424B6350"/>
    <w:rsid w:val="424C1853"/>
    <w:rsid w:val="424C5D66"/>
    <w:rsid w:val="424D72D5"/>
    <w:rsid w:val="424E4D56"/>
    <w:rsid w:val="424E57D2"/>
    <w:rsid w:val="424F27D8"/>
    <w:rsid w:val="42515CDB"/>
    <w:rsid w:val="42517CE6"/>
    <w:rsid w:val="42517E9B"/>
    <w:rsid w:val="4252155E"/>
    <w:rsid w:val="42521F95"/>
    <w:rsid w:val="425424E3"/>
    <w:rsid w:val="42545136"/>
    <w:rsid w:val="42546C60"/>
    <w:rsid w:val="42557F64"/>
    <w:rsid w:val="42562163"/>
    <w:rsid w:val="42573468"/>
    <w:rsid w:val="425761C4"/>
    <w:rsid w:val="42580EE9"/>
    <w:rsid w:val="42587B61"/>
    <w:rsid w:val="425930E7"/>
    <w:rsid w:val="4259696B"/>
    <w:rsid w:val="425A0B69"/>
    <w:rsid w:val="425A43EC"/>
    <w:rsid w:val="425B1E6E"/>
    <w:rsid w:val="425B65EB"/>
    <w:rsid w:val="425C78EF"/>
    <w:rsid w:val="425D1AEE"/>
    <w:rsid w:val="425D5371"/>
    <w:rsid w:val="425E2DCE"/>
    <w:rsid w:val="425E2DF2"/>
    <w:rsid w:val="425E3CB1"/>
    <w:rsid w:val="425F2B99"/>
    <w:rsid w:val="425F396C"/>
    <w:rsid w:val="426062F6"/>
    <w:rsid w:val="42625F75"/>
    <w:rsid w:val="426339F7"/>
    <w:rsid w:val="42636FFD"/>
    <w:rsid w:val="42646EFA"/>
    <w:rsid w:val="4265277D"/>
    <w:rsid w:val="4265497C"/>
    <w:rsid w:val="42657F42"/>
    <w:rsid w:val="42675C80"/>
    <w:rsid w:val="42677E7F"/>
    <w:rsid w:val="42685900"/>
    <w:rsid w:val="42693382"/>
    <w:rsid w:val="426A6C05"/>
    <w:rsid w:val="426B2108"/>
    <w:rsid w:val="426B4687"/>
    <w:rsid w:val="426B59C4"/>
    <w:rsid w:val="426B6885"/>
    <w:rsid w:val="426C0794"/>
    <w:rsid w:val="426C517F"/>
    <w:rsid w:val="426C7B8A"/>
    <w:rsid w:val="426D1D88"/>
    <w:rsid w:val="426E68BC"/>
    <w:rsid w:val="426E780A"/>
    <w:rsid w:val="426F3EF3"/>
    <w:rsid w:val="42702D0D"/>
    <w:rsid w:val="42706590"/>
    <w:rsid w:val="42726210"/>
    <w:rsid w:val="42732927"/>
    <w:rsid w:val="42732AEB"/>
    <w:rsid w:val="42737515"/>
    <w:rsid w:val="42741713"/>
    <w:rsid w:val="42744F96"/>
    <w:rsid w:val="42757194"/>
    <w:rsid w:val="42764C03"/>
    <w:rsid w:val="42772697"/>
    <w:rsid w:val="427755DD"/>
    <w:rsid w:val="42785FB7"/>
    <w:rsid w:val="4278617C"/>
    <w:rsid w:val="42796B56"/>
    <w:rsid w:val="42796D1A"/>
    <w:rsid w:val="427B074B"/>
    <w:rsid w:val="427B109E"/>
    <w:rsid w:val="427B4921"/>
    <w:rsid w:val="427B6B1F"/>
    <w:rsid w:val="427C0E32"/>
    <w:rsid w:val="427C23A2"/>
    <w:rsid w:val="427D1648"/>
    <w:rsid w:val="427E7AA4"/>
    <w:rsid w:val="427F3327"/>
    <w:rsid w:val="427F5525"/>
    <w:rsid w:val="42800DA9"/>
    <w:rsid w:val="428044C2"/>
    <w:rsid w:val="42810A28"/>
    <w:rsid w:val="4281682A"/>
    <w:rsid w:val="42825A3B"/>
    <w:rsid w:val="42831D2D"/>
    <w:rsid w:val="42833F2C"/>
    <w:rsid w:val="428377AF"/>
    <w:rsid w:val="428419AD"/>
    <w:rsid w:val="42845230"/>
    <w:rsid w:val="42846FB4"/>
    <w:rsid w:val="42852CB2"/>
    <w:rsid w:val="4285742F"/>
    <w:rsid w:val="42860734"/>
    <w:rsid w:val="42864EB0"/>
    <w:rsid w:val="42872932"/>
    <w:rsid w:val="42881AA6"/>
    <w:rsid w:val="428916B8"/>
    <w:rsid w:val="42895E35"/>
    <w:rsid w:val="428A38B6"/>
    <w:rsid w:val="428B3BBD"/>
    <w:rsid w:val="428C263D"/>
    <w:rsid w:val="428C475C"/>
    <w:rsid w:val="428D00BE"/>
    <w:rsid w:val="428F35C1"/>
    <w:rsid w:val="42901043"/>
    <w:rsid w:val="429057C0"/>
    <w:rsid w:val="42920CC3"/>
    <w:rsid w:val="4292152A"/>
    <w:rsid w:val="42924546"/>
    <w:rsid w:val="42931FC8"/>
    <w:rsid w:val="42941C47"/>
    <w:rsid w:val="42942AA3"/>
    <w:rsid w:val="42953641"/>
    <w:rsid w:val="429554CB"/>
    <w:rsid w:val="429576C9"/>
    <w:rsid w:val="42962F4C"/>
    <w:rsid w:val="429749F6"/>
    <w:rsid w:val="4298064E"/>
    <w:rsid w:val="429960CF"/>
    <w:rsid w:val="429A1953"/>
    <w:rsid w:val="429A3B51"/>
    <w:rsid w:val="429A76AC"/>
    <w:rsid w:val="429B73D4"/>
    <w:rsid w:val="429C4E56"/>
    <w:rsid w:val="429C7054"/>
    <w:rsid w:val="429D0359"/>
    <w:rsid w:val="429D17C3"/>
    <w:rsid w:val="429E219E"/>
    <w:rsid w:val="429E2362"/>
    <w:rsid w:val="429E24FE"/>
    <w:rsid w:val="429E5DDA"/>
    <w:rsid w:val="429F2D3C"/>
    <w:rsid w:val="42A1447A"/>
    <w:rsid w:val="42A16D5F"/>
    <w:rsid w:val="42A247E0"/>
    <w:rsid w:val="42A25018"/>
    <w:rsid w:val="42A55765"/>
    <w:rsid w:val="42A631E7"/>
    <w:rsid w:val="42A706A9"/>
    <w:rsid w:val="42A70C68"/>
    <w:rsid w:val="42A81A5D"/>
    <w:rsid w:val="42A95791"/>
    <w:rsid w:val="42AA1BED"/>
    <w:rsid w:val="42AB3B75"/>
    <w:rsid w:val="42AB3D39"/>
    <w:rsid w:val="42AB766E"/>
    <w:rsid w:val="42AC4713"/>
    <w:rsid w:val="42AC50F0"/>
    <w:rsid w:val="42AF6075"/>
    <w:rsid w:val="42AF682B"/>
    <w:rsid w:val="42B0401C"/>
    <w:rsid w:val="42B26C49"/>
    <w:rsid w:val="42B26FF9"/>
    <w:rsid w:val="42B559FF"/>
    <w:rsid w:val="42B61283"/>
    <w:rsid w:val="42B707FA"/>
    <w:rsid w:val="42B84786"/>
    <w:rsid w:val="42B86984"/>
    <w:rsid w:val="42B92207"/>
    <w:rsid w:val="42BA1E87"/>
    <w:rsid w:val="42BA6C89"/>
    <w:rsid w:val="42BB570A"/>
    <w:rsid w:val="42BB7663"/>
    <w:rsid w:val="42BB7828"/>
    <w:rsid w:val="42BB7909"/>
    <w:rsid w:val="42BC0C0E"/>
    <w:rsid w:val="42BC538A"/>
    <w:rsid w:val="42BD2E0C"/>
    <w:rsid w:val="42BD668F"/>
    <w:rsid w:val="42BE177B"/>
    <w:rsid w:val="42BF1B92"/>
    <w:rsid w:val="42C02CF4"/>
    <w:rsid w:val="42C11812"/>
    <w:rsid w:val="42C13892"/>
    <w:rsid w:val="42C13A57"/>
    <w:rsid w:val="42C22B17"/>
    <w:rsid w:val="42C30598"/>
    <w:rsid w:val="42C34D15"/>
    <w:rsid w:val="42C46549"/>
    <w:rsid w:val="42C50218"/>
    <w:rsid w:val="42C53A9C"/>
    <w:rsid w:val="42C6151D"/>
    <w:rsid w:val="42C76F9F"/>
    <w:rsid w:val="42C84A20"/>
    <w:rsid w:val="42C924A2"/>
    <w:rsid w:val="42C96C1E"/>
    <w:rsid w:val="42CA46A0"/>
    <w:rsid w:val="42CA6073"/>
    <w:rsid w:val="42CA7F23"/>
    <w:rsid w:val="42CB59A5"/>
    <w:rsid w:val="42CC5625"/>
    <w:rsid w:val="42CC7BA3"/>
    <w:rsid w:val="42CD0EA8"/>
    <w:rsid w:val="42CE6929"/>
    <w:rsid w:val="42CF43AB"/>
    <w:rsid w:val="42D01E2D"/>
    <w:rsid w:val="42D0402B"/>
    <w:rsid w:val="42D069A7"/>
    <w:rsid w:val="42D11AAC"/>
    <w:rsid w:val="42D178AE"/>
    <w:rsid w:val="42D17F20"/>
    <w:rsid w:val="42D25330"/>
    <w:rsid w:val="42D264A4"/>
    <w:rsid w:val="42D26717"/>
    <w:rsid w:val="42D2752E"/>
    <w:rsid w:val="42D34FAF"/>
    <w:rsid w:val="42D357B4"/>
    <w:rsid w:val="42D409BF"/>
    <w:rsid w:val="42D42037"/>
    <w:rsid w:val="42D44A08"/>
    <w:rsid w:val="42D52BD6"/>
    <w:rsid w:val="42D53D36"/>
    <w:rsid w:val="42D60D72"/>
    <w:rsid w:val="42D617B7"/>
    <w:rsid w:val="42D65F34"/>
    <w:rsid w:val="42D739B6"/>
    <w:rsid w:val="42D73F8A"/>
    <w:rsid w:val="42D81437"/>
    <w:rsid w:val="42D84CBA"/>
    <w:rsid w:val="42D9273C"/>
    <w:rsid w:val="42DA493A"/>
    <w:rsid w:val="42DA6266"/>
    <w:rsid w:val="42DB23BC"/>
    <w:rsid w:val="42DB5C3F"/>
    <w:rsid w:val="42DC7E3D"/>
    <w:rsid w:val="42DD01B9"/>
    <w:rsid w:val="42DD58BF"/>
    <w:rsid w:val="42DE3341"/>
    <w:rsid w:val="42DE6BC4"/>
    <w:rsid w:val="42DF22D1"/>
    <w:rsid w:val="42DF7F75"/>
    <w:rsid w:val="42E06844"/>
    <w:rsid w:val="42E10D3E"/>
    <w:rsid w:val="42E21D47"/>
    <w:rsid w:val="42E255CA"/>
    <w:rsid w:val="42E3304C"/>
    <w:rsid w:val="42E377C8"/>
    <w:rsid w:val="42E40ACD"/>
    <w:rsid w:val="42E42CCB"/>
    <w:rsid w:val="42E4524A"/>
    <w:rsid w:val="42E45B26"/>
    <w:rsid w:val="42E5074D"/>
    <w:rsid w:val="42E56500"/>
    <w:rsid w:val="42E63FD0"/>
    <w:rsid w:val="42E6709F"/>
    <w:rsid w:val="42E71A52"/>
    <w:rsid w:val="42E73C50"/>
    <w:rsid w:val="42E816D2"/>
    <w:rsid w:val="42E874D3"/>
    <w:rsid w:val="42E90FF2"/>
    <w:rsid w:val="42E94F55"/>
    <w:rsid w:val="42E97153"/>
    <w:rsid w:val="42EA29D6"/>
    <w:rsid w:val="42EB0458"/>
    <w:rsid w:val="42EB32CE"/>
    <w:rsid w:val="42EC00D8"/>
    <w:rsid w:val="42EC3109"/>
    <w:rsid w:val="42EC395B"/>
    <w:rsid w:val="42EC3CA8"/>
    <w:rsid w:val="42EC5ED9"/>
    <w:rsid w:val="42EE35DB"/>
    <w:rsid w:val="42EE5221"/>
    <w:rsid w:val="42EE6E5E"/>
    <w:rsid w:val="42EF48E0"/>
    <w:rsid w:val="42F02924"/>
    <w:rsid w:val="42F06ADE"/>
    <w:rsid w:val="42F14560"/>
    <w:rsid w:val="42F17338"/>
    <w:rsid w:val="42F17DE3"/>
    <w:rsid w:val="42F21FE1"/>
    <w:rsid w:val="42F25864"/>
    <w:rsid w:val="42F2710B"/>
    <w:rsid w:val="42F332E6"/>
    <w:rsid w:val="42F40D67"/>
    <w:rsid w:val="42F454E4"/>
    <w:rsid w:val="42F51FEF"/>
    <w:rsid w:val="42F567E9"/>
    <w:rsid w:val="42F6426B"/>
    <w:rsid w:val="42F71CEC"/>
    <w:rsid w:val="42F76469"/>
    <w:rsid w:val="42F84106"/>
    <w:rsid w:val="42F8776E"/>
    <w:rsid w:val="42F9196C"/>
    <w:rsid w:val="42F951EF"/>
    <w:rsid w:val="42FA2C71"/>
    <w:rsid w:val="42FB4E6F"/>
    <w:rsid w:val="42FB6BF8"/>
    <w:rsid w:val="42FC6174"/>
    <w:rsid w:val="42FD0171"/>
    <w:rsid w:val="42FD5DF4"/>
    <w:rsid w:val="42FE1677"/>
    <w:rsid w:val="42FF1DAA"/>
    <w:rsid w:val="42FF70F8"/>
    <w:rsid w:val="43004B7A"/>
    <w:rsid w:val="43006D78"/>
    <w:rsid w:val="430125FC"/>
    <w:rsid w:val="43012E27"/>
    <w:rsid w:val="43014CE6"/>
    <w:rsid w:val="4302007D"/>
    <w:rsid w:val="4302227B"/>
    <w:rsid w:val="43023801"/>
    <w:rsid w:val="43033E10"/>
    <w:rsid w:val="43035AFF"/>
    <w:rsid w:val="43041002"/>
    <w:rsid w:val="430664B8"/>
    <w:rsid w:val="43071F86"/>
    <w:rsid w:val="43076E92"/>
    <w:rsid w:val="43077BF5"/>
    <w:rsid w:val="43087A08"/>
    <w:rsid w:val="4309116E"/>
    <w:rsid w:val="430C30C1"/>
    <w:rsid w:val="430C3285"/>
    <w:rsid w:val="430C640E"/>
    <w:rsid w:val="430D3E90"/>
    <w:rsid w:val="430E645B"/>
    <w:rsid w:val="430F7393"/>
    <w:rsid w:val="43100A85"/>
    <w:rsid w:val="431272F0"/>
    <w:rsid w:val="43135D99"/>
    <w:rsid w:val="43137E8F"/>
    <w:rsid w:val="4315129C"/>
    <w:rsid w:val="43162980"/>
    <w:rsid w:val="43166D1E"/>
    <w:rsid w:val="4317351F"/>
    <w:rsid w:val="431736E3"/>
    <w:rsid w:val="43182221"/>
    <w:rsid w:val="43194A98"/>
    <w:rsid w:val="431B31A5"/>
    <w:rsid w:val="431C0C27"/>
    <w:rsid w:val="431C130F"/>
    <w:rsid w:val="431D0562"/>
    <w:rsid w:val="431D1F2C"/>
    <w:rsid w:val="431D66A9"/>
    <w:rsid w:val="431E02ED"/>
    <w:rsid w:val="431E7600"/>
    <w:rsid w:val="431E79AD"/>
    <w:rsid w:val="431F762D"/>
    <w:rsid w:val="432050AF"/>
    <w:rsid w:val="43210932"/>
    <w:rsid w:val="43212B30"/>
    <w:rsid w:val="432205B2"/>
    <w:rsid w:val="432418B7"/>
    <w:rsid w:val="43244357"/>
    <w:rsid w:val="43251536"/>
    <w:rsid w:val="43255A95"/>
    <w:rsid w:val="43257338"/>
    <w:rsid w:val="4326283B"/>
    <w:rsid w:val="432824BB"/>
    <w:rsid w:val="4329074B"/>
    <w:rsid w:val="432937C0"/>
    <w:rsid w:val="43297F3D"/>
    <w:rsid w:val="432A0004"/>
    <w:rsid w:val="432A1241"/>
    <w:rsid w:val="432A59BE"/>
    <w:rsid w:val="432B3440"/>
    <w:rsid w:val="432B6CC3"/>
    <w:rsid w:val="432C0EC1"/>
    <w:rsid w:val="432C1DDD"/>
    <w:rsid w:val="432C2669"/>
    <w:rsid w:val="432C2862"/>
    <w:rsid w:val="432C4745"/>
    <w:rsid w:val="432D21C6"/>
    <w:rsid w:val="432D6943"/>
    <w:rsid w:val="432E43C4"/>
    <w:rsid w:val="432E7C48"/>
    <w:rsid w:val="432F1E46"/>
    <w:rsid w:val="4330314B"/>
    <w:rsid w:val="43310BCC"/>
    <w:rsid w:val="43315349"/>
    <w:rsid w:val="43322DCB"/>
    <w:rsid w:val="433272A7"/>
    <w:rsid w:val="4333084C"/>
    <w:rsid w:val="433340CF"/>
    <w:rsid w:val="43341B51"/>
    <w:rsid w:val="433462CE"/>
    <w:rsid w:val="43351583"/>
    <w:rsid w:val="433517D1"/>
    <w:rsid w:val="43361F5E"/>
    <w:rsid w:val="43372AD6"/>
    <w:rsid w:val="43380557"/>
    <w:rsid w:val="433901D7"/>
    <w:rsid w:val="43394075"/>
    <w:rsid w:val="43395FD9"/>
    <w:rsid w:val="433A6FE6"/>
    <w:rsid w:val="433B36DA"/>
    <w:rsid w:val="433B45BA"/>
    <w:rsid w:val="433B55EE"/>
    <w:rsid w:val="433C6F5D"/>
    <w:rsid w:val="433D6B67"/>
    <w:rsid w:val="433D6BDD"/>
    <w:rsid w:val="433F0C7E"/>
    <w:rsid w:val="433F11B1"/>
    <w:rsid w:val="4340181D"/>
    <w:rsid w:val="434033E5"/>
    <w:rsid w:val="43407B62"/>
    <w:rsid w:val="43410E67"/>
    <w:rsid w:val="434121F7"/>
    <w:rsid w:val="434155E3"/>
    <w:rsid w:val="43423065"/>
    <w:rsid w:val="43433935"/>
    <w:rsid w:val="4343436A"/>
    <w:rsid w:val="43441DEB"/>
    <w:rsid w:val="434444D3"/>
    <w:rsid w:val="43453FEA"/>
    <w:rsid w:val="43454EAD"/>
    <w:rsid w:val="4345786D"/>
    <w:rsid w:val="43461A6B"/>
    <w:rsid w:val="434652EE"/>
    <w:rsid w:val="43465A4C"/>
    <w:rsid w:val="43470585"/>
    <w:rsid w:val="43472D70"/>
    <w:rsid w:val="434765EB"/>
    <w:rsid w:val="43480868"/>
    <w:rsid w:val="434929F0"/>
    <w:rsid w:val="43496273"/>
    <w:rsid w:val="43496D97"/>
    <w:rsid w:val="434A3CF5"/>
    <w:rsid w:val="434B10DD"/>
    <w:rsid w:val="434B1776"/>
    <w:rsid w:val="434C281A"/>
    <w:rsid w:val="434C3974"/>
    <w:rsid w:val="434D13F6"/>
    <w:rsid w:val="434D4C79"/>
    <w:rsid w:val="434D6E78"/>
    <w:rsid w:val="434E26FB"/>
    <w:rsid w:val="434E48F9"/>
    <w:rsid w:val="4350530C"/>
    <w:rsid w:val="4350713C"/>
    <w:rsid w:val="4351367F"/>
    <w:rsid w:val="43515CE6"/>
    <w:rsid w:val="43515EAA"/>
    <w:rsid w:val="435232FF"/>
    <w:rsid w:val="43526A49"/>
    <w:rsid w:val="43530D81"/>
    <w:rsid w:val="43536B83"/>
    <w:rsid w:val="43546802"/>
    <w:rsid w:val="435530CD"/>
    <w:rsid w:val="43565589"/>
    <w:rsid w:val="43571729"/>
    <w:rsid w:val="435720D9"/>
    <w:rsid w:val="4357300A"/>
    <w:rsid w:val="43592C8A"/>
    <w:rsid w:val="4359650D"/>
    <w:rsid w:val="435A3F8F"/>
    <w:rsid w:val="435B1A11"/>
    <w:rsid w:val="435B618D"/>
    <w:rsid w:val="435C3C0F"/>
    <w:rsid w:val="435C7492"/>
    <w:rsid w:val="435D1690"/>
    <w:rsid w:val="435D4F14"/>
    <w:rsid w:val="435E2995"/>
    <w:rsid w:val="435E7881"/>
    <w:rsid w:val="435F025C"/>
    <w:rsid w:val="435F0417"/>
    <w:rsid w:val="435F4B93"/>
    <w:rsid w:val="43600DFA"/>
    <w:rsid w:val="43602615"/>
    <w:rsid w:val="43610097"/>
    <w:rsid w:val="43620BE0"/>
    <w:rsid w:val="4362139B"/>
    <w:rsid w:val="43622373"/>
    <w:rsid w:val="43625B18"/>
    <w:rsid w:val="43631293"/>
    <w:rsid w:val="4364101B"/>
    <w:rsid w:val="4364489E"/>
    <w:rsid w:val="4364553F"/>
    <w:rsid w:val="43652320"/>
    <w:rsid w:val="4365451E"/>
    <w:rsid w:val="4366367B"/>
    <w:rsid w:val="436653E0"/>
    <w:rsid w:val="43667DA2"/>
    <w:rsid w:val="436721C3"/>
    <w:rsid w:val="43675823"/>
    <w:rsid w:val="43683283"/>
    <w:rsid w:val="436832A5"/>
    <w:rsid w:val="436854A3"/>
    <w:rsid w:val="436865A2"/>
    <w:rsid w:val="43690D26"/>
    <w:rsid w:val="436B4229"/>
    <w:rsid w:val="436D51AE"/>
    <w:rsid w:val="436E2C30"/>
    <w:rsid w:val="436E3370"/>
    <w:rsid w:val="436F06B1"/>
    <w:rsid w:val="43704724"/>
    <w:rsid w:val="437048E9"/>
    <w:rsid w:val="43706133"/>
    <w:rsid w:val="43713BB4"/>
    <w:rsid w:val="437152C3"/>
    <w:rsid w:val="43721636"/>
    <w:rsid w:val="43725E62"/>
    <w:rsid w:val="437370B7"/>
    <w:rsid w:val="437379B1"/>
    <w:rsid w:val="43737B67"/>
    <w:rsid w:val="43744B39"/>
    <w:rsid w:val="43746378"/>
    <w:rsid w:val="43747DE7"/>
    <w:rsid w:val="437525BA"/>
    <w:rsid w:val="4378353F"/>
    <w:rsid w:val="437A3FE4"/>
    <w:rsid w:val="437A41A8"/>
    <w:rsid w:val="437B44C4"/>
    <w:rsid w:val="437B4B83"/>
    <w:rsid w:val="437C1F45"/>
    <w:rsid w:val="437D19E5"/>
    <w:rsid w:val="437D62C0"/>
    <w:rsid w:val="437D79C7"/>
    <w:rsid w:val="437E5448"/>
    <w:rsid w:val="437F2ECA"/>
    <w:rsid w:val="438003D7"/>
    <w:rsid w:val="4380094B"/>
    <w:rsid w:val="43810DB2"/>
    <w:rsid w:val="43811AB8"/>
    <w:rsid w:val="43811C6D"/>
    <w:rsid w:val="438163CD"/>
    <w:rsid w:val="43823E4F"/>
    <w:rsid w:val="438324EF"/>
    <w:rsid w:val="43832EC9"/>
    <w:rsid w:val="43835153"/>
    <w:rsid w:val="43842BD5"/>
    <w:rsid w:val="438438A3"/>
    <w:rsid w:val="43847352"/>
    <w:rsid w:val="43850656"/>
    <w:rsid w:val="43854DD3"/>
    <w:rsid w:val="438602D6"/>
    <w:rsid w:val="43862855"/>
    <w:rsid w:val="438660D8"/>
    <w:rsid w:val="43873B5A"/>
    <w:rsid w:val="43875D58"/>
    <w:rsid w:val="4389705D"/>
    <w:rsid w:val="438970F8"/>
    <w:rsid w:val="438A4ADE"/>
    <w:rsid w:val="438B7449"/>
    <w:rsid w:val="438C1210"/>
    <w:rsid w:val="438C21E0"/>
    <w:rsid w:val="438D1BEA"/>
    <w:rsid w:val="438D1DAF"/>
    <w:rsid w:val="438D34E4"/>
    <w:rsid w:val="438D5A63"/>
    <w:rsid w:val="438D7C61"/>
    <w:rsid w:val="438E0F66"/>
    <w:rsid w:val="438E56E3"/>
    <w:rsid w:val="438F69E7"/>
    <w:rsid w:val="43900BE6"/>
    <w:rsid w:val="43904469"/>
    <w:rsid w:val="43904600"/>
    <w:rsid w:val="43916667"/>
    <w:rsid w:val="4392796C"/>
    <w:rsid w:val="439475EC"/>
    <w:rsid w:val="439508F1"/>
    <w:rsid w:val="4395506D"/>
    <w:rsid w:val="43962AEF"/>
    <w:rsid w:val="43966372"/>
    <w:rsid w:val="43973DF4"/>
    <w:rsid w:val="43982048"/>
    <w:rsid w:val="43985FF2"/>
    <w:rsid w:val="43992BE7"/>
    <w:rsid w:val="439972F7"/>
    <w:rsid w:val="439A14F5"/>
    <w:rsid w:val="439A3786"/>
    <w:rsid w:val="439A4D79"/>
    <w:rsid w:val="439B27FA"/>
    <w:rsid w:val="439B6F77"/>
    <w:rsid w:val="439E377F"/>
    <w:rsid w:val="439E60B3"/>
    <w:rsid w:val="439E6E16"/>
    <w:rsid w:val="439F1200"/>
    <w:rsid w:val="43A001CA"/>
    <w:rsid w:val="43A00E80"/>
    <w:rsid w:val="43A06C82"/>
    <w:rsid w:val="43A10F2E"/>
    <w:rsid w:val="43A144D7"/>
    <w:rsid w:val="43A14703"/>
    <w:rsid w:val="43A22185"/>
    <w:rsid w:val="43A31E05"/>
    <w:rsid w:val="43A322E2"/>
    <w:rsid w:val="43A324A6"/>
    <w:rsid w:val="43A34F66"/>
    <w:rsid w:val="43A37C06"/>
    <w:rsid w:val="43A45688"/>
    <w:rsid w:val="43A5310A"/>
    <w:rsid w:val="43A62D89"/>
    <w:rsid w:val="43A643FA"/>
    <w:rsid w:val="43A645BE"/>
    <w:rsid w:val="43A7080B"/>
    <w:rsid w:val="43A7408E"/>
    <w:rsid w:val="43A81B10"/>
    <w:rsid w:val="43A93D0E"/>
    <w:rsid w:val="43A96511"/>
    <w:rsid w:val="43AA1790"/>
    <w:rsid w:val="43AA5013"/>
    <w:rsid w:val="43AB2A94"/>
    <w:rsid w:val="43AB7A8A"/>
    <w:rsid w:val="43AC0516"/>
    <w:rsid w:val="43AC07ED"/>
    <w:rsid w:val="43AD11C7"/>
    <w:rsid w:val="43AD1BA2"/>
    <w:rsid w:val="43AD2714"/>
    <w:rsid w:val="43AD5F98"/>
    <w:rsid w:val="43AE0196"/>
    <w:rsid w:val="43AE2740"/>
    <w:rsid w:val="43AE3A19"/>
    <w:rsid w:val="43AE647A"/>
    <w:rsid w:val="43AF149B"/>
    <w:rsid w:val="43AF5C17"/>
    <w:rsid w:val="43AF701F"/>
    <w:rsid w:val="43B03699"/>
    <w:rsid w:val="43B03CB9"/>
    <w:rsid w:val="43B03E7E"/>
    <w:rsid w:val="43B06F1C"/>
    <w:rsid w:val="43B1111A"/>
    <w:rsid w:val="43B2241F"/>
    <w:rsid w:val="43B253F6"/>
    <w:rsid w:val="43B26B9C"/>
    <w:rsid w:val="43B45922"/>
    <w:rsid w:val="43B63024"/>
    <w:rsid w:val="43B655A2"/>
    <w:rsid w:val="43B70AA5"/>
    <w:rsid w:val="43B81461"/>
    <w:rsid w:val="43B81625"/>
    <w:rsid w:val="43B86527"/>
    <w:rsid w:val="43B91DAA"/>
    <w:rsid w:val="43BA782C"/>
    <w:rsid w:val="43BB4117"/>
    <w:rsid w:val="43BB52AD"/>
    <w:rsid w:val="43BC4F2D"/>
    <w:rsid w:val="43BD29AF"/>
    <w:rsid w:val="43BE0430"/>
    <w:rsid w:val="43BE3CB3"/>
    <w:rsid w:val="43BE6232"/>
    <w:rsid w:val="43BF1735"/>
    <w:rsid w:val="43BF6DCD"/>
    <w:rsid w:val="43C071B6"/>
    <w:rsid w:val="43C0796C"/>
    <w:rsid w:val="43C10182"/>
    <w:rsid w:val="43C14C38"/>
    <w:rsid w:val="43C20EE5"/>
    <w:rsid w:val="43C21C49"/>
    <w:rsid w:val="43C226BA"/>
    <w:rsid w:val="43C3013B"/>
    <w:rsid w:val="43C42038"/>
    <w:rsid w:val="43C42299"/>
    <w:rsid w:val="43C42339"/>
    <w:rsid w:val="43C4245E"/>
    <w:rsid w:val="43C4431A"/>
    <w:rsid w:val="43C5363E"/>
    <w:rsid w:val="43C6583D"/>
    <w:rsid w:val="43C743B1"/>
    <w:rsid w:val="43C74575"/>
    <w:rsid w:val="43C80D40"/>
    <w:rsid w:val="43C845C3"/>
    <w:rsid w:val="43C85AEE"/>
    <w:rsid w:val="43C964C9"/>
    <w:rsid w:val="43C967C1"/>
    <w:rsid w:val="43CA4243"/>
    <w:rsid w:val="43CB1CC4"/>
    <w:rsid w:val="43CC05E0"/>
    <w:rsid w:val="43CC7746"/>
    <w:rsid w:val="43CD0A4B"/>
    <w:rsid w:val="43CD117F"/>
    <w:rsid w:val="43CE1B59"/>
    <w:rsid w:val="43CE2C49"/>
    <w:rsid w:val="43CE64CC"/>
    <w:rsid w:val="43CF3F4E"/>
    <w:rsid w:val="43CF7E17"/>
    <w:rsid w:val="43D13E35"/>
    <w:rsid w:val="43D2655C"/>
    <w:rsid w:val="43D403D5"/>
    <w:rsid w:val="43D4331E"/>
    <w:rsid w:val="43D51496"/>
    <w:rsid w:val="43D6135A"/>
    <w:rsid w:val="43D76DDC"/>
    <w:rsid w:val="43D80310"/>
    <w:rsid w:val="43D922DF"/>
    <w:rsid w:val="43D97A84"/>
    <w:rsid w:val="43DA2B56"/>
    <w:rsid w:val="43DD0CE5"/>
    <w:rsid w:val="43DE5648"/>
    <w:rsid w:val="43DF41E8"/>
    <w:rsid w:val="43DF63AB"/>
    <w:rsid w:val="43E06BC0"/>
    <w:rsid w:val="43E176EB"/>
    <w:rsid w:val="43E17924"/>
    <w:rsid w:val="43E52DF0"/>
    <w:rsid w:val="43E52FB4"/>
    <w:rsid w:val="43E71B8B"/>
    <w:rsid w:val="43E71D40"/>
    <w:rsid w:val="43E71EF6"/>
    <w:rsid w:val="43E72261"/>
    <w:rsid w:val="43E7452D"/>
    <w:rsid w:val="43E828F9"/>
    <w:rsid w:val="43E87076"/>
    <w:rsid w:val="43E94AF8"/>
    <w:rsid w:val="43E95C6A"/>
    <w:rsid w:val="43EA2579"/>
    <w:rsid w:val="43EA5DFC"/>
    <w:rsid w:val="43EB1D58"/>
    <w:rsid w:val="43EB7FFB"/>
    <w:rsid w:val="43ED34FE"/>
    <w:rsid w:val="43EF1CD5"/>
    <w:rsid w:val="43F01F04"/>
    <w:rsid w:val="43F02CAE"/>
    <w:rsid w:val="43F07D06"/>
    <w:rsid w:val="43F17986"/>
    <w:rsid w:val="43F23209"/>
    <w:rsid w:val="43F25407"/>
    <w:rsid w:val="43F32E89"/>
    <w:rsid w:val="43F35365"/>
    <w:rsid w:val="43F45F04"/>
    <w:rsid w:val="43F5638C"/>
    <w:rsid w:val="43F56AA3"/>
    <w:rsid w:val="43F61C0F"/>
    <w:rsid w:val="43F63E0D"/>
    <w:rsid w:val="43F6747D"/>
    <w:rsid w:val="43F67691"/>
    <w:rsid w:val="43F7001B"/>
    <w:rsid w:val="43F7188F"/>
    <w:rsid w:val="43F72B79"/>
    <w:rsid w:val="43F82B94"/>
    <w:rsid w:val="43F90615"/>
    <w:rsid w:val="43FA1F6F"/>
    <w:rsid w:val="43FA2813"/>
    <w:rsid w:val="43FA6097"/>
    <w:rsid w:val="43FD4086"/>
    <w:rsid w:val="43FD424B"/>
    <w:rsid w:val="43FD701B"/>
    <w:rsid w:val="43FE121A"/>
    <w:rsid w:val="43FE4A9D"/>
    <w:rsid w:val="43FF55FF"/>
    <w:rsid w:val="44007FA0"/>
    <w:rsid w:val="4401219E"/>
    <w:rsid w:val="44027C20"/>
    <w:rsid w:val="44030E54"/>
    <w:rsid w:val="4404182E"/>
    <w:rsid w:val="440467DA"/>
    <w:rsid w:val="44050BA5"/>
    <w:rsid w:val="440523CD"/>
    <w:rsid w:val="44052591"/>
    <w:rsid w:val="44054428"/>
    <w:rsid w:val="44055F4E"/>
    <w:rsid w:val="44062F6B"/>
    <w:rsid w:val="440656C2"/>
    <w:rsid w:val="44066626"/>
    <w:rsid w:val="44071B29"/>
    <w:rsid w:val="4407792B"/>
    <w:rsid w:val="440844E4"/>
    <w:rsid w:val="440853AC"/>
    <w:rsid w:val="44092E2E"/>
    <w:rsid w:val="44094EBE"/>
    <w:rsid w:val="4409502C"/>
    <w:rsid w:val="44095083"/>
    <w:rsid w:val="440A08B0"/>
    <w:rsid w:val="440A15E0"/>
    <w:rsid w:val="440A2AAE"/>
    <w:rsid w:val="440A5C22"/>
    <w:rsid w:val="440B052F"/>
    <w:rsid w:val="440B6331"/>
    <w:rsid w:val="440C5FB1"/>
    <w:rsid w:val="440C6FD6"/>
    <w:rsid w:val="440C719A"/>
    <w:rsid w:val="440C7D39"/>
    <w:rsid w:val="440D1834"/>
    <w:rsid w:val="440D3A32"/>
    <w:rsid w:val="440E14B4"/>
    <w:rsid w:val="440E72B6"/>
    <w:rsid w:val="4410023A"/>
    <w:rsid w:val="44113205"/>
    <w:rsid w:val="44115CBC"/>
    <w:rsid w:val="44134942"/>
    <w:rsid w:val="441433BD"/>
    <w:rsid w:val="4414531D"/>
    <w:rsid w:val="44146C41"/>
    <w:rsid w:val="44155EBB"/>
    <w:rsid w:val="441655A2"/>
    <w:rsid w:val="441668C0"/>
    <w:rsid w:val="44166A5A"/>
    <w:rsid w:val="44181DC4"/>
    <w:rsid w:val="44185647"/>
    <w:rsid w:val="441930C8"/>
    <w:rsid w:val="44197845"/>
    <w:rsid w:val="441A0B4A"/>
    <w:rsid w:val="441D4202"/>
    <w:rsid w:val="441D624B"/>
    <w:rsid w:val="441E3CCD"/>
    <w:rsid w:val="441E726E"/>
    <w:rsid w:val="441E7550"/>
    <w:rsid w:val="441F4FD2"/>
    <w:rsid w:val="441F71D0"/>
    <w:rsid w:val="44202A53"/>
    <w:rsid w:val="44204C51"/>
    <w:rsid w:val="4420631A"/>
    <w:rsid w:val="442104D5"/>
    <w:rsid w:val="442126D3"/>
    <w:rsid w:val="442135DE"/>
    <w:rsid w:val="44213949"/>
    <w:rsid w:val="44216CF4"/>
    <w:rsid w:val="44220155"/>
    <w:rsid w:val="44230431"/>
    <w:rsid w:val="4423215B"/>
    <w:rsid w:val="44235BD6"/>
    <w:rsid w:val="44241459"/>
    <w:rsid w:val="44243658"/>
    <w:rsid w:val="442517E5"/>
    <w:rsid w:val="44266B5B"/>
    <w:rsid w:val="442723DE"/>
    <w:rsid w:val="44277E60"/>
    <w:rsid w:val="4428205E"/>
    <w:rsid w:val="44283AC1"/>
    <w:rsid w:val="442858E1"/>
    <w:rsid w:val="44293363"/>
    <w:rsid w:val="4429449C"/>
    <w:rsid w:val="4429503A"/>
    <w:rsid w:val="442B2FE3"/>
    <w:rsid w:val="442C42E7"/>
    <w:rsid w:val="44301C44"/>
    <w:rsid w:val="44301E08"/>
    <w:rsid w:val="44302CEE"/>
    <w:rsid w:val="4430746A"/>
    <w:rsid w:val="443127E2"/>
    <w:rsid w:val="44314AEE"/>
    <w:rsid w:val="4432296D"/>
    <w:rsid w:val="443303EF"/>
    <w:rsid w:val="44333C72"/>
    <w:rsid w:val="443416F4"/>
    <w:rsid w:val="443448FA"/>
    <w:rsid w:val="443538F2"/>
    <w:rsid w:val="44355BC3"/>
    <w:rsid w:val="44357175"/>
    <w:rsid w:val="44365E73"/>
    <w:rsid w:val="44366A11"/>
    <w:rsid w:val="443773EC"/>
    <w:rsid w:val="44387F8A"/>
    <w:rsid w:val="44395B7B"/>
    <w:rsid w:val="443A35FD"/>
    <w:rsid w:val="443C6B00"/>
    <w:rsid w:val="443D37DF"/>
    <w:rsid w:val="443D4582"/>
    <w:rsid w:val="443E2003"/>
    <w:rsid w:val="443E7EC2"/>
    <w:rsid w:val="443F4B94"/>
    <w:rsid w:val="443F7A85"/>
    <w:rsid w:val="44402F88"/>
    <w:rsid w:val="44410A09"/>
    <w:rsid w:val="4442648B"/>
    <w:rsid w:val="44433F0D"/>
    <w:rsid w:val="44440F87"/>
    <w:rsid w:val="44457410"/>
    <w:rsid w:val="44464E91"/>
    <w:rsid w:val="44472913"/>
    <w:rsid w:val="44480394"/>
    <w:rsid w:val="44494453"/>
    <w:rsid w:val="44495E16"/>
    <w:rsid w:val="444B1319"/>
    <w:rsid w:val="444C6D9A"/>
    <w:rsid w:val="444D481C"/>
    <w:rsid w:val="444E1AA8"/>
    <w:rsid w:val="444E229E"/>
    <w:rsid w:val="444E3E15"/>
    <w:rsid w:val="444E5B21"/>
    <w:rsid w:val="444F7D1F"/>
    <w:rsid w:val="445057A1"/>
    <w:rsid w:val="44513222"/>
    <w:rsid w:val="4452279A"/>
    <w:rsid w:val="44531FA9"/>
    <w:rsid w:val="44536725"/>
    <w:rsid w:val="44547A2A"/>
    <w:rsid w:val="445676AA"/>
    <w:rsid w:val="4457512C"/>
    <w:rsid w:val="44586430"/>
    <w:rsid w:val="44590106"/>
    <w:rsid w:val="445906FB"/>
    <w:rsid w:val="445960B0"/>
    <w:rsid w:val="445A1933"/>
    <w:rsid w:val="445A3B32"/>
    <w:rsid w:val="445B15B3"/>
    <w:rsid w:val="445B167F"/>
    <w:rsid w:val="445B73B5"/>
    <w:rsid w:val="445C4E37"/>
    <w:rsid w:val="445D28B8"/>
    <w:rsid w:val="445D2BF8"/>
    <w:rsid w:val="445D34D8"/>
    <w:rsid w:val="445D4AB6"/>
    <w:rsid w:val="445E2538"/>
    <w:rsid w:val="445F7FB9"/>
    <w:rsid w:val="446012BE"/>
    <w:rsid w:val="446016ED"/>
    <w:rsid w:val="446058AE"/>
    <w:rsid w:val="44605A3B"/>
    <w:rsid w:val="446134BD"/>
    <w:rsid w:val="44616288"/>
    <w:rsid w:val="44620F3E"/>
    <w:rsid w:val="446247C1"/>
    <w:rsid w:val="44632243"/>
    <w:rsid w:val="44637801"/>
    <w:rsid w:val="44647CC4"/>
    <w:rsid w:val="44650F3F"/>
    <w:rsid w:val="44661ADD"/>
    <w:rsid w:val="44667944"/>
    <w:rsid w:val="44670C49"/>
    <w:rsid w:val="446753C6"/>
    <w:rsid w:val="44682E47"/>
    <w:rsid w:val="446908C9"/>
    <w:rsid w:val="44697430"/>
    <w:rsid w:val="446A7138"/>
    <w:rsid w:val="446B4FA9"/>
    <w:rsid w:val="446B516E"/>
    <w:rsid w:val="446B66F7"/>
    <w:rsid w:val="446B764F"/>
    <w:rsid w:val="446C50D1"/>
    <w:rsid w:val="446C5B48"/>
    <w:rsid w:val="446D6522"/>
    <w:rsid w:val="446E4D51"/>
    <w:rsid w:val="446F0254"/>
    <w:rsid w:val="446F07FE"/>
    <w:rsid w:val="4470139D"/>
    <w:rsid w:val="44703AD7"/>
    <w:rsid w:val="44705CD5"/>
    <w:rsid w:val="44711559"/>
    <w:rsid w:val="447268EA"/>
    <w:rsid w:val="447332F0"/>
    <w:rsid w:val="447366D6"/>
    <w:rsid w:val="447424DD"/>
    <w:rsid w:val="44743CCA"/>
    <w:rsid w:val="447446DC"/>
    <w:rsid w:val="44754869"/>
    <w:rsid w:val="44756528"/>
    <w:rsid w:val="447659E0"/>
    <w:rsid w:val="44767BDF"/>
    <w:rsid w:val="44770EE3"/>
    <w:rsid w:val="44773462"/>
    <w:rsid w:val="44775660"/>
    <w:rsid w:val="447830E2"/>
    <w:rsid w:val="44786965"/>
    <w:rsid w:val="44786B45"/>
    <w:rsid w:val="44790B63"/>
    <w:rsid w:val="4479108A"/>
    <w:rsid w:val="4479751F"/>
    <w:rsid w:val="447A7F72"/>
    <w:rsid w:val="447B0A98"/>
    <w:rsid w:val="447B78EA"/>
    <w:rsid w:val="447C2011"/>
    <w:rsid w:val="447C536B"/>
    <w:rsid w:val="447E4FEB"/>
    <w:rsid w:val="447F2A6D"/>
    <w:rsid w:val="44826240"/>
    <w:rsid w:val="44827275"/>
    <w:rsid w:val="44834CF6"/>
    <w:rsid w:val="44842778"/>
    <w:rsid w:val="448501F9"/>
    <w:rsid w:val="44854976"/>
    <w:rsid w:val="44865C7B"/>
    <w:rsid w:val="448736FC"/>
    <w:rsid w:val="44873D87"/>
    <w:rsid w:val="4488117E"/>
    <w:rsid w:val="44883190"/>
    <w:rsid w:val="448858FB"/>
    <w:rsid w:val="44890DFE"/>
    <w:rsid w:val="44892E49"/>
    <w:rsid w:val="44896BFF"/>
    <w:rsid w:val="448B2102"/>
    <w:rsid w:val="448B4301"/>
    <w:rsid w:val="448B4F61"/>
    <w:rsid w:val="448B5125"/>
    <w:rsid w:val="448C1D82"/>
    <w:rsid w:val="448E5285"/>
    <w:rsid w:val="44900788"/>
    <w:rsid w:val="44911190"/>
    <w:rsid w:val="4491620A"/>
    <w:rsid w:val="44921D2E"/>
    <w:rsid w:val="44923C8C"/>
    <w:rsid w:val="4492750F"/>
    <w:rsid w:val="4493170D"/>
    <w:rsid w:val="449328CD"/>
    <w:rsid w:val="44934F90"/>
    <w:rsid w:val="449432A7"/>
    <w:rsid w:val="4494718F"/>
    <w:rsid w:val="44954C10"/>
    <w:rsid w:val="44962692"/>
    <w:rsid w:val="44965F15"/>
    <w:rsid w:val="44973997"/>
    <w:rsid w:val="44981418"/>
    <w:rsid w:val="44993616"/>
    <w:rsid w:val="44996E9A"/>
    <w:rsid w:val="449A1098"/>
    <w:rsid w:val="449A491B"/>
    <w:rsid w:val="449B0A4F"/>
    <w:rsid w:val="449D1FC8"/>
    <w:rsid w:val="449D58A0"/>
    <w:rsid w:val="449E1A23"/>
    <w:rsid w:val="449F0DA3"/>
    <w:rsid w:val="44A042A4"/>
    <w:rsid w:val="44A142A6"/>
    <w:rsid w:val="44A14C7E"/>
    <w:rsid w:val="44A14E43"/>
    <w:rsid w:val="44A377A9"/>
    <w:rsid w:val="44A5030F"/>
    <w:rsid w:val="44A504D3"/>
    <w:rsid w:val="44A6072E"/>
    <w:rsid w:val="44A60EAD"/>
    <w:rsid w:val="44A660D0"/>
    <w:rsid w:val="44A703AC"/>
    <w:rsid w:val="44A97134"/>
    <w:rsid w:val="44AA399F"/>
    <w:rsid w:val="44AA3B64"/>
    <w:rsid w:val="44AC00B9"/>
    <w:rsid w:val="44AD5B3A"/>
    <w:rsid w:val="44AE35BC"/>
    <w:rsid w:val="44AE681A"/>
    <w:rsid w:val="44AF71F4"/>
    <w:rsid w:val="44B06ABF"/>
    <w:rsid w:val="44B07702"/>
    <w:rsid w:val="44B21CE6"/>
    <w:rsid w:val="44B3209C"/>
    <w:rsid w:val="44B32884"/>
    <w:rsid w:val="44B32ADD"/>
    <w:rsid w:val="44B40D48"/>
    <w:rsid w:val="44B53FC2"/>
    <w:rsid w:val="44B567CA"/>
    <w:rsid w:val="44B6424B"/>
    <w:rsid w:val="44B74D42"/>
    <w:rsid w:val="44B75376"/>
    <w:rsid w:val="44B7553B"/>
    <w:rsid w:val="44B7644A"/>
    <w:rsid w:val="44B83ECB"/>
    <w:rsid w:val="44B9194D"/>
    <w:rsid w:val="44B951CC"/>
    <w:rsid w:val="44B96AB4"/>
    <w:rsid w:val="44BA2C52"/>
    <w:rsid w:val="44BB06D3"/>
    <w:rsid w:val="44BC6155"/>
    <w:rsid w:val="44BD0353"/>
    <w:rsid w:val="44BD176A"/>
    <w:rsid w:val="44BD3BD6"/>
    <w:rsid w:val="44BE1658"/>
    <w:rsid w:val="44BF2B1E"/>
    <w:rsid w:val="44BF3856"/>
    <w:rsid w:val="44BF3881"/>
    <w:rsid w:val="44BF70D9"/>
    <w:rsid w:val="44C012D8"/>
    <w:rsid w:val="44C0425C"/>
    <w:rsid w:val="44C06D59"/>
    <w:rsid w:val="44C125DD"/>
    <w:rsid w:val="44C2005E"/>
    <w:rsid w:val="44C2225C"/>
    <w:rsid w:val="44C257D4"/>
    <w:rsid w:val="44C33761"/>
    <w:rsid w:val="44C35AE0"/>
    <w:rsid w:val="44C43561"/>
    <w:rsid w:val="44C4575F"/>
    <w:rsid w:val="44C531E1"/>
    <w:rsid w:val="44C578EC"/>
    <w:rsid w:val="44C602C6"/>
    <w:rsid w:val="44C60C63"/>
    <w:rsid w:val="44C66A64"/>
    <w:rsid w:val="44C744E6"/>
    <w:rsid w:val="44C766E4"/>
    <w:rsid w:val="44C91BE7"/>
    <w:rsid w:val="44C9546A"/>
    <w:rsid w:val="44CA3141"/>
    <w:rsid w:val="44CA7669"/>
    <w:rsid w:val="44CB096E"/>
    <w:rsid w:val="44CC46BA"/>
    <w:rsid w:val="44CD14E0"/>
    <w:rsid w:val="44CD3E71"/>
    <w:rsid w:val="44CE18F2"/>
    <w:rsid w:val="44CE67D1"/>
    <w:rsid w:val="44CF3AF0"/>
    <w:rsid w:val="44CF78E2"/>
    <w:rsid w:val="44D01572"/>
    <w:rsid w:val="44D04DF5"/>
    <w:rsid w:val="44D07D4A"/>
    <w:rsid w:val="44D12877"/>
    <w:rsid w:val="44D24A75"/>
    <w:rsid w:val="44D30CA3"/>
    <w:rsid w:val="44D437FB"/>
    <w:rsid w:val="44D47F78"/>
    <w:rsid w:val="44D5127D"/>
    <w:rsid w:val="44D84400"/>
    <w:rsid w:val="44D8532E"/>
    <w:rsid w:val="44D8697E"/>
    <w:rsid w:val="44D97C83"/>
    <w:rsid w:val="44DA5705"/>
    <w:rsid w:val="44DB3186"/>
    <w:rsid w:val="44DB7445"/>
    <w:rsid w:val="44DB7FE4"/>
    <w:rsid w:val="44DC2E06"/>
    <w:rsid w:val="44DE167D"/>
    <w:rsid w:val="44DE1B9E"/>
    <w:rsid w:val="44DE1F09"/>
    <w:rsid w:val="44DE22C0"/>
    <w:rsid w:val="44DF0DF1"/>
    <w:rsid w:val="44DF0FA7"/>
    <w:rsid w:val="44DF2AD6"/>
    <w:rsid w:val="44DF3D8B"/>
    <w:rsid w:val="44E05090"/>
    <w:rsid w:val="44E0760E"/>
    <w:rsid w:val="44E24D0F"/>
    <w:rsid w:val="44E24DB2"/>
    <w:rsid w:val="44E63716"/>
    <w:rsid w:val="44E66F99"/>
    <w:rsid w:val="44E67A68"/>
    <w:rsid w:val="44E71197"/>
    <w:rsid w:val="44E74A1A"/>
    <w:rsid w:val="44E81B7F"/>
    <w:rsid w:val="44E919BB"/>
    <w:rsid w:val="44E9469A"/>
    <w:rsid w:val="44EA30F8"/>
    <w:rsid w:val="44EA599F"/>
    <w:rsid w:val="44EB3421"/>
    <w:rsid w:val="44EC0EA2"/>
    <w:rsid w:val="44EC561F"/>
    <w:rsid w:val="44ED4010"/>
    <w:rsid w:val="44ED6924"/>
    <w:rsid w:val="44EE0B22"/>
    <w:rsid w:val="44EF1A75"/>
    <w:rsid w:val="44EF24B6"/>
    <w:rsid w:val="44F07163"/>
    <w:rsid w:val="44F11AA7"/>
    <w:rsid w:val="44F1532A"/>
    <w:rsid w:val="44F206DC"/>
    <w:rsid w:val="44F20B0B"/>
    <w:rsid w:val="44F22DAC"/>
    <w:rsid w:val="44F41E19"/>
    <w:rsid w:val="44F42526"/>
    <w:rsid w:val="44F462AF"/>
    <w:rsid w:val="44F529B8"/>
    <w:rsid w:val="44F53D30"/>
    <w:rsid w:val="44F55F2E"/>
    <w:rsid w:val="44F617B2"/>
    <w:rsid w:val="44F63392"/>
    <w:rsid w:val="44F639B0"/>
    <w:rsid w:val="44F63F31"/>
    <w:rsid w:val="44F77233"/>
    <w:rsid w:val="44F92736"/>
    <w:rsid w:val="44F95E84"/>
    <w:rsid w:val="44FA23B6"/>
    <w:rsid w:val="44FB36BB"/>
    <w:rsid w:val="44FB6637"/>
    <w:rsid w:val="44FB7E38"/>
    <w:rsid w:val="44FC58B9"/>
    <w:rsid w:val="44FC5BF6"/>
    <w:rsid w:val="44FD333B"/>
    <w:rsid w:val="44FD6BBE"/>
    <w:rsid w:val="44FE0DBC"/>
    <w:rsid w:val="44FE4252"/>
    <w:rsid w:val="44FE4640"/>
    <w:rsid w:val="44FF20C1"/>
    <w:rsid w:val="44FF2277"/>
    <w:rsid w:val="450042C0"/>
    <w:rsid w:val="45007B43"/>
    <w:rsid w:val="450155C4"/>
    <w:rsid w:val="45023046"/>
    <w:rsid w:val="4502438F"/>
    <w:rsid w:val="45046549"/>
    <w:rsid w:val="45053FCB"/>
    <w:rsid w:val="450665E4"/>
    <w:rsid w:val="4506785B"/>
    <w:rsid w:val="450929D1"/>
    <w:rsid w:val="450A0452"/>
    <w:rsid w:val="450C3955"/>
    <w:rsid w:val="450C66C4"/>
    <w:rsid w:val="450E6E58"/>
    <w:rsid w:val="450F48DA"/>
    <w:rsid w:val="4510235C"/>
    <w:rsid w:val="45104466"/>
    <w:rsid w:val="45117DDD"/>
    <w:rsid w:val="45120858"/>
    <w:rsid w:val="45124285"/>
    <w:rsid w:val="451459F0"/>
    <w:rsid w:val="45161CE6"/>
    <w:rsid w:val="45177768"/>
    <w:rsid w:val="451851EA"/>
    <w:rsid w:val="45192845"/>
    <w:rsid w:val="45195625"/>
    <w:rsid w:val="451A06ED"/>
    <w:rsid w:val="451A18E2"/>
    <w:rsid w:val="451B19F1"/>
    <w:rsid w:val="451B616E"/>
    <w:rsid w:val="451C7579"/>
    <w:rsid w:val="451D4EF5"/>
    <w:rsid w:val="451D7F53"/>
    <w:rsid w:val="451E0AF1"/>
    <w:rsid w:val="451E2976"/>
    <w:rsid w:val="451E70F3"/>
    <w:rsid w:val="451F222F"/>
    <w:rsid w:val="451F4B74"/>
    <w:rsid w:val="452025F6"/>
    <w:rsid w:val="45205E79"/>
    <w:rsid w:val="45210077"/>
    <w:rsid w:val="4522137C"/>
    <w:rsid w:val="45224182"/>
    <w:rsid w:val="45225AF9"/>
    <w:rsid w:val="4523357B"/>
    <w:rsid w:val="45236DFE"/>
    <w:rsid w:val="4524487F"/>
    <w:rsid w:val="452456FB"/>
    <w:rsid w:val="45256299"/>
    <w:rsid w:val="45267D82"/>
    <w:rsid w:val="45271F81"/>
    <w:rsid w:val="45275022"/>
    <w:rsid w:val="45275543"/>
    <w:rsid w:val="45275804"/>
    <w:rsid w:val="45277812"/>
    <w:rsid w:val="45283286"/>
    <w:rsid w:val="452840C0"/>
    <w:rsid w:val="45284275"/>
    <w:rsid w:val="452845E0"/>
    <w:rsid w:val="45287A02"/>
    <w:rsid w:val="45290D07"/>
    <w:rsid w:val="45290F50"/>
    <w:rsid w:val="4529115C"/>
    <w:rsid w:val="45293313"/>
    <w:rsid w:val="45295484"/>
    <w:rsid w:val="452B420A"/>
    <w:rsid w:val="452B6409"/>
    <w:rsid w:val="452C1C8C"/>
    <w:rsid w:val="452D190C"/>
    <w:rsid w:val="452D3C06"/>
    <w:rsid w:val="452D770D"/>
    <w:rsid w:val="452E5F4C"/>
    <w:rsid w:val="452E738D"/>
    <w:rsid w:val="452E780E"/>
    <w:rsid w:val="452F2C10"/>
    <w:rsid w:val="452F4E0F"/>
    <w:rsid w:val="45310312"/>
    <w:rsid w:val="45313B95"/>
    <w:rsid w:val="45321617"/>
    <w:rsid w:val="45327C70"/>
    <w:rsid w:val="4533080F"/>
    <w:rsid w:val="45333815"/>
    <w:rsid w:val="45337098"/>
    <w:rsid w:val="45341296"/>
    <w:rsid w:val="453413AE"/>
    <w:rsid w:val="45351D88"/>
    <w:rsid w:val="45351F4C"/>
    <w:rsid w:val="4535259B"/>
    <w:rsid w:val="45356D18"/>
    <w:rsid w:val="4536001D"/>
    <w:rsid w:val="45373301"/>
    <w:rsid w:val="4537689D"/>
    <w:rsid w:val="45383520"/>
    <w:rsid w:val="45390FA1"/>
    <w:rsid w:val="4539549E"/>
    <w:rsid w:val="4539571E"/>
    <w:rsid w:val="45397B98"/>
    <w:rsid w:val="453A55DD"/>
    <w:rsid w:val="453A6A23"/>
    <w:rsid w:val="453B0C21"/>
    <w:rsid w:val="453B44A5"/>
    <w:rsid w:val="453B6B56"/>
    <w:rsid w:val="453C6A5A"/>
    <w:rsid w:val="453C7530"/>
    <w:rsid w:val="453C76F4"/>
    <w:rsid w:val="453D4124"/>
    <w:rsid w:val="453E5429"/>
    <w:rsid w:val="453E7B2C"/>
    <w:rsid w:val="453F1647"/>
    <w:rsid w:val="453F2EAB"/>
    <w:rsid w:val="4540092C"/>
    <w:rsid w:val="45412B2B"/>
    <w:rsid w:val="4542602E"/>
    <w:rsid w:val="45434139"/>
    <w:rsid w:val="45444CD8"/>
    <w:rsid w:val="45444E9C"/>
    <w:rsid w:val="45447333"/>
    <w:rsid w:val="45454DB4"/>
    <w:rsid w:val="45455877"/>
    <w:rsid w:val="45456FB2"/>
    <w:rsid w:val="45464A34"/>
    <w:rsid w:val="45467BF7"/>
    <w:rsid w:val="45485D39"/>
    <w:rsid w:val="45487F37"/>
    <w:rsid w:val="454929A3"/>
    <w:rsid w:val="454937BA"/>
    <w:rsid w:val="454959B9"/>
    <w:rsid w:val="454A343A"/>
    <w:rsid w:val="454A6CBD"/>
    <w:rsid w:val="454B0EBC"/>
    <w:rsid w:val="454B2480"/>
    <w:rsid w:val="454B473F"/>
    <w:rsid w:val="454C21C0"/>
    <w:rsid w:val="454C693D"/>
    <w:rsid w:val="454F3145"/>
    <w:rsid w:val="45500BC7"/>
    <w:rsid w:val="45505343"/>
    <w:rsid w:val="45520847"/>
    <w:rsid w:val="45531B4B"/>
    <w:rsid w:val="455362C8"/>
    <w:rsid w:val="45537C28"/>
    <w:rsid w:val="45537DEC"/>
    <w:rsid w:val="4554098B"/>
    <w:rsid w:val="455517CB"/>
    <w:rsid w:val="45562AD0"/>
    <w:rsid w:val="4556724D"/>
    <w:rsid w:val="45570552"/>
    <w:rsid w:val="4557299B"/>
    <w:rsid w:val="45582750"/>
    <w:rsid w:val="455901D1"/>
    <w:rsid w:val="455A14D6"/>
    <w:rsid w:val="455A36D4"/>
    <w:rsid w:val="455A53D0"/>
    <w:rsid w:val="455B1156"/>
    <w:rsid w:val="455B164D"/>
    <w:rsid w:val="455B5F6E"/>
    <w:rsid w:val="455B6133"/>
    <w:rsid w:val="455B6F58"/>
    <w:rsid w:val="455C32C3"/>
    <w:rsid w:val="455C49D9"/>
    <w:rsid w:val="455D4659"/>
    <w:rsid w:val="455E0086"/>
    <w:rsid w:val="455E024A"/>
    <w:rsid w:val="455E5698"/>
    <w:rsid w:val="455E7EDC"/>
    <w:rsid w:val="455F0C25"/>
    <w:rsid w:val="455F7B5C"/>
    <w:rsid w:val="456055DE"/>
    <w:rsid w:val="45612018"/>
    <w:rsid w:val="45614FDD"/>
    <w:rsid w:val="456168E3"/>
    <w:rsid w:val="45620AE1"/>
    <w:rsid w:val="45624364"/>
    <w:rsid w:val="45643FE4"/>
    <w:rsid w:val="45644E54"/>
    <w:rsid w:val="45647867"/>
    <w:rsid w:val="45651A65"/>
    <w:rsid w:val="45662D6A"/>
    <w:rsid w:val="456674E7"/>
    <w:rsid w:val="45676DA7"/>
    <w:rsid w:val="45685D52"/>
    <w:rsid w:val="4568626D"/>
    <w:rsid w:val="45687946"/>
    <w:rsid w:val="45690320"/>
    <w:rsid w:val="456B4496"/>
    <w:rsid w:val="456C4C74"/>
    <w:rsid w:val="456D26F5"/>
    <w:rsid w:val="456F5BF8"/>
    <w:rsid w:val="457050EE"/>
    <w:rsid w:val="457052B2"/>
    <w:rsid w:val="45717DCF"/>
    <w:rsid w:val="45726B02"/>
    <w:rsid w:val="457271D8"/>
    <w:rsid w:val="45727BE8"/>
    <w:rsid w:val="457345FE"/>
    <w:rsid w:val="45737205"/>
    <w:rsid w:val="45737BDF"/>
    <w:rsid w:val="4574077E"/>
    <w:rsid w:val="45757B02"/>
    <w:rsid w:val="45761CF7"/>
    <w:rsid w:val="45772A5A"/>
    <w:rsid w:val="45773005"/>
    <w:rsid w:val="45780A86"/>
    <w:rsid w:val="45783434"/>
    <w:rsid w:val="45796508"/>
    <w:rsid w:val="457A3F89"/>
    <w:rsid w:val="457B554C"/>
    <w:rsid w:val="457C4F0E"/>
    <w:rsid w:val="457D6C89"/>
    <w:rsid w:val="457E7663"/>
    <w:rsid w:val="457F003D"/>
    <w:rsid w:val="457F2C28"/>
    <w:rsid w:val="457F2C83"/>
    <w:rsid w:val="457F3A42"/>
    <w:rsid w:val="45810F74"/>
    <w:rsid w:val="45811396"/>
    <w:rsid w:val="45812155"/>
    <w:rsid w:val="45812319"/>
    <w:rsid w:val="45817197"/>
    <w:rsid w:val="45824C19"/>
    <w:rsid w:val="4583011C"/>
    <w:rsid w:val="458336CE"/>
    <w:rsid w:val="4584231A"/>
    <w:rsid w:val="45845B9E"/>
    <w:rsid w:val="458610A1"/>
    <w:rsid w:val="45876B22"/>
    <w:rsid w:val="45880D21"/>
    <w:rsid w:val="458845A4"/>
    <w:rsid w:val="458852CD"/>
    <w:rsid w:val="45886F23"/>
    <w:rsid w:val="45892025"/>
    <w:rsid w:val="458946E9"/>
    <w:rsid w:val="458967A2"/>
    <w:rsid w:val="458A049C"/>
    <w:rsid w:val="458A4224"/>
    <w:rsid w:val="458A7AA7"/>
    <w:rsid w:val="458B103A"/>
    <w:rsid w:val="458B5528"/>
    <w:rsid w:val="458D3152"/>
    <w:rsid w:val="458E2C2A"/>
    <w:rsid w:val="458E64AD"/>
    <w:rsid w:val="458F46CB"/>
    <w:rsid w:val="459052C6"/>
    <w:rsid w:val="4590612D"/>
    <w:rsid w:val="459131E8"/>
    <w:rsid w:val="45921630"/>
    <w:rsid w:val="459270B2"/>
    <w:rsid w:val="45932935"/>
    <w:rsid w:val="45950735"/>
    <w:rsid w:val="45955E38"/>
    <w:rsid w:val="459638BA"/>
    <w:rsid w:val="4597133B"/>
    <w:rsid w:val="45973539"/>
    <w:rsid w:val="4599483E"/>
    <w:rsid w:val="459A22C0"/>
    <w:rsid w:val="459A44BE"/>
    <w:rsid w:val="459C3244"/>
    <w:rsid w:val="459C6CDB"/>
    <w:rsid w:val="459C79C1"/>
    <w:rsid w:val="459D60E3"/>
    <w:rsid w:val="459D696F"/>
    <w:rsid w:val="459E2EC4"/>
    <w:rsid w:val="459E6747"/>
    <w:rsid w:val="459F01B9"/>
    <w:rsid w:val="459F7FF5"/>
    <w:rsid w:val="45A00B94"/>
    <w:rsid w:val="45A01C4B"/>
    <w:rsid w:val="45A13E49"/>
    <w:rsid w:val="45A176CC"/>
    <w:rsid w:val="45A20B66"/>
    <w:rsid w:val="45A218CA"/>
    <w:rsid w:val="45A278D6"/>
    <w:rsid w:val="45A32BCF"/>
    <w:rsid w:val="45A32CAB"/>
    <w:rsid w:val="45A4384A"/>
    <w:rsid w:val="45A47C0E"/>
    <w:rsid w:val="45A5284F"/>
    <w:rsid w:val="45A54224"/>
    <w:rsid w:val="45A560D2"/>
    <w:rsid w:val="45A7579D"/>
    <w:rsid w:val="45A837D4"/>
    <w:rsid w:val="45A8633B"/>
    <w:rsid w:val="45A87057"/>
    <w:rsid w:val="45A91255"/>
    <w:rsid w:val="45AA255A"/>
    <w:rsid w:val="45AA2785"/>
    <w:rsid w:val="45AA6CD7"/>
    <w:rsid w:val="45AA78B4"/>
    <w:rsid w:val="45AB0DE1"/>
    <w:rsid w:val="45AC5A5D"/>
    <w:rsid w:val="45AD34DF"/>
    <w:rsid w:val="45AD56DD"/>
    <w:rsid w:val="45AE0F60"/>
    <w:rsid w:val="45AF69E2"/>
    <w:rsid w:val="45B06662"/>
    <w:rsid w:val="45B11EE5"/>
    <w:rsid w:val="45B1505C"/>
    <w:rsid w:val="45B32E6A"/>
    <w:rsid w:val="45B3679A"/>
    <w:rsid w:val="45B408EB"/>
    <w:rsid w:val="45B47174"/>
    <w:rsid w:val="45B47338"/>
    <w:rsid w:val="45B52AE9"/>
    <w:rsid w:val="45B57ED7"/>
    <w:rsid w:val="45B6056B"/>
    <w:rsid w:val="45B71870"/>
    <w:rsid w:val="45B71FEF"/>
    <w:rsid w:val="45B83A6E"/>
    <w:rsid w:val="45B872F1"/>
    <w:rsid w:val="45B914F0"/>
    <w:rsid w:val="45B933A3"/>
    <w:rsid w:val="45B94D73"/>
    <w:rsid w:val="45BA29C7"/>
    <w:rsid w:val="45BA3F42"/>
    <w:rsid w:val="45BB0276"/>
    <w:rsid w:val="45BB49F3"/>
    <w:rsid w:val="45BB4AE0"/>
    <w:rsid w:val="45BC2474"/>
    <w:rsid w:val="45BC54BB"/>
    <w:rsid w:val="45BD7EF6"/>
    <w:rsid w:val="45BE11FB"/>
    <w:rsid w:val="45BF33F9"/>
    <w:rsid w:val="45BF6C7C"/>
    <w:rsid w:val="45BF75D2"/>
    <w:rsid w:val="45C046FE"/>
    <w:rsid w:val="45C1217F"/>
    <w:rsid w:val="45C218AE"/>
    <w:rsid w:val="45C21DFF"/>
    <w:rsid w:val="45C2437E"/>
    <w:rsid w:val="45C37881"/>
    <w:rsid w:val="45C43104"/>
    <w:rsid w:val="45C543A0"/>
    <w:rsid w:val="45C66607"/>
    <w:rsid w:val="45C864B7"/>
    <w:rsid w:val="45C97056"/>
    <w:rsid w:val="45C9758C"/>
    <w:rsid w:val="45CA2A8F"/>
    <w:rsid w:val="45CB05CF"/>
    <w:rsid w:val="45CC270F"/>
    <w:rsid w:val="45CD0190"/>
    <w:rsid w:val="45CD1B48"/>
    <w:rsid w:val="45CE1495"/>
    <w:rsid w:val="45D03C5F"/>
    <w:rsid w:val="45D04998"/>
    <w:rsid w:val="45D1241A"/>
    <w:rsid w:val="45D1463A"/>
    <w:rsid w:val="45D147FE"/>
    <w:rsid w:val="45D14C98"/>
    <w:rsid w:val="45D27E9B"/>
    <w:rsid w:val="45D3591D"/>
    <w:rsid w:val="45D4339E"/>
    <w:rsid w:val="45D603C3"/>
    <w:rsid w:val="45D61170"/>
    <w:rsid w:val="45D71407"/>
    <w:rsid w:val="45D74323"/>
    <w:rsid w:val="45D81DA4"/>
    <w:rsid w:val="45D82E39"/>
    <w:rsid w:val="45D86D8A"/>
    <w:rsid w:val="45D872AB"/>
    <w:rsid w:val="45D97826"/>
    <w:rsid w:val="45DA52A8"/>
    <w:rsid w:val="45DB3EF9"/>
    <w:rsid w:val="45DD139D"/>
    <w:rsid w:val="45DD3D90"/>
    <w:rsid w:val="45DD622C"/>
    <w:rsid w:val="45DE61D5"/>
    <w:rsid w:val="45E10CC7"/>
    <w:rsid w:val="45E1211F"/>
    <w:rsid w:val="45E20DFA"/>
    <w:rsid w:val="45E21865"/>
    <w:rsid w:val="45E32240"/>
    <w:rsid w:val="45E35336"/>
    <w:rsid w:val="45E42DDE"/>
    <w:rsid w:val="45E46305"/>
    <w:rsid w:val="45E52BA0"/>
    <w:rsid w:val="45E61DF3"/>
    <w:rsid w:val="45E61FA9"/>
    <w:rsid w:val="45E66B3C"/>
    <w:rsid w:val="45E745BD"/>
    <w:rsid w:val="45E87E40"/>
    <w:rsid w:val="45E958C2"/>
    <w:rsid w:val="45E9646F"/>
    <w:rsid w:val="45E97AC0"/>
    <w:rsid w:val="45EC0A45"/>
    <w:rsid w:val="45ED1D4A"/>
    <w:rsid w:val="45ED64C7"/>
    <w:rsid w:val="45EE77CB"/>
    <w:rsid w:val="45EF524D"/>
    <w:rsid w:val="45F02CCE"/>
    <w:rsid w:val="45F0744B"/>
    <w:rsid w:val="45F10750"/>
    <w:rsid w:val="45F14ECD"/>
    <w:rsid w:val="45F25F74"/>
    <w:rsid w:val="45F303D0"/>
    <w:rsid w:val="45F33C53"/>
    <w:rsid w:val="45F416D5"/>
    <w:rsid w:val="45F4493C"/>
    <w:rsid w:val="45F44CA7"/>
    <w:rsid w:val="45F45E51"/>
    <w:rsid w:val="45F57156"/>
    <w:rsid w:val="45F67579"/>
    <w:rsid w:val="45F709E5"/>
    <w:rsid w:val="45F76DD6"/>
    <w:rsid w:val="45F800DB"/>
    <w:rsid w:val="45F84858"/>
    <w:rsid w:val="45F922D9"/>
    <w:rsid w:val="45FA2938"/>
    <w:rsid w:val="45FA2AFC"/>
    <w:rsid w:val="45FA35DE"/>
    <w:rsid w:val="45FA7D5B"/>
    <w:rsid w:val="45FB325E"/>
    <w:rsid w:val="45FC0CDF"/>
    <w:rsid w:val="45FC4A4F"/>
    <w:rsid w:val="45FD4563"/>
    <w:rsid w:val="45FD6761"/>
    <w:rsid w:val="45FE41E2"/>
    <w:rsid w:val="45FF1C64"/>
    <w:rsid w:val="45FF6B67"/>
    <w:rsid w:val="45FF7A66"/>
    <w:rsid w:val="460054E7"/>
    <w:rsid w:val="460100E0"/>
    <w:rsid w:val="46012F69"/>
    <w:rsid w:val="46015167"/>
    <w:rsid w:val="46017EC5"/>
    <w:rsid w:val="460209EA"/>
    <w:rsid w:val="46022BE9"/>
    <w:rsid w:val="4603181D"/>
    <w:rsid w:val="4603646C"/>
    <w:rsid w:val="4603688D"/>
    <w:rsid w:val="4604196F"/>
    <w:rsid w:val="460460EC"/>
    <w:rsid w:val="46063770"/>
    <w:rsid w:val="46064E72"/>
    <w:rsid w:val="460744D3"/>
    <w:rsid w:val="46077070"/>
    <w:rsid w:val="46080375"/>
    <w:rsid w:val="46084AF2"/>
    <w:rsid w:val="46095A4C"/>
    <w:rsid w:val="460A3878"/>
    <w:rsid w:val="460B12FA"/>
    <w:rsid w:val="460B5A77"/>
    <w:rsid w:val="460D0F7A"/>
    <w:rsid w:val="460D47FD"/>
    <w:rsid w:val="460E227E"/>
    <w:rsid w:val="460E69FB"/>
    <w:rsid w:val="460F2655"/>
    <w:rsid w:val="460F447D"/>
    <w:rsid w:val="46101AAB"/>
    <w:rsid w:val="46101EFE"/>
    <w:rsid w:val="46102858"/>
    <w:rsid w:val="461118F6"/>
    <w:rsid w:val="461202BD"/>
    <w:rsid w:val="46132E83"/>
    <w:rsid w:val="46133C06"/>
    <w:rsid w:val="46135147"/>
    <w:rsid w:val="461566C0"/>
    <w:rsid w:val="46156884"/>
    <w:rsid w:val="46161889"/>
    <w:rsid w:val="4616725F"/>
    <w:rsid w:val="4616768B"/>
    <w:rsid w:val="46172422"/>
    <w:rsid w:val="4617510C"/>
    <w:rsid w:val="4617730B"/>
    <w:rsid w:val="46181376"/>
    <w:rsid w:val="46182B8E"/>
    <w:rsid w:val="46184D8C"/>
    <w:rsid w:val="46190610"/>
    <w:rsid w:val="4619280E"/>
    <w:rsid w:val="461A028F"/>
    <w:rsid w:val="461A6091"/>
    <w:rsid w:val="461B1594"/>
    <w:rsid w:val="461B3652"/>
    <w:rsid w:val="461B5D11"/>
    <w:rsid w:val="461B6E01"/>
    <w:rsid w:val="461C3E68"/>
    <w:rsid w:val="461D4A07"/>
    <w:rsid w:val="461D4A97"/>
    <w:rsid w:val="461D4BCB"/>
    <w:rsid w:val="461D72AB"/>
    <w:rsid w:val="461E47A9"/>
    <w:rsid w:val="461F05C4"/>
    <w:rsid w:val="461F3847"/>
    <w:rsid w:val="461F7F9A"/>
    <w:rsid w:val="46202199"/>
    <w:rsid w:val="46202A9A"/>
    <w:rsid w:val="46205A1C"/>
    <w:rsid w:val="46220097"/>
    <w:rsid w:val="4622025B"/>
    <w:rsid w:val="46230DFA"/>
    <w:rsid w:val="4623311D"/>
    <w:rsid w:val="46240B9F"/>
    <w:rsid w:val="46242373"/>
    <w:rsid w:val="46251EA4"/>
    <w:rsid w:val="46267925"/>
    <w:rsid w:val="46271B24"/>
    <w:rsid w:val="462753A7"/>
    <w:rsid w:val="46282E28"/>
    <w:rsid w:val="462875A5"/>
    <w:rsid w:val="46287A7D"/>
    <w:rsid w:val="462908AA"/>
    <w:rsid w:val="46295027"/>
    <w:rsid w:val="462A632B"/>
    <w:rsid w:val="462B052A"/>
    <w:rsid w:val="462B3DAD"/>
    <w:rsid w:val="462B5FAB"/>
    <w:rsid w:val="462C182F"/>
    <w:rsid w:val="462C3A2D"/>
    <w:rsid w:val="462D14AE"/>
    <w:rsid w:val="462D72B0"/>
    <w:rsid w:val="462D72F1"/>
    <w:rsid w:val="462E6F30"/>
    <w:rsid w:val="462F1C33"/>
    <w:rsid w:val="462F27B3"/>
    <w:rsid w:val="462F49B1"/>
    <w:rsid w:val="462F4D56"/>
    <w:rsid w:val="462F5DFF"/>
    <w:rsid w:val="46300235"/>
    <w:rsid w:val="46315CB6"/>
    <w:rsid w:val="46317EB5"/>
    <w:rsid w:val="46336C3B"/>
    <w:rsid w:val="463446BC"/>
    <w:rsid w:val="463450FE"/>
    <w:rsid w:val="4635213E"/>
    <w:rsid w:val="4635683C"/>
    <w:rsid w:val="46367216"/>
    <w:rsid w:val="46375641"/>
    <w:rsid w:val="463914F2"/>
    <w:rsid w:val="463A65C6"/>
    <w:rsid w:val="463C1AC9"/>
    <w:rsid w:val="463D381C"/>
    <w:rsid w:val="463F2A4E"/>
    <w:rsid w:val="464004CF"/>
    <w:rsid w:val="46415F51"/>
    <w:rsid w:val="46417674"/>
    <w:rsid w:val="46417839"/>
    <w:rsid w:val="46430DB2"/>
    <w:rsid w:val="46446ED5"/>
    <w:rsid w:val="46477E5A"/>
    <w:rsid w:val="4648427E"/>
    <w:rsid w:val="4649335D"/>
    <w:rsid w:val="46494FE1"/>
    <w:rsid w:val="464A3BD5"/>
    <w:rsid w:val="464A59BB"/>
    <w:rsid w:val="464B6860"/>
    <w:rsid w:val="464C19A5"/>
    <w:rsid w:val="464C1D63"/>
    <w:rsid w:val="464E3068"/>
    <w:rsid w:val="464E5266"/>
    <w:rsid w:val="464F0AEA"/>
    <w:rsid w:val="464F1A25"/>
    <w:rsid w:val="464F2CE8"/>
    <w:rsid w:val="46500769"/>
    <w:rsid w:val="46513FED"/>
    <w:rsid w:val="46521A6E"/>
    <w:rsid w:val="46523C6D"/>
    <w:rsid w:val="465316EE"/>
    <w:rsid w:val="46534F71"/>
    <w:rsid w:val="465429F3"/>
    <w:rsid w:val="46547170"/>
    <w:rsid w:val="46550474"/>
    <w:rsid w:val="46556111"/>
    <w:rsid w:val="46562673"/>
    <w:rsid w:val="46565EF6"/>
    <w:rsid w:val="46573978"/>
    <w:rsid w:val="465771CD"/>
    <w:rsid w:val="46577FD6"/>
    <w:rsid w:val="46585B76"/>
    <w:rsid w:val="46587D6C"/>
    <w:rsid w:val="46587F31"/>
    <w:rsid w:val="4659575D"/>
    <w:rsid w:val="46595E92"/>
    <w:rsid w:val="46596E7B"/>
    <w:rsid w:val="465A1079"/>
    <w:rsid w:val="465A14A9"/>
    <w:rsid w:val="465A4182"/>
    <w:rsid w:val="465A4D7A"/>
    <w:rsid w:val="465B237E"/>
    <w:rsid w:val="465D1FFE"/>
    <w:rsid w:val="465D33FD"/>
    <w:rsid w:val="465E3302"/>
    <w:rsid w:val="465E7A7F"/>
    <w:rsid w:val="465F0D84"/>
    <w:rsid w:val="465F5501"/>
    <w:rsid w:val="466039F1"/>
    <w:rsid w:val="466060B3"/>
    <w:rsid w:val="46610A04"/>
    <w:rsid w:val="46621D09"/>
    <w:rsid w:val="46633F07"/>
    <w:rsid w:val="4663778A"/>
    <w:rsid w:val="46641988"/>
    <w:rsid w:val="4664520C"/>
    <w:rsid w:val="46652C8D"/>
    <w:rsid w:val="46654E8C"/>
    <w:rsid w:val="4666070F"/>
    <w:rsid w:val="46683C12"/>
    <w:rsid w:val="46685E10"/>
    <w:rsid w:val="46687036"/>
    <w:rsid w:val="46693892"/>
    <w:rsid w:val="46696CCB"/>
    <w:rsid w:val="466A7115"/>
    <w:rsid w:val="466B6D95"/>
    <w:rsid w:val="466C2618"/>
    <w:rsid w:val="466C4816"/>
    <w:rsid w:val="466C6EEB"/>
    <w:rsid w:val="466E359D"/>
    <w:rsid w:val="466F1003"/>
    <w:rsid w:val="466F11C7"/>
    <w:rsid w:val="46712740"/>
    <w:rsid w:val="46714521"/>
    <w:rsid w:val="46721FA3"/>
    <w:rsid w:val="467341A1"/>
    <w:rsid w:val="46737A24"/>
    <w:rsid w:val="46741C23"/>
    <w:rsid w:val="467454A6"/>
    <w:rsid w:val="46752F28"/>
    <w:rsid w:val="46755232"/>
    <w:rsid w:val="467576A4"/>
    <w:rsid w:val="467609A9"/>
    <w:rsid w:val="46765DD0"/>
    <w:rsid w:val="467733A8"/>
    <w:rsid w:val="4677642B"/>
    <w:rsid w:val="4677696F"/>
    <w:rsid w:val="46787D24"/>
    <w:rsid w:val="4679192E"/>
    <w:rsid w:val="467A1AED"/>
    <w:rsid w:val="467A3B2C"/>
    <w:rsid w:val="467A73AF"/>
    <w:rsid w:val="467B15AE"/>
    <w:rsid w:val="467B2000"/>
    <w:rsid w:val="467B4E31"/>
    <w:rsid w:val="467C28B2"/>
    <w:rsid w:val="467C29DA"/>
    <w:rsid w:val="467C702F"/>
    <w:rsid w:val="467D0334"/>
    <w:rsid w:val="467D2532"/>
    <w:rsid w:val="467E3F53"/>
    <w:rsid w:val="467E4117"/>
    <w:rsid w:val="467E7FB4"/>
    <w:rsid w:val="467F3837"/>
    <w:rsid w:val="467F5A35"/>
    <w:rsid w:val="468034B7"/>
    <w:rsid w:val="46810F38"/>
    <w:rsid w:val="4681606A"/>
    <w:rsid w:val="46816D3A"/>
    <w:rsid w:val="46821902"/>
    <w:rsid w:val="468247BC"/>
    <w:rsid w:val="468269BA"/>
    <w:rsid w:val="46841EBD"/>
    <w:rsid w:val="468518BF"/>
    <w:rsid w:val="4685793F"/>
    <w:rsid w:val="468653C0"/>
    <w:rsid w:val="46872C73"/>
    <w:rsid w:val="46872E38"/>
    <w:rsid w:val="46872E42"/>
    <w:rsid w:val="468808C3"/>
    <w:rsid w:val="46891BC8"/>
    <w:rsid w:val="46896345"/>
    <w:rsid w:val="468A3DC6"/>
    <w:rsid w:val="468B1848"/>
    <w:rsid w:val="468C72C9"/>
    <w:rsid w:val="468D4D4B"/>
    <w:rsid w:val="468D6EA3"/>
    <w:rsid w:val="468E6050"/>
    <w:rsid w:val="468F05E0"/>
    <w:rsid w:val="468F3AD1"/>
    <w:rsid w:val="46901553"/>
    <w:rsid w:val="46905CD0"/>
    <w:rsid w:val="46913751"/>
    <w:rsid w:val="46927C50"/>
    <w:rsid w:val="469324D8"/>
    <w:rsid w:val="4693757A"/>
    <w:rsid w:val="469446D6"/>
    <w:rsid w:val="4694586B"/>
    <w:rsid w:val="46945A20"/>
    <w:rsid w:val="46976927"/>
    <w:rsid w:val="4698695F"/>
    <w:rsid w:val="469965DF"/>
    <w:rsid w:val="469D0869"/>
    <w:rsid w:val="469E62EA"/>
    <w:rsid w:val="469F3D6C"/>
    <w:rsid w:val="46A017ED"/>
    <w:rsid w:val="46A04C6D"/>
    <w:rsid w:val="46A119EC"/>
    <w:rsid w:val="46A12D06"/>
    <w:rsid w:val="46A1726F"/>
    <w:rsid w:val="46A24CF0"/>
    <w:rsid w:val="46A37971"/>
    <w:rsid w:val="46A44EEF"/>
    <w:rsid w:val="46A9398E"/>
    <w:rsid w:val="46A9467B"/>
    <w:rsid w:val="46AA20FD"/>
    <w:rsid w:val="46AA4368"/>
    <w:rsid w:val="46AB7B7E"/>
    <w:rsid w:val="46AC5600"/>
    <w:rsid w:val="46AE7BBD"/>
    <w:rsid w:val="46AF075C"/>
    <w:rsid w:val="46B04006"/>
    <w:rsid w:val="46B11CD5"/>
    <w:rsid w:val="46B21F99"/>
    <w:rsid w:val="46B3080E"/>
    <w:rsid w:val="46B34F8B"/>
    <w:rsid w:val="46B40180"/>
    <w:rsid w:val="46B46290"/>
    <w:rsid w:val="46B53D11"/>
    <w:rsid w:val="46B547C6"/>
    <w:rsid w:val="46B55F0F"/>
    <w:rsid w:val="46B61793"/>
    <w:rsid w:val="46B63991"/>
    <w:rsid w:val="46B71412"/>
    <w:rsid w:val="46B77214"/>
    <w:rsid w:val="46B86E94"/>
    <w:rsid w:val="46B94916"/>
    <w:rsid w:val="46B9747D"/>
    <w:rsid w:val="46BB6321"/>
    <w:rsid w:val="46BB7E19"/>
    <w:rsid w:val="46BC111E"/>
    <w:rsid w:val="46BC13D0"/>
    <w:rsid w:val="46BC369C"/>
    <w:rsid w:val="46BD2B0D"/>
    <w:rsid w:val="46BD6B9F"/>
    <w:rsid w:val="46BE36AC"/>
    <w:rsid w:val="46BE4621"/>
    <w:rsid w:val="46BE6B5C"/>
    <w:rsid w:val="46BF5F64"/>
    <w:rsid w:val="46BF681F"/>
    <w:rsid w:val="46C04A60"/>
    <w:rsid w:val="46C04C97"/>
    <w:rsid w:val="46C07B24"/>
    <w:rsid w:val="46C11D22"/>
    <w:rsid w:val="46C155A5"/>
    <w:rsid w:val="46C155FF"/>
    <w:rsid w:val="46C157C3"/>
    <w:rsid w:val="46C20902"/>
    <w:rsid w:val="46C35225"/>
    <w:rsid w:val="46C36B78"/>
    <w:rsid w:val="46C4652A"/>
    <w:rsid w:val="46C53FAB"/>
    <w:rsid w:val="46C60E54"/>
    <w:rsid w:val="46C61A2D"/>
    <w:rsid w:val="46C73C2B"/>
    <w:rsid w:val="46C774AF"/>
    <w:rsid w:val="46C816AD"/>
    <w:rsid w:val="46C823CD"/>
    <w:rsid w:val="46C84F30"/>
    <w:rsid w:val="46C929B2"/>
    <w:rsid w:val="46CA0433"/>
    <w:rsid w:val="46CA44E4"/>
    <w:rsid w:val="46CB2631"/>
    <w:rsid w:val="46CB4EBE"/>
    <w:rsid w:val="46CC00B3"/>
    <w:rsid w:val="46CC3936"/>
    <w:rsid w:val="46CD13B8"/>
    <w:rsid w:val="46CD35B6"/>
    <w:rsid w:val="46CE6E39"/>
    <w:rsid w:val="46CE6FD6"/>
    <w:rsid w:val="46CF48BB"/>
    <w:rsid w:val="46CF6AB9"/>
    <w:rsid w:val="46CF7B75"/>
    <w:rsid w:val="46D110ED"/>
    <w:rsid w:val="46D11FBC"/>
    <w:rsid w:val="46D27A3E"/>
    <w:rsid w:val="46D3282B"/>
    <w:rsid w:val="46D354BF"/>
    <w:rsid w:val="46D42F41"/>
    <w:rsid w:val="46D43205"/>
    <w:rsid w:val="46D54246"/>
    <w:rsid w:val="46D6477E"/>
    <w:rsid w:val="46D66444"/>
    <w:rsid w:val="46D73EC6"/>
    <w:rsid w:val="46D77749"/>
    <w:rsid w:val="46D81947"/>
    <w:rsid w:val="46D85CF7"/>
    <w:rsid w:val="46D9157A"/>
    <w:rsid w:val="46D955A7"/>
    <w:rsid w:val="46DA06CE"/>
    <w:rsid w:val="46DB28CC"/>
    <w:rsid w:val="46DB614F"/>
    <w:rsid w:val="46DC24DD"/>
    <w:rsid w:val="46DD1652"/>
    <w:rsid w:val="46DD18E6"/>
    <w:rsid w:val="46DE0983"/>
    <w:rsid w:val="46DE2AC4"/>
    <w:rsid w:val="46DE70D4"/>
    <w:rsid w:val="46DF12D2"/>
    <w:rsid w:val="46DF349F"/>
    <w:rsid w:val="46DF4B55"/>
    <w:rsid w:val="46E025D7"/>
    <w:rsid w:val="46E06D54"/>
    <w:rsid w:val="46E147D5"/>
    <w:rsid w:val="46E2753A"/>
    <w:rsid w:val="46E37CD8"/>
    <w:rsid w:val="46E40FDD"/>
    <w:rsid w:val="46E4575A"/>
    <w:rsid w:val="46E531DB"/>
    <w:rsid w:val="46E56A5F"/>
    <w:rsid w:val="46E644E0"/>
    <w:rsid w:val="46E666DE"/>
    <w:rsid w:val="46E71F62"/>
    <w:rsid w:val="46E74160"/>
    <w:rsid w:val="46E81BE2"/>
    <w:rsid w:val="46E879E3"/>
    <w:rsid w:val="46E92D5E"/>
    <w:rsid w:val="46E97663"/>
    <w:rsid w:val="46EA2EE6"/>
    <w:rsid w:val="46EA3AC1"/>
    <w:rsid w:val="46EA50E5"/>
    <w:rsid w:val="46EB0968"/>
    <w:rsid w:val="46EB2B66"/>
    <w:rsid w:val="46EB3BA2"/>
    <w:rsid w:val="46EB442E"/>
    <w:rsid w:val="46EC05E8"/>
    <w:rsid w:val="46ED18ED"/>
    <w:rsid w:val="46ED6069"/>
    <w:rsid w:val="46EE3AEB"/>
    <w:rsid w:val="46EE736E"/>
    <w:rsid w:val="46EF156C"/>
    <w:rsid w:val="46EF4DF0"/>
    <w:rsid w:val="46EF6631"/>
    <w:rsid w:val="46EF7152"/>
    <w:rsid w:val="46F102F3"/>
    <w:rsid w:val="46F224F1"/>
    <w:rsid w:val="46F37F73"/>
    <w:rsid w:val="46F4261E"/>
    <w:rsid w:val="46F459F4"/>
    <w:rsid w:val="46F56CF9"/>
    <w:rsid w:val="46F648FA"/>
    <w:rsid w:val="46F721FC"/>
    <w:rsid w:val="46F752D4"/>
    <w:rsid w:val="46F843FA"/>
    <w:rsid w:val="46F87C7E"/>
    <w:rsid w:val="46F9684D"/>
    <w:rsid w:val="46F972E2"/>
    <w:rsid w:val="46FA5CA9"/>
    <w:rsid w:val="46FA78FD"/>
    <w:rsid w:val="46FB0C02"/>
    <w:rsid w:val="46FB537F"/>
    <w:rsid w:val="46FB7DC6"/>
    <w:rsid w:val="46FC2E01"/>
    <w:rsid w:val="46FD0882"/>
    <w:rsid w:val="46FD4105"/>
    <w:rsid w:val="46FE20A2"/>
    <w:rsid w:val="46FE3D85"/>
    <w:rsid w:val="46FF1807"/>
    <w:rsid w:val="46FF7608"/>
    <w:rsid w:val="47003456"/>
    <w:rsid w:val="4700508A"/>
    <w:rsid w:val="47012B0C"/>
    <w:rsid w:val="4702058D"/>
    <w:rsid w:val="4702556E"/>
    <w:rsid w:val="47025732"/>
    <w:rsid w:val="4703600F"/>
    <w:rsid w:val="470362D1"/>
    <w:rsid w:val="47051512"/>
    <w:rsid w:val="47071E2A"/>
    <w:rsid w:val="47095999"/>
    <w:rsid w:val="470C4453"/>
    <w:rsid w:val="470C691E"/>
    <w:rsid w:val="470D43A0"/>
    <w:rsid w:val="470D4FF2"/>
    <w:rsid w:val="470E5B90"/>
    <w:rsid w:val="47105324"/>
    <w:rsid w:val="47107CA8"/>
    <w:rsid w:val="47120827"/>
    <w:rsid w:val="4712105C"/>
    <w:rsid w:val="47133957"/>
    <w:rsid w:val="471362A9"/>
    <w:rsid w:val="47143D2B"/>
    <w:rsid w:val="471517AC"/>
    <w:rsid w:val="47153174"/>
    <w:rsid w:val="47153338"/>
    <w:rsid w:val="47154451"/>
    <w:rsid w:val="47163BC5"/>
    <w:rsid w:val="47174CAF"/>
    <w:rsid w:val="47182731"/>
    <w:rsid w:val="4718528B"/>
    <w:rsid w:val="471901B2"/>
    <w:rsid w:val="47193A36"/>
    <w:rsid w:val="47195E2A"/>
    <w:rsid w:val="471A14B7"/>
    <w:rsid w:val="471A5C34"/>
    <w:rsid w:val="471A6804"/>
    <w:rsid w:val="471B6F39"/>
    <w:rsid w:val="471B73A3"/>
    <w:rsid w:val="471C4279"/>
    <w:rsid w:val="471D091C"/>
    <w:rsid w:val="471D243C"/>
    <w:rsid w:val="471D463A"/>
    <w:rsid w:val="471D6BB8"/>
    <w:rsid w:val="471E20BC"/>
    <w:rsid w:val="471E5E67"/>
    <w:rsid w:val="471E6EE5"/>
    <w:rsid w:val="471E7EBD"/>
    <w:rsid w:val="471F593F"/>
    <w:rsid w:val="472055BF"/>
    <w:rsid w:val="47210E42"/>
    <w:rsid w:val="47213040"/>
    <w:rsid w:val="47214171"/>
    <w:rsid w:val="47216B23"/>
    <w:rsid w:val="47224B4B"/>
    <w:rsid w:val="47224D0F"/>
    <w:rsid w:val="47234345"/>
    <w:rsid w:val="472356EA"/>
    <w:rsid w:val="47241DC7"/>
    <w:rsid w:val="47246288"/>
    <w:rsid w:val="47246558"/>
    <w:rsid w:val="472468C3"/>
    <w:rsid w:val="472552CA"/>
    <w:rsid w:val="47256C62"/>
    <w:rsid w:val="47257848"/>
    <w:rsid w:val="47264328"/>
    <w:rsid w:val="472674C8"/>
    <w:rsid w:val="47267801"/>
    <w:rsid w:val="472703A0"/>
    <w:rsid w:val="472707CD"/>
    <w:rsid w:val="47274F4A"/>
    <w:rsid w:val="472829CB"/>
    <w:rsid w:val="4729044D"/>
    <w:rsid w:val="47291919"/>
    <w:rsid w:val="472A1751"/>
    <w:rsid w:val="472A22F3"/>
    <w:rsid w:val="472B3950"/>
    <w:rsid w:val="472B71D3"/>
    <w:rsid w:val="472C13D1"/>
    <w:rsid w:val="472D26D6"/>
    <w:rsid w:val="472E0158"/>
    <w:rsid w:val="472E5B48"/>
    <w:rsid w:val="472F2356"/>
    <w:rsid w:val="472F5BD9"/>
    <w:rsid w:val="4730365B"/>
    <w:rsid w:val="47307DD7"/>
    <w:rsid w:val="473110DC"/>
    <w:rsid w:val="47315859"/>
    <w:rsid w:val="47326B5E"/>
    <w:rsid w:val="4733065F"/>
    <w:rsid w:val="47330B7F"/>
    <w:rsid w:val="47330D35"/>
    <w:rsid w:val="47330D5C"/>
    <w:rsid w:val="473311D8"/>
    <w:rsid w:val="47342061"/>
    <w:rsid w:val="473467DE"/>
    <w:rsid w:val="47347026"/>
    <w:rsid w:val="473476FC"/>
    <w:rsid w:val="47347A68"/>
    <w:rsid w:val="47351CE1"/>
    <w:rsid w:val="4735425F"/>
    <w:rsid w:val="47357AE2"/>
    <w:rsid w:val="47365564"/>
    <w:rsid w:val="47367762"/>
    <w:rsid w:val="47380A67"/>
    <w:rsid w:val="47382C65"/>
    <w:rsid w:val="473906E7"/>
    <w:rsid w:val="47395DE1"/>
    <w:rsid w:val="473964E9"/>
    <w:rsid w:val="473A3F6A"/>
    <w:rsid w:val="473A6169"/>
    <w:rsid w:val="473B19EC"/>
    <w:rsid w:val="473B3BEA"/>
    <w:rsid w:val="473B735A"/>
    <w:rsid w:val="473B751F"/>
    <w:rsid w:val="473C166C"/>
    <w:rsid w:val="473C213E"/>
    <w:rsid w:val="473D2970"/>
    <w:rsid w:val="473D4EEF"/>
    <w:rsid w:val="473D70ED"/>
    <w:rsid w:val="473E03F2"/>
    <w:rsid w:val="473E22D8"/>
    <w:rsid w:val="473F2011"/>
    <w:rsid w:val="473F25F0"/>
    <w:rsid w:val="4741374E"/>
    <w:rsid w:val="47422245"/>
    <w:rsid w:val="47426E69"/>
    <w:rsid w:val="47430FF6"/>
    <w:rsid w:val="474544FA"/>
    <w:rsid w:val="4745607B"/>
    <w:rsid w:val="47463154"/>
    <w:rsid w:val="474677B9"/>
    <w:rsid w:val="47480D01"/>
    <w:rsid w:val="47480D31"/>
    <w:rsid w:val="4748547E"/>
    <w:rsid w:val="47492F00"/>
    <w:rsid w:val="47496783"/>
    <w:rsid w:val="474A7699"/>
    <w:rsid w:val="474B300D"/>
    <w:rsid w:val="474B6403"/>
    <w:rsid w:val="474C3E84"/>
    <w:rsid w:val="474C7708"/>
    <w:rsid w:val="474D1906"/>
    <w:rsid w:val="474D5189"/>
    <w:rsid w:val="474E2C0B"/>
    <w:rsid w:val="474F5CEF"/>
    <w:rsid w:val="4750030C"/>
    <w:rsid w:val="4750610E"/>
    <w:rsid w:val="47513B8F"/>
    <w:rsid w:val="4751434B"/>
    <w:rsid w:val="47515D8E"/>
    <w:rsid w:val="475207B5"/>
    <w:rsid w:val="47521611"/>
    <w:rsid w:val="475233E9"/>
    <w:rsid w:val="4752359F"/>
    <w:rsid w:val="4752380F"/>
    <w:rsid w:val="47527A52"/>
    <w:rsid w:val="47527C17"/>
    <w:rsid w:val="47531291"/>
    <w:rsid w:val="47544B14"/>
    <w:rsid w:val="47560017"/>
    <w:rsid w:val="47562215"/>
    <w:rsid w:val="47565A99"/>
    <w:rsid w:val="4757351A"/>
    <w:rsid w:val="47573E46"/>
    <w:rsid w:val="47577C97"/>
    <w:rsid w:val="47585719"/>
    <w:rsid w:val="4759319A"/>
    <w:rsid w:val="47596A1D"/>
    <w:rsid w:val="475A449F"/>
    <w:rsid w:val="475A5F5D"/>
    <w:rsid w:val="475B669D"/>
    <w:rsid w:val="475C411F"/>
    <w:rsid w:val="475D5424"/>
    <w:rsid w:val="475E0317"/>
    <w:rsid w:val="475E0A4F"/>
    <w:rsid w:val="475F50A3"/>
    <w:rsid w:val="475F756A"/>
    <w:rsid w:val="47602B25"/>
    <w:rsid w:val="476063A8"/>
    <w:rsid w:val="47606452"/>
    <w:rsid w:val="47612B67"/>
    <w:rsid w:val="47613E2A"/>
    <w:rsid w:val="47623541"/>
    <w:rsid w:val="47626028"/>
    <w:rsid w:val="4763732D"/>
    <w:rsid w:val="4764152B"/>
    <w:rsid w:val="47643176"/>
    <w:rsid w:val="47644DAE"/>
    <w:rsid w:val="4764581D"/>
    <w:rsid w:val="47656FAD"/>
    <w:rsid w:val="476602B2"/>
    <w:rsid w:val="4768030F"/>
    <w:rsid w:val="476837B5"/>
    <w:rsid w:val="476A6CB8"/>
    <w:rsid w:val="476B4739"/>
    <w:rsid w:val="476E0A79"/>
    <w:rsid w:val="476E1305"/>
    <w:rsid w:val="476E313F"/>
    <w:rsid w:val="476E453E"/>
    <w:rsid w:val="476E50DC"/>
    <w:rsid w:val="476E56BE"/>
    <w:rsid w:val="476F03A3"/>
    <w:rsid w:val="476F4F18"/>
    <w:rsid w:val="476F7A5C"/>
    <w:rsid w:val="476F7E82"/>
    <w:rsid w:val="477140C4"/>
    <w:rsid w:val="47721B46"/>
    <w:rsid w:val="47751B21"/>
    <w:rsid w:val="4777325F"/>
    <w:rsid w:val="47775FCD"/>
    <w:rsid w:val="47783DFD"/>
    <w:rsid w:val="477A04AC"/>
    <w:rsid w:val="477B5F15"/>
    <w:rsid w:val="477C392D"/>
    <w:rsid w:val="477D002C"/>
    <w:rsid w:val="477D7ED7"/>
    <w:rsid w:val="477F13E1"/>
    <w:rsid w:val="477F15A5"/>
    <w:rsid w:val="477F33DA"/>
    <w:rsid w:val="477F6C5D"/>
    <w:rsid w:val="47800E5B"/>
    <w:rsid w:val="478046DF"/>
    <w:rsid w:val="47812160"/>
    <w:rsid w:val="478234F8"/>
    <w:rsid w:val="478430E5"/>
    <w:rsid w:val="47850B66"/>
    <w:rsid w:val="478552E3"/>
    <w:rsid w:val="478557D4"/>
    <w:rsid w:val="478665E8"/>
    <w:rsid w:val="47876268"/>
    <w:rsid w:val="47876D4D"/>
    <w:rsid w:val="47881AEB"/>
    <w:rsid w:val="4789176B"/>
    <w:rsid w:val="4789756D"/>
    <w:rsid w:val="478A4FEE"/>
    <w:rsid w:val="478B4C6E"/>
    <w:rsid w:val="478B5F54"/>
    <w:rsid w:val="478C04F1"/>
    <w:rsid w:val="478C4C87"/>
    <w:rsid w:val="478D0171"/>
    <w:rsid w:val="478D56A7"/>
    <w:rsid w:val="478E1476"/>
    <w:rsid w:val="478E5BF3"/>
    <w:rsid w:val="478F3674"/>
    <w:rsid w:val="478F4ECF"/>
    <w:rsid w:val="478F6EF7"/>
    <w:rsid w:val="479010F6"/>
    <w:rsid w:val="47927E7C"/>
    <w:rsid w:val="4793207A"/>
    <w:rsid w:val="479358FE"/>
    <w:rsid w:val="47947AFC"/>
    <w:rsid w:val="479510FE"/>
    <w:rsid w:val="47954D42"/>
    <w:rsid w:val="4795557D"/>
    <w:rsid w:val="47962FFF"/>
    <w:rsid w:val="47970A81"/>
    <w:rsid w:val="47974304"/>
    <w:rsid w:val="479814DE"/>
    <w:rsid w:val="47981D85"/>
    <w:rsid w:val="47983216"/>
    <w:rsid w:val="47983DB5"/>
    <w:rsid w:val="479A1A05"/>
    <w:rsid w:val="479A5288"/>
    <w:rsid w:val="479B5D08"/>
    <w:rsid w:val="479B70F9"/>
    <w:rsid w:val="479C078C"/>
    <w:rsid w:val="479D620D"/>
    <w:rsid w:val="479E040B"/>
    <w:rsid w:val="479E5E8D"/>
    <w:rsid w:val="479F0B82"/>
    <w:rsid w:val="479F1710"/>
    <w:rsid w:val="47A07E0C"/>
    <w:rsid w:val="47A14C13"/>
    <w:rsid w:val="47A16E12"/>
    <w:rsid w:val="47A47D96"/>
    <w:rsid w:val="47A5361A"/>
    <w:rsid w:val="47A54BED"/>
    <w:rsid w:val="47A63299"/>
    <w:rsid w:val="47A63E71"/>
    <w:rsid w:val="47A66B1D"/>
    <w:rsid w:val="47A7459E"/>
    <w:rsid w:val="47A97AA1"/>
    <w:rsid w:val="47AA0AE1"/>
    <w:rsid w:val="47AA1CA0"/>
    <w:rsid w:val="47AB17F6"/>
    <w:rsid w:val="47AC0A26"/>
    <w:rsid w:val="47AC5D2C"/>
    <w:rsid w:val="47AD2C24"/>
    <w:rsid w:val="47AD64A7"/>
    <w:rsid w:val="47AE06A6"/>
    <w:rsid w:val="47AE2189"/>
    <w:rsid w:val="47AE3F29"/>
    <w:rsid w:val="47B03BA9"/>
    <w:rsid w:val="47B04E87"/>
    <w:rsid w:val="47B0742C"/>
    <w:rsid w:val="47B1017C"/>
    <w:rsid w:val="47B14EAE"/>
    <w:rsid w:val="47B15A25"/>
    <w:rsid w:val="47B2292F"/>
    <w:rsid w:val="47B270AC"/>
    <w:rsid w:val="47B34B2D"/>
    <w:rsid w:val="47B37F9B"/>
    <w:rsid w:val="47B425AF"/>
    <w:rsid w:val="47B45E32"/>
    <w:rsid w:val="47B538B4"/>
    <w:rsid w:val="47B61335"/>
    <w:rsid w:val="47B65AB2"/>
    <w:rsid w:val="47B740B3"/>
    <w:rsid w:val="47B84838"/>
    <w:rsid w:val="47B922BA"/>
    <w:rsid w:val="47B93D6C"/>
    <w:rsid w:val="47B944B8"/>
    <w:rsid w:val="47BA2957"/>
    <w:rsid w:val="47BA4746"/>
    <w:rsid w:val="47BA490B"/>
    <w:rsid w:val="47BA7D3C"/>
    <w:rsid w:val="47BB57BD"/>
    <w:rsid w:val="47BB79BB"/>
    <w:rsid w:val="47BC5E84"/>
    <w:rsid w:val="47BD2EBF"/>
    <w:rsid w:val="47BE0940"/>
    <w:rsid w:val="47BF1C45"/>
    <w:rsid w:val="47BF63C2"/>
    <w:rsid w:val="47C016D8"/>
    <w:rsid w:val="47C03E43"/>
    <w:rsid w:val="47C076C6"/>
    <w:rsid w:val="47C15148"/>
    <w:rsid w:val="47C22A8D"/>
    <w:rsid w:val="47C22BCA"/>
    <w:rsid w:val="47C3064B"/>
    <w:rsid w:val="47C34DC8"/>
    <w:rsid w:val="47C42849"/>
    <w:rsid w:val="47C441CA"/>
    <w:rsid w:val="47C47B5E"/>
    <w:rsid w:val="47C53B4E"/>
    <w:rsid w:val="47C65D4C"/>
    <w:rsid w:val="47C77051"/>
    <w:rsid w:val="47C81250"/>
    <w:rsid w:val="47C84AD3"/>
    <w:rsid w:val="47C96CD1"/>
    <w:rsid w:val="47C979DB"/>
    <w:rsid w:val="47CA0235"/>
    <w:rsid w:val="47CA03F9"/>
    <w:rsid w:val="47CA4753"/>
    <w:rsid w:val="47CA7FD6"/>
    <w:rsid w:val="47CB0DA4"/>
    <w:rsid w:val="47CB21D4"/>
    <w:rsid w:val="47CB5A57"/>
    <w:rsid w:val="47CD234C"/>
    <w:rsid w:val="47CF445E"/>
    <w:rsid w:val="47CF4628"/>
    <w:rsid w:val="47D01EDF"/>
    <w:rsid w:val="47D159DD"/>
    <w:rsid w:val="47D253E2"/>
    <w:rsid w:val="47D31FCF"/>
    <w:rsid w:val="47D3711A"/>
    <w:rsid w:val="47D50858"/>
    <w:rsid w:val="47D56367"/>
    <w:rsid w:val="47D84D6D"/>
    <w:rsid w:val="47D93349"/>
    <w:rsid w:val="47DB5CF2"/>
    <w:rsid w:val="47DC3773"/>
    <w:rsid w:val="47DC5461"/>
    <w:rsid w:val="47DD11F5"/>
    <w:rsid w:val="47DD5E3B"/>
    <w:rsid w:val="47DD69DA"/>
    <w:rsid w:val="47DE6C76"/>
    <w:rsid w:val="47DE7578"/>
    <w:rsid w:val="47DF46F8"/>
    <w:rsid w:val="47E0217A"/>
    <w:rsid w:val="47E2428C"/>
    <w:rsid w:val="47E35CBF"/>
    <w:rsid w:val="47E40B80"/>
    <w:rsid w:val="47E56601"/>
    <w:rsid w:val="47E75388"/>
    <w:rsid w:val="47E82E09"/>
    <w:rsid w:val="47E87586"/>
    <w:rsid w:val="47E95008"/>
    <w:rsid w:val="47EA2A89"/>
    <w:rsid w:val="47EA7812"/>
    <w:rsid w:val="47EB050B"/>
    <w:rsid w:val="47EC180F"/>
    <w:rsid w:val="47EC5F8C"/>
    <w:rsid w:val="47EE4D13"/>
    <w:rsid w:val="47EF2794"/>
    <w:rsid w:val="47EF4992"/>
    <w:rsid w:val="47EF6F11"/>
    <w:rsid w:val="47F00216"/>
    <w:rsid w:val="47F02414"/>
    <w:rsid w:val="47F0441B"/>
    <w:rsid w:val="47F045E0"/>
    <w:rsid w:val="47F06C1E"/>
    <w:rsid w:val="47F15B06"/>
    <w:rsid w:val="47F16027"/>
    <w:rsid w:val="47F17E95"/>
    <w:rsid w:val="47F25917"/>
    <w:rsid w:val="47F3119A"/>
    <w:rsid w:val="47F33399"/>
    <w:rsid w:val="47F40E1A"/>
    <w:rsid w:val="47F46C1C"/>
    <w:rsid w:val="47F57AAC"/>
    <w:rsid w:val="47F6064A"/>
    <w:rsid w:val="47F6211F"/>
    <w:rsid w:val="47F63BEF"/>
    <w:rsid w:val="47F71D9F"/>
    <w:rsid w:val="47F77BA0"/>
    <w:rsid w:val="47F81D88"/>
    <w:rsid w:val="47F87820"/>
    <w:rsid w:val="47F90B25"/>
    <w:rsid w:val="47F952A2"/>
    <w:rsid w:val="47FA2D23"/>
    <w:rsid w:val="47FA3D1C"/>
    <w:rsid w:val="47FA65A7"/>
    <w:rsid w:val="47FB4028"/>
    <w:rsid w:val="47FD5FB7"/>
    <w:rsid w:val="47FD752B"/>
    <w:rsid w:val="47FE1246"/>
    <w:rsid w:val="47FE4FAD"/>
    <w:rsid w:val="47FF2A2E"/>
    <w:rsid w:val="47FF71AB"/>
    <w:rsid w:val="480000CE"/>
    <w:rsid w:val="480076EC"/>
    <w:rsid w:val="480126AE"/>
    <w:rsid w:val="48020130"/>
    <w:rsid w:val="48022749"/>
    <w:rsid w:val="48031435"/>
    <w:rsid w:val="48054938"/>
    <w:rsid w:val="48064139"/>
    <w:rsid w:val="48072039"/>
    <w:rsid w:val="480745B8"/>
    <w:rsid w:val="48087ABB"/>
    <w:rsid w:val="4809333E"/>
    <w:rsid w:val="4809553C"/>
    <w:rsid w:val="48096DEF"/>
    <w:rsid w:val="480B0A3F"/>
    <w:rsid w:val="480C64C1"/>
    <w:rsid w:val="480D3F42"/>
    <w:rsid w:val="480E19C4"/>
    <w:rsid w:val="480E23EA"/>
    <w:rsid w:val="480E2C76"/>
    <w:rsid w:val="480E7FCB"/>
    <w:rsid w:val="480F2CC9"/>
    <w:rsid w:val="480F2E5A"/>
    <w:rsid w:val="4810074A"/>
    <w:rsid w:val="48104EC7"/>
    <w:rsid w:val="48112949"/>
    <w:rsid w:val="481203CA"/>
    <w:rsid w:val="48124F71"/>
    <w:rsid w:val="481316CF"/>
    <w:rsid w:val="481438CD"/>
    <w:rsid w:val="48147089"/>
    <w:rsid w:val="48162654"/>
    <w:rsid w:val="481700D5"/>
    <w:rsid w:val="481711A1"/>
    <w:rsid w:val="48174852"/>
    <w:rsid w:val="481A57D7"/>
    <w:rsid w:val="481C529E"/>
    <w:rsid w:val="481F54E2"/>
    <w:rsid w:val="481F6949"/>
    <w:rsid w:val="481F6B0D"/>
    <w:rsid w:val="481F76E0"/>
    <w:rsid w:val="48210C25"/>
    <w:rsid w:val="48212BE3"/>
    <w:rsid w:val="48220665"/>
    <w:rsid w:val="48220A60"/>
    <w:rsid w:val="48226466"/>
    <w:rsid w:val="48231FD9"/>
    <w:rsid w:val="4823219D"/>
    <w:rsid w:val="48233EE8"/>
    <w:rsid w:val="48241969"/>
    <w:rsid w:val="48243B68"/>
    <w:rsid w:val="482515E9"/>
    <w:rsid w:val="482640F1"/>
    <w:rsid w:val="482642B5"/>
    <w:rsid w:val="4826706B"/>
    <w:rsid w:val="48274AEC"/>
    <w:rsid w:val="48285DF1"/>
    <w:rsid w:val="48293873"/>
    <w:rsid w:val="482A5A71"/>
    <w:rsid w:val="482B34F2"/>
    <w:rsid w:val="482B6D76"/>
    <w:rsid w:val="482D2279"/>
    <w:rsid w:val="482D69F6"/>
    <w:rsid w:val="482E1898"/>
    <w:rsid w:val="482E4477"/>
    <w:rsid w:val="482E7CFA"/>
    <w:rsid w:val="4830797A"/>
    <w:rsid w:val="48310C7F"/>
    <w:rsid w:val="48324391"/>
    <w:rsid w:val="48326701"/>
    <w:rsid w:val="48334182"/>
    <w:rsid w:val="48357205"/>
    <w:rsid w:val="48357685"/>
    <w:rsid w:val="48363DE1"/>
    <w:rsid w:val="48365107"/>
    <w:rsid w:val="48372B88"/>
    <w:rsid w:val="48391D37"/>
    <w:rsid w:val="483B158F"/>
    <w:rsid w:val="483C3E0E"/>
    <w:rsid w:val="483D49AD"/>
    <w:rsid w:val="483D4A92"/>
    <w:rsid w:val="48410F19"/>
    <w:rsid w:val="48420A18"/>
    <w:rsid w:val="48420BDC"/>
    <w:rsid w:val="4842699B"/>
    <w:rsid w:val="48431175"/>
    <w:rsid w:val="4843441C"/>
    <w:rsid w:val="48441E9E"/>
    <w:rsid w:val="48452B2F"/>
    <w:rsid w:val="48452CF3"/>
    <w:rsid w:val="48457920"/>
    <w:rsid w:val="48472E23"/>
    <w:rsid w:val="4847487F"/>
    <w:rsid w:val="48484E0B"/>
    <w:rsid w:val="48492B70"/>
    <w:rsid w:val="484A3DA7"/>
    <w:rsid w:val="484A6384"/>
    <w:rsid w:val="484B6D5E"/>
    <w:rsid w:val="484C049B"/>
    <w:rsid w:val="484C2B2E"/>
    <w:rsid w:val="484C72AA"/>
    <w:rsid w:val="484D05AF"/>
    <w:rsid w:val="484D0E76"/>
    <w:rsid w:val="484D103A"/>
    <w:rsid w:val="484D4D2C"/>
    <w:rsid w:val="484E1850"/>
    <w:rsid w:val="484E1A14"/>
    <w:rsid w:val="484E6031"/>
    <w:rsid w:val="484F23EF"/>
    <w:rsid w:val="48513732"/>
    <w:rsid w:val="48513B2C"/>
    <w:rsid w:val="48516FB5"/>
    <w:rsid w:val="48524506"/>
    <w:rsid w:val="485324B9"/>
    <w:rsid w:val="48536C35"/>
    <w:rsid w:val="485446B7"/>
    <w:rsid w:val="48545755"/>
    <w:rsid w:val="48545A7F"/>
    <w:rsid w:val="48552138"/>
    <w:rsid w:val="485559BC"/>
    <w:rsid w:val="48557733"/>
    <w:rsid w:val="48560C68"/>
    <w:rsid w:val="4856343D"/>
    <w:rsid w:val="4856705C"/>
    <w:rsid w:val="485671BC"/>
    <w:rsid w:val="48567BBA"/>
    <w:rsid w:val="48570EBF"/>
    <w:rsid w:val="4857563B"/>
    <w:rsid w:val="48575BD9"/>
    <w:rsid w:val="485760FA"/>
    <w:rsid w:val="48586940"/>
    <w:rsid w:val="48591E73"/>
    <w:rsid w:val="485A1E43"/>
    <w:rsid w:val="485C5346"/>
    <w:rsid w:val="485D4FC6"/>
    <w:rsid w:val="485E084A"/>
    <w:rsid w:val="485E533F"/>
    <w:rsid w:val="485E5503"/>
    <w:rsid w:val="485F62CB"/>
    <w:rsid w:val="486017CE"/>
    <w:rsid w:val="48603D4D"/>
    <w:rsid w:val="48606A7C"/>
    <w:rsid w:val="48613353"/>
    <w:rsid w:val="486139CD"/>
    <w:rsid w:val="48617456"/>
    <w:rsid w:val="4861761A"/>
    <w:rsid w:val="4862144E"/>
    <w:rsid w:val="48627FF5"/>
    <w:rsid w:val="4864183A"/>
    <w:rsid w:val="48644951"/>
    <w:rsid w:val="48650DF8"/>
    <w:rsid w:val="4865210C"/>
    <w:rsid w:val="486523D3"/>
    <w:rsid w:val="48655C56"/>
    <w:rsid w:val="48660201"/>
    <w:rsid w:val="48662CAB"/>
    <w:rsid w:val="486758D6"/>
    <w:rsid w:val="48683357"/>
    <w:rsid w:val="48686BDB"/>
    <w:rsid w:val="4869465C"/>
    <w:rsid w:val="486A685A"/>
    <w:rsid w:val="486B42DC"/>
    <w:rsid w:val="486B6EDA"/>
    <w:rsid w:val="486C1D5E"/>
    <w:rsid w:val="486C55E1"/>
    <w:rsid w:val="486D028E"/>
    <w:rsid w:val="486D77DF"/>
    <w:rsid w:val="486E0AE4"/>
    <w:rsid w:val="486F2CE2"/>
    <w:rsid w:val="4870272E"/>
    <w:rsid w:val="48703FE7"/>
    <w:rsid w:val="487061E5"/>
    <w:rsid w:val="487209AE"/>
    <w:rsid w:val="487274EA"/>
    <w:rsid w:val="487344BE"/>
    <w:rsid w:val="48734F6C"/>
    <w:rsid w:val="4873716A"/>
    <w:rsid w:val="48741AB6"/>
    <w:rsid w:val="48744BEB"/>
    <w:rsid w:val="48745BFB"/>
    <w:rsid w:val="487600EF"/>
    <w:rsid w:val="48773972"/>
    <w:rsid w:val="48775B70"/>
    <w:rsid w:val="48777D12"/>
    <w:rsid w:val="487806ED"/>
    <w:rsid w:val="487835F2"/>
    <w:rsid w:val="487948F7"/>
    <w:rsid w:val="487B2804"/>
    <w:rsid w:val="487C1FF8"/>
    <w:rsid w:val="487C587B"/>
    <w:rsid w:val="487D7A79"/>
    <w:rsid w:val="487E0D7E"/>
    <w:rsid w:val="487F2F7D"/>
    <w:rsid w:val="487F6800"/>
    <w:rsid w:val="488009FE"/>
    <w:rsid w:val="48805E95"/>
    <w:rsid w:val="4881611D"/>
    <w:rsid w:val="48816480"/>
    <w:rsid w:val="488169A9"/>
    <w:rsid w:val="48816A33"/>
    <w:rsid w:val="48820171"/>
    <w:rsid w:val="48825005"/>
    <w:rsid w:val="48827784"/>
    <w:rsid w:val="488345C4"/>
    <w:rsid w:val="48835206"/>
    <w:rsid w:val="48847404"/>
    <w:rsid w:val="488520C4"/>
    <w:rsid w:val="48862907"/>
    <w:rsid w:val="48870389"/>
    <w:rsid w:val="48873C0C"/>
    <w:rsid w:val="4888168E"/>
    <w:rsid w:val="488841DB"/>
    <w:rsid w:val="4889710F"/>
    <w:rsid w:val="488B2612"/>
    <w:rsid w:val="488B4811"/>
    <w:rsid w:val="488C0094"/>
    <w:rsid w:val="488C2292"/>
    <w:rsid w:val="488C6E91"/>
    <w:rsid w:val="488D7A30"/>
    <w:rsid w:val="488E3597"/>
    <w:rsid w:val="488E5795"/>
    <w:rsid w:val="488F0FD1"/>
    <w:rsid w:val="488F1019"/>
    <w:rsid w:val="488F1B48"/>
    <w:rsid w:val="4890006E"/>
    <w:rsid w:val="489003DA"/>
    <w:rsid w:val="4890058F"/>
    <w:rsid w:val="48900C98"/>
    <w:rsid w:val="4890451C"/>
    <w:rsid w:val="48906A9A"/>
    <w:rsid w:val="48911033"/>
    <w:rsid w:val="4891671A"/>
    <w:rsid w:val="48916DA1"/>
    <w:rsid w:val="4892419C"/>
    <w:rsid w:val="48927A1F"/>
    <w:rsid w:val="48934639"/>
    <w:rsid w:val="489354A0"/>
    <w:rsid w:val="489451D8"/>
    <w:rsid w:val="4894769F"/>
    <w:rsid w:val="48955120"/>
    <w:rsid w:val="48955BB2"/>
    <w:rsid w:val="48962BA2"/>
    <w:rsid w:val="48966425"/>
    <w:rsid w:val="48973EA7"/>
    <w:rsid w:val="489973AA"/>
    <w:rsid w:val="489B28AD"/>
    <w:rsid w:val="489C351F"/>
    <w:rsid w:val="489D5DB0"/>
    <w:rsid w:val="489E012A"/>
    <w:rsid w:val="489E2A01"/>
    <w:rsid w:val="489E3831"/>
    <w:rsid w:val="489E4A98"/>
    <w:rsid w:val="489F12B3"/>
    <w:rsid w:val="48A0157E"/>
    <w:rsid w:val="48A06D34"/>
    <w:rsid w:val="48A147B6"/>
    <w:rsid w:val="48A30128"/>
    <w:rsid w:val="48A37CB9"/>
    <w:rsid w:val="48A4573B"/>
    <w:rsid w:val="48A531BC"/>
    <w:rsid w:val="48A60C3E"/>
    <w:rsid w:val="48A766BF"/>
    <w:rsid w:val="48A835F4"/>
    <w:rsid w:val="48A837B8"/>
    <w:rsid w:val="48A84141"/>
    <w:rsid w:val="48A97644"/>
    <w:rsid w:val="48AC05C9"/>
    <w:rsid w:val="48AD446D"/>
    <w:rsid w:val="48AD4952"/>
    <w:rsid w:val="48AD5029"/>
    <w:rsid w:val="48AD604A"/>
    <w:rsid w:val="48AE321A"/>
    <w:rsid w:val="48AE39F0"/>
    <w:rsid w:val="48AF3319"/>
    <w:rsid w:val="48AF6C7E"/>
    <w:rsid w:val="48B02852"/>
    <w:rsid w:val="48B06FCF"/>
    <w:rsid w:val="48B102D4"/>
    <w:rsid w:val="48B14A50"/>
    <w:rsid w:val="48B337D7"/>
    <w:rsid w:val="48B37F53"/>
    <w:rsid w:val="48B41258"/>
    <w:rsid w:val="48B459D5"/>
    <w:rsid w:val="48B60ED8"/>
    <w:rsid w:val="48B65B6A"/>
    <w:rsid w:val="48B721DD"/>
    <w:rsid w:val="48B76708"/>
    <w:rsid w:val="48B843DB"/>
    <w:rsid w:val="48B872A7"/>
    <w:rsid w:val="48B87BF5"/>
    <w:rsid w:val="48B87E46"/>
    <w:rsid w:val="48B91E5D"/>
    <w:rsid w:val="48B956E0"/>
    <w:rsid w:val="48BA065B"/>
    <w:rsid w:val="48BA11FA"/>
    <w:rsid w:val="48BA2880"/>
    <w:rsid w:val="48BA3162"/>
    <w:rsid w:val="48BA78DE"/>
    <w:rsid w:val="48BB0BE3"/>
    <w:rsid w:val="48BB5360"/>
    <w:rsid w:val="48BC72E5"/>
    <w:rsid w:val="48BD0863"/>
    <w:rsid w:val="48BE1B68"/>
    <w:rsid w:val="48BE55D6"/>
    <w:rsid w:val="48BF75E9"/>
    <w:rsid w:val="48C017E8"/>
    <w:rsid w:val="48C14CEB"/>
    <w:rsid w:val="48C17269"/>
    <w:rsid w:val="48C2056E"/>
    <w:rsid w:val="48C301EE"/>
    <w:rsid w:val="48C536F1"/>
    <w:rsid w:val="48C61172"/>
    <w:rsid w:val="48C66F74"/>
    <w:rsid w:val="48C72D96"/>
    <w:rsid w:val="48C749F6"/>
    <w:rsid w:val="48C76BF4"/>
    <w:rsid w:val="48C82A81"/>
    <w:rsid w:val="48C9414A"/>
    <w:rsid w:val="48C9430F"/>
    <w:rsid w:val="48CA4CE9"/>
    <w:rsid w:val="48CA4EAD"/>
    <w:rsid w:val="48CA7928"/>
    <w:rsid w:val="48CB063F"/>
    <w:rsid w:val="48CB0E7D"/>
    <w:rsid w:val="48CB5887"/>
    <w:rsid w:val="48CC307C"/>
    <w:rsid w:val="48CC6262"/>
    <w:rsid w:val="48CC68FF"/>
    <w:rsid w:val="48CC7DB3"/>
    <w:rsid w:val="48CD4381"/>
    <w:rsid w:val="48CE657F"/>
    <w:rsid w:val="48D1043A"/>
    <w:rsid w:val="48D17504"/>
    <w:rsid w:val="48D20808"/>
    <w:rsid w:val="48D22491"/>
    <w:rsid w:val="48D24F85"/>
    <w:rsid w:val="48D31753"/>
    <w:rsid w:val="48D32A07"/>
    <w:rsid w:val="48D3628A"/>
    <w:rsid w:val="48D40488"/>
    <w:rsid w:val="48D43A0A"/>
    <w:rsid w:val="48D43BCE"/>
    <w:rsid w:val="48D5178D"/>
    <w:rsid w:val="48D55147"/>
    <w:rsid w:val="48D7140D"/>
    <w:rsid w:val="48D752C3"/>
    <w:rsid w:val="48D84455"/>
    <w:rsid w:val="48D86E8E"/>
    <w:rsid w:val="48D90193"/>
    <w:rsid w:val="48D93187"/>
    <w:rsid w:val="48D93F34"/>
    <w:rsid w:val="48D94910"/>
    <w:rsid w:val="48D97DFD"/>
    <w:rsid w:val="48DA7E13"/>
    <w:rsid w:val="48DE32C9"/>
    <w:rsid w:val="48DE461B"/>
    <w:rsid w:val="48DF209C"/>
    <w:rsid w:val="48DF402C"/>
    <w:rsid w:val="48DF429B"/>
    <w:rsid w:val="48E01D1C"/>
    <w:rsid w:val="48E07B1E"/>
    <w:rsid w:val="48E13021"/>
    <w:rsid w:val="48E155A0"/>
    <w:rsid w:val="48E1779E"/>
    <w:rsid w:val="48E20AA3"/>
    <w:rsid w:val="48E2521F"/>
    <w:rsid w:val="48E25F7F"/>
    <w:rsid w:val="48E36524"/>
    <w:rsid w:val="48E43FA6"/>
    <w:rsid w:val="48E46C3C"/>
    <w:rsid w:val="48E51A27"/>
    <w:rsid w:val="48E561A4"/>
    <w:rsid w:val="48E617D4"/>
    <w:rsid w:val="48E716A7"/>
    <w:rsid w:val="48E72AFF"/>
    <w:rsid w:val="48E74F2A"/>
    <w:rsid w:val="48E763A6"/>
    <w:rsid w:val="48E829AC"/>
    <w:rsid w:val="48E9042E"/>
    <w:rsid w:val="48E938EC"/>
    <w:rsid w:val="48E94BB7"/>
    <w:rsid w:val="48EA262C"/>
    <w:rsid w:val="48EA5EAF"/>
    <w:rsid w:val="48EB00AD"/>
    <w:rsid w:val="48EC13B2"/>
    <w:rsid w:val="48EC5B2F"/>
    <w:rsid w:val="48EE1032"/>
    <w:rsid w:val="48EE48B5"/>
    <w:rsid w:val="48EE4D6E"/>
    <w:rsid w:val="48EF04F5"/>
    <w:rsid w:val="48EF4B8D"/>
    <w:rsid w:val="48EF6AB4"/>
    <w:rsid w:val="48F00ECF"/>
    <w:rsid w:val="48F04535"/>
    <w:rsid w:val="48F11A6E"/>
    <w:rsid w:val="48F11FB7"/>
    <w:rsid w:val="48F1583A"/>
    <w:rsid w:val="48F232BB"/>
    <w:rsid w:val="48F254BA"/>
    <w:rsid w:val="48F30D3D"/>
    <w:rsid w:val="48F467BF"/>
    <w:rsid w:val="48F54240"/>
    <w:rsid w:val="48F5643E"/>
    <w:rsid w:val="48F61CC2"/>
    <w:rsid w:val="48F63EC0"/>
    <w:rsid w:val="48F71942"/>
    <w:rsid w:val="48F75AD9"/>
    <w:rsid w:val="48F77743"/>
    <w:rsid w:val="48F873C3"/>
    <w:rsid w:val="48F92142"/>
    <w:rsid w:val="48F94E45"/>
    <w:rsid w:val="48FA28C6"/>
    <w:rsid w:val="48FA30CC"/>
    <w:rsid w:val="48FC5DC9"/>
    <w:rsid w:val="48FD384B"/>
    <w:rsid w:val="48FD70CE"/>
    <w:rsid w:val="48FE28A6"/>
    <w:rsid w:val="48FF25D1"/>
    <w:rsid w:val="48FF3281"/>
    <w:rsid w:val="49000053"/>
    <w:rsid w:val="490049BE"/>
    <w:rsid w:val="49023556"/>
    <w:rsid w:val="49030FD7"/>
    <w:rsid w:val="49042511"/>
    <w:rsid w:val="49046A59"/>
    <w:rsid w:val="490474B0"/>
    <w:rsid w:val="4905004E"/>
    <w:rsid w:val="49051D27"/>
    <w:rsid w:val="490544DA"/>
    <w:rsid w:val="49061651"/>
    <w:rsid w:val="49061F5C"/>
    <w:rsid w:val="490779DE"/>
    <w:rsid w:val="4908545F"/>
    <w:rsid w:val="490957B5"/>
    <w:rsid w:val="490A38A3"/>
    <w:rsid w:val="490C3E65"/>
    <w:rsid w:val="490D18E7"/>
    <w:rsid w:val="490F7AD2"/>
    <w:rsid w:val="4910286C"/>
    <w:rsid w:val="491102ED"/>
    <w:rsid w:val="4911104B"/>
    <w:rsid w:val="49115D6F"/>
    <w:rsid w:val="49121A25"/>
    <w:rsid w:val="49134D90"/>
    <w:rsid w:val="49142F9E"/>
    <w:rsid w:val="4915390D"/>
    <w:rsid w:val="49164517"/>
    <w:rsid w:val="491856F9"/>
    <w:rsid w:val="491867F3"/>
    <w:rsid w:val="49190F7D"/>
    <w:rsid w:val="491A667D"/>
    <w:rsid w:val="491A7D6C"/>
    <w:rsid w:val="491B090B"/>
    <w:rsid w:val="491B667E"/>
    <w:rsid w:val="491D1B81"/>
    <w:rsid w:val="491D5404"/>
    <w:rsid w:val="491E2E86"/>
    <w:rsid w:val="491E7603"/>
    <w:rsid w:val="491F0908"/>
    <w:rsid w:val="492104D0"/>
    <w:rsid w:val="49210587"/>
    <w:rsid w:val="4922188C"/>
    <w:rsid w:val="49226E97"/>
    <w:rsid w:val="49233A8B"/>
    <w:rsid w:val="49235F35"/>
    <w:rsid w:val="4923730E"/>
    <w:rsid w:val="4924150C"/>
    <w:rsid w:val="49244D8F"/>
    <w:rsid w:val="49246A8D"/>
    <w:rsid w:val="49246C51"/>
    <w:rsid w:val="49252811"/>
    <w:rsid w:val="49256F8E"/>
    <w:rsid w:val="4925762B"/>
    <w:rsid w:val="49271743"/>
    <w:rsid w:val="49275D14"/>
    <w:rsid w:val="49283796"/>
    <w:rsid w:val="49291217"/>
    <w:rsid w:val="49292CBC"/>
    <w:rsid w:val="492A3415"/>
    <w:rsid w:val="492A385B"/>
    <w:rsid w:val="492B471A"/>
    <w:rsid w:val="492B6918"/>
    <w:rsid w:val="492C4DD3"/>
    <w:rsid w:val="492D1E1C"/>
    <w:rsid w:val="492E569F"/>
    <w:rsid w:val="492E6511"/>
    <w:rsid w:val="492F3120"/>
    <w:rsid w:val="492F531F"/>
    <w:rsid w:val="49300BA2"/>
    <w:rsid w:val="49310822"/>
    <w:rsid w:val="49310C32"/>
    <w:rsid w:val="493140A5"/>
    <w:rsid w:val="49321003"/>
    <w:rsid w:val="49321B27"/>
    <w:rsid w:val="493262A3"/>
    <w:rsid w:val="493319DD"/>
    <w:rsid w:val="49333D25"/>
    <w:rsid w:val="49352AAB"/>
    <w:rsid w:val="49357228"/>
    <w:rsid w:val="49364CAA"/>
    <w:rsid w:val="4937506D"/>
    <w:rsid w:val="49375FAE"/>
    <w:rsid w:val="493801AD"/>
    <w:rsid w:val="49383A30"/>
    <w:rsid w:val="49385C0C"/>
    <w:rsid w:val="49385DD0"/>
    <w:rsid w:val="49386069"/>
    <w:rsid w:val="493967AB"/>
    <w:rsid w:val="493A36B0"/>
    <w:rsid w:val="493A6F33"/>
    <w:rsid w:val="493A7349"/>
    <w:rsid w:val="493B49B5"/>
    <w:rsid w:val="493C6BB3"/>
    <w:rsid w:val="493D129C"/>
    <w:rsid w:val="493D1461"/>
    <w:rsid w:val="493E20B6"/>
    <w:rsid w:val="493E5939"/>
    <w:rsid w:val="493F33BB"/>
    <w:rsid w:val="4940325A"/>
    <w:rsid w:val="49403578"/>
    <w:rsid w:val="494055B9"/>
    <w:rsid w:val="4941303B"/>
    <w:rsid w:val="494168BE"/>
    <w:rsid w:val="49420ABC"/>
    <w:rsid w:val="4942433F"/>
    <w:rsid w:val="4942492D"/>
    <w:rsid w:val="494254CB"/>
    <w:rsid w:val="4942653E"/>
    <w:rsid w:val="49431DC1"/>
    <w:rsid w:val="49433FBF"/>
    <w:rsid w:val="49447842"/>
    <w:rsid w:val="494552C4"/>
    <w:rsid w:val="49460182"/>
    <w:rsid w:val="49464F44"/>
    <w:rsid w:val="49480447"/>
    <w:rsid w:val="49493CCA"/>
    <w:rsid w:val="49495EC9"/>
    <w:rsid w:val="494A2E38"/>
    <w:rsid w:val="494A394A"/>
    <w:rsid w:val="494A71CD"/>
    <w:rsid w:val="494B13CC"/>
    <w:rsid w:val="494B4C4F"/>
    <w:rsid w:val="494C26D0"/>
    <w:rsid w:val="494C6E4D"/>
    <w:rsid w:val="494D0152"/>
    <w:rsid w:val="494D48CF"/>
    <w:rsid w:val="494D6EBA"/>
    <w:rsid w:val="494E2350"/>
    <w:rsid w:val="494E3120"/>
    <w:rsid w:val="494E5881"/>
    <w:rsid w:val="494F3655"/>
    <w:rsid w:val="494F7DD2"/>
    <w:rsid w:val="495010D7"/>
    <w:rsid w:val="49505853"/>
    <w:rsid w:val="49516B58"/>
    <w:rsid w:val="4951787D"/>
    <w:rsid w:val="4953205B"/>
    <w:rsid w:val="495367D8"/>
    <w:rsid w:val="49542533"/>
    <w:rsid w:val="4954425A"/>
    <w:rsid w:val="49547ADD"/>
    <w:rsid w:val="49551CDB"/>
    <w:rsid w:val="4955555E"/>
    <w:rsid w:val="49562FE0"/>
    <w:rsid w:val="4956775D"/>
    <w:rsid w:val="49582C60"/>
    <w:rsid w:val="49585025"/>
    <w:rsid w:val="495906E1"/>
    <w:rsid w:val="49595BC3"/>
    <w:rsid w:val="495A19E6"/>
    <w:rsid w:val="495B1666"/>
    <w:rsid w:val="495C0214"/>
    <w:rsid w:val="495C03CA"/>
    <w:rsid w:val="495C70E7"/>
    <w:rsid w:val="495D4B69"/>
    <w:rsid w:val="495E03EC"/>
    <w:rsid w:val="495F006C"/>
    <w:rsid w:val="495F2991"/>
    <w:rsid w:val="495F5E6E"/>
    <w:rsid w:val="49603530"/>
    <w:rsid w:val="496038EF"/>
    <w:rsid w:val="496140CE"/>
    <w:rsid w:val="49624874"/>
    <w:rsid w:val="496248E4"/>
    <w:rsid w:val="49624AA9"/>
    <w:rsid w:val="496322F6"/>
    <w:rsid w:val="49636A72"/>
    <w:rsid w:val="49647D77"/>
    <w:rsid w:val="49670CFC"/>
    <w:rsid w:val="49680B13"/>
    <w:rsid w:val="49680CD8"/>
    <w:rsid w:val="496A1C80"/>
    <w:rsid w:val="496A2F12"/>
    <w:rsid w:val="496A30C8"/>
    <w:rsid w:val="496B7702"/>
    <w:rsid w:val="496C1724"/>
    <w:rsid w:val="496C4368"/>
    <w:rsid w:val="496C5184"/>
    <w:rsid w:val="496E0687"/>
    <w:rsid w:val="496F6108"/>
    <w:rsid w:val="496F6480"/>
    <w:rsid w:val="49703B8A"/>
    <w:rsid w:val="4972708D"/>
    <w:rsid w:val="49731136"/>
    <w:rsid w:val="49742590"/>
    <w:rsid w:val="49750012"/>
    <w:rsid w:val="497524EA"/>
    <w:rsid w:val="49763089"/>
    <w:rsid w:val="49765A93"/>
    <w:rsid w:val="49773515"/>
    <w:rsid w:val="49773A63"/>
    <w:rsid w:val="49773C28"/>
    <w:rsid w:val="49780F96"/>
    <w:rsid w:val="49784602"/>
    <w:rsid w:val="49796A18"/>
    <w:rsid w:val="497A4499"/>
    <w:rsid w:val="497A74C6"/>
    <w:rsid w:val="497C7C92"/>
    <w:rsid w:val="497D09F5"/>
    <w:rsid w:val="497D2E9F"/>
    <w:rsid w:val="497E0921"/>
    <w:rsid w:val="497F63A3"/>
    <w:rsid w:val="497F6965"/>
    <w:rsid w:val="49802948"/>
    <w:rsid w:val="498118A6"/>
    <w:rsid w:val="49827327"/>
    <w:rsid w:val="4983062C"/>
    <w:rsid w:val="49834A60"/>
    <w:rsid w:val="4984543A"/>
    <w:rsid w:val="498460AE"/>
    <w:rsid w:val="498502AC"/>
    <w:rsid w:val="4985619D"/>
    <w:rsid w:val="498615B1"/>
    <w:rsid w:val="49865D2D"/>
    <w:rsid w:val="49867716"/>
    <w:rsid w:val="498737AF"/>
    <w:rsid w:val="49877032"/>
    <w:rsid w:val="49877552"/>
    <w:rsid w:val="49877B61"/>
    <w:rsid w:val="49892535"/>
    <w:rsid w:val="49895C9C"/>
    <w:rsid w:val="49896CB2"/>
    <w:rsid w:val="498A4734"/>
    <w:rsid w:val="498C34BA"/>
    <w:rsid w:val="498C3781"/>
    <w:rsid w:val="498C3945"/>
    <w:rsid w:val="498C7C37"/>
    <w:rsid w:val="498D0F3C"/>
    <w:rsid w:val="498D56B8"/>
    <w:rsid w:val="498E313A"/>
    <w:rsid w:val="498E69BD"/>
    <w:rsid w:val="49901EC0"/>
    <w:rsid w:val="49906437"/>
    <w:rsid w:val="4990663D"/>
    <w:rsid w:val="499140BE"/>
    <w:rsid w:val="49916FD6"/>
    <w:rsid w:val="49921B40"/>
    <w:rsid w:val="499253C3"/>
    <w:rsid w:val="49927B74"/>
    <w:rsid w:val="49935043"/>
    <w:rsid w:val="499408C6"/>
    <w:rsid w:val="49940F29"/>
    <w:rsid w:val="499410ED"/>
    <w:rsid w:val="49950546"/>
    <w:rsid w:val="49951AC7"/>
    <w:rsid w:val="49952666"/>
    <w:rsid w:val="49952BCA"/>
    <w:rsid w:val="49956348"/>
    <w:rsid w:val="49961C68"/>
    <w:rsid w:val="499624A2"/>
    <w:rsid w:val="49965FC8"/>
    <w:rsid w:val="49971070"/>
    <w:rsid w:val="49971226"/>
    <w:rsid w:val="4997184B"/>
    <w:rsid w:val="49973A49"/>
    <w:rsid w:val="499814CB"/>
    <w:rsid w:val="4998477E"/>
    <w:rsid w:val="49994D4E"/>
    <w:rsid w:val="49996F4C"/>
    <w:rsid w:val="499A0251"/>
    <w:rsid w:val="499A27D0"/>
    <w:rsid w:val="499A3855"/>
    <w:rsid w:val="499B244F"/>
    <w:rsid w:val="499C726F"/>
    <w:rsid w:val="499C7434"/>
    <w:rsid w:val="499C7ED1"/>
    <w:rsid w:val="499D11D6"/>
    <w:rsid w:val="499E33D4"/>
    <w:rsid w:val="499F0E56"/>
    <w:rsid w:val="49A0215B"/>
    <w:rsid w:val="49A14359"/>
    <w:rsid w:val="49A21DDA"/>
    <w:rsid w:val="49A3785C"/>
    <w:rsid w:val="49A452DD"/>
    <w:rsid w:val="49A52D5F"/>
    <w:rsid w:val="49A53BB9"/>
    <w:rsid w:val="49A565E2"/>
    <w:rsid w:val="49A607E1"/>
    <w:rsid w:val="49A64064"/>
    <w:rsid w:val="49A66B2F"/>
    <w:rsid w:val="49A91765"/>
    <w:rsid w:val="49A94FE8"/>
    <w:rsid w:val="49AA2A6A"/>
    <w:rsid w:val="49AB04EC"/>
    <w:rsid w:val="49AB26EA"/>
    <w:rsid w:val="49AC016B"/>
    <w:rsid w:val="49AC5F6D"/>
    <w:rsid w:val="49AD39EF"/>
    <w:rsid w:val="49AD5BED"/>
    <w:rsid w:val="49AE1470"/>
    <w:rsid w:val="49AE366E"/>
    <w:rsid w:val="49AE449B"/>
    <w:rsid w:val="49AF6EF2"/>
    <w:rsid w:val="49B04973"/>
    <w:rsid w:val="49B145F3"/>
    <w:rsid w:val="49B16394"/>
    <w:rsid w:val="49B22075"/>
    <w:rsid w:val="49B274AE"/>
    <w:rsid w:val="49B27819"/>
    <w:rsid w:val="49B358F8"/>
    <w:rsid w:val="49B40DFB"/>
    <w:rsid w:val="49B40EE0"/>
    <w:rsid w:val="49B45578"/>
    <w:rsid w:val="49B764FC"/>
    <w:rsid w:val="49B83B96"/>
    <w:rsid w:val="49B83F7E"/>
    <w:rsid w:val="49B95283"/>
    <w:rsid w:val="49BA2D04"/>
    <w:rsid w:val="49BA52D4"/>
    <w:rsid w:val="49BB0786"/>
    <w:rsid w:val="49BC1AC3"/>
    <w:rsid w:val="49BC2984"/>
    <w:rsid w:val="49BD0406"/>
    <w:rsid w:val="49BD7227"/>
    <w:rsid w:val="49BE5E87"/>
    <w:rsid w:val="49BF133E"/>
    <w:rsid w:val="49BF1503"/>
    <w:rsid w:val="49BF718C"/>
    <w:rsid w:val="49C0138A"/>
    <w:rsid w:val="49C1268F"/>
    <w:rsid w:val="49C128B7"/>
    <w:rsid w:val="49C12A7C"/>
    <w:rsid w:val="49C16E0C"/>
    <w:rsid w:val="49C20111"/>
    <w:rsid w:val="49C20652"/>
    <w:rsid w:val="49C20D29"/>
    <w:rsid w:val="49C23456"/>
    <w:rsid w:val="49C2361A"/>
    <w:rsid w:val="49C37D91"/>
    <w:rsid w:val="49C51095"/>
    <w:rsid w:val="49C5556E"/>
    <w:rsid w:val="49C60D15"/>
    <w:rsid w:val="49C763A9"/>
    <w:rsid w:val="49C76797"/>
    <w:rsid w:val="49C84218"/>
    <w:rsid w:val="49C91C9A"/>
    <w:rsid w:val="49C97A9C"/>
    <w:rsid w:val="49CA3A8D"/>
    <w:rsid w:val="49CA551D"/>
    <w:rsid w:val="49CB179D"/>
    <w:rsid w:val="49CB2F9F"/>
    <w:rsid w:val="49CC64A2"/>
    <w:rsid w:val="49CD38B4"/>
    <w:rsid w:val="49CD3F23"/>
    <w:rsid w:val="49CE1FA6"/>
    <w:rsid w:val="49CF40FD"/>
    <w:rsid w:val="49D04EA8"/>
    <w:rsid w:val="49D1292A"/>
    <w:rsid w:val="49D203AB"/>
    <w:rsid w:val="49D219AC"/>
    <w:rsid w:val="49D438AE"/>
    <w:rsid w:val="49D51330"/>
    <w:rsid w:val="49D66DB1"/>
    <w:rsid w:val="49D72799"/>
    <w:rsid w:val="49D822B4"/>
    <w:rsid w:val="49D946ED"/>
    <w:rsid w:val="49DA50C7"/>
    <w:rsid w:val="49DB3239"/>
    <w:rsid w:val="49DC0CBB"/>
    <w:rsid w:val="49DC6804"/>
    <w:rsid w:val="49DC7715"/>
    <w:rsid w:val="49DE41BE"/>
    <w:rsid w:val="49DE7D7D"/>
    <w:rsid w:val="49E04860"/>
    <w:rsid w:val="49E22BC4"/>
    <w:rsid w:val="49E265FA"/>
    <w:rsid w:val="49E3775A"/>
    <w:rsid w:val="49E4194A"/>
    <w:rsid w:val="49E43FAC"/>
    <w:rsid w:val="49E515CA"/>
    <w:rsid w:val="49E54B4B"/>
    <w:rsid w:val="49E64E4D"/>
    <w:rsid w:val="49E74ACD"/>
    <w:rsid w:val="49E95DD2"/>
    <w:rsid w:val="49EA5A52"/>
    <w:rsid w:val="49EB2377"/>
    <w:rsid w:val="49EB34D3"/>
    <w:rsid w:val="49EB6D57"/>
    <w:rsid w:val="49EF1EDA"/>
    <w:rsid w:val="49EF440A"/>
    <w:rsid w:val="49EF575D"/>
    <w:rsid w:val="49F031DE"/>
    <w:rsid w:val="49F0795B"/>
    <w:rsid w:val="49F10C60"/>
    <w:rsid w:val="49F153DD"/>
    <w:rsid w:val="49F15983"/>
    <w:rsid w:val="49F266E1"/>
    <w:rsid w:val="49F308E0"/>
    <w:rsid w:val="49F34163"/>
    <w:rsid w:val="49F370C0"/>
    <w:rsid w:val="49F40639"/>
    <w:rsid w:val="49F42EAF"/>
    <w:rsid w:val="49F6164F"/>
    <w:rsid w:val="49F619EE"/>
    <w:rsid w:val="49F72B69"/>
    <w:rsid w:val="49F737FD"/>
    <w:rsid w:val="49F772E6"/>
    <w:rsid w:val="49F805EB"/>
    <w:rsid w:val="49F84D68"/>
    <w:rsid w:val="49F9606C"/>
    <w:rsid w:val="49FA026B"/>
    <w:rsid w:val="49FA3AEE"/>
    <w:rsid w:val="49FA58EA"/>
    <w:rsid w:val="49FB277C"/>
    <w:rsid w:val="49FB376E"/>
    <w:rsid w:val="49FD0DD8"/>
    <w:rsid w:val="49FD6980"/>
    <w:rsid w:val="49FD6C71"/>
    <w:rsid w:val="49FE24F4"/>
    <w:rsid w:val="49FE46F2"/>
    <w:rsid w:val="49FF7EF9"/>
    <w:rsid w:val="49FF7F76"/>
    <w:rsid w:val="4A020EFA"/>
    <w:rsid w:val="4A021E4C"/>
    <w:rsid w:val="4A023139"/>
    <w:rsid w:val="4A030B7A"/>
    <w:rsid w:val="4A033589"/>
    <w:rsid w:val="4A0343FD"/>
    <w:rsid w:val="4A041E7F"/>
    <w:rsid w:val="4A05407D"/>
    <w:rsid w:val="4A0654DC"/>
    <w:rsid w:val="4A0656A1"/>
    <w:rsid w:val="4A072E04"/>
    <w:rsid w:val="4A077580"/>
    <w:rsid w:val="4A092A83"/>
    <w:rsid w:val="4A09547A"/>
    <w:rsid w:val="4A096307"/>
    <w:rsid w:val="4A0A0505"/>
    <w:rsid w:val="4A0A4518"/>
    <w:rsid w:val="4A0A4883"/>
    <w:rsid w:val="4A0B35B5"/>
    <w:rsid w:val="4A0C728B"/>
    <w:rsid w:val="4A0D148A"/>
    <w:rsid w:val="4A0E278E"/>
    <w:rsid w:val="4A0E6F0B"/>
    <w:rsid w:val="4A0F498D"/>
    <w:rsid w:val="4A113713"/>
    <w:rsid w:val="4A114D9C"/>
    <w:rsid w:val="4A11593B"/>
    <w:rsid w:val="4A115AFF"/>
    <w:rsid w:val="4A126315"/>
    <w:rsid w:val="4A133393"/>
    <w:rsid w:val="4A136C16"/>
    <w:rsid w:val="4A137078"/>
    <w:rsid w:val="4A1505F1"/>
    <w:rsid w:val="4A154318"/>
    <w:rsid w:val="4A161D99"/>
    <w:rsid w:val="4A171B6A"/>
    <w:rsid w:val="4A17561C"/>
    <w:rsid w:val="4A17781B"/>
    <w:rsid w:val="4A18309E"/>
    <w:rsid w:val="4A18529C"/>
    <w:rsid w:val="4A192D1E"/>
    <w:rsid w:val="4A1932A7"/>
    <w:rsid w:val="4A196B3F"/>
    <w:rsid w:val="4A1A079F"/>
    <w:rsid w:val="4A1A5506"/>
    <w:rsid w:val="4A1B1AA4"/>
    <w:rsid w:val="4A1B4023"/>
    <w:rsid w:val="4A1C7526"/>
    <w:rsid w:val="4A1D1724"/>
    <w:rsid w:val="4A1E71A6"/>
    <w:rsid w:val="4A1E7F2C"/>
    <w:rsid w:val="4A1F4C27"/>
    <w:rsid w:val="4A21012A"/>
    <w:rsid w:val="4A23524D"/>
    <w:rsid w:val="4A2472E5"/>
    <w:rsid w:val="4A2523B4"/>
    <w:rsid w:val="4A256B30"/>
    <w:rsid w:val="4A2645B2"/>
    <w:rsid w:val="4A27183D"/>
    <w:rsid w:val="4A272033"/>
    <w:rsid w:val="4A2758B7"/>
    <w:rsid w:val="4A2808DB"/>
    <w:rsid w:val="4A280DFB"/>
    <w:rsid w:val="4A281B41"/>
    <w:rsid w:val="4A283338"/>
    <w:rsid w:val="4A296EB6"/>
    <w:rsid w:val="4A2A2FB8"/>
    <w:rsid w:val="4A2A683B"/>
    <w:rsid w:val="4A2B014A"/>
    <w:rsid w:val="4A2B0A3A"/>
    <w:rsid w:val="4A2B42BD"/>
    <w:rsid w:val="4A2C0CE9"/>
    <w:rsid w:val="4A2C64BB"/>
    <w:rsid w:val="4A2D16C3"/>
    <w:rsid w:val="4A2D19BE"/>
    <w:rsid w:val="4A2D2262"/>
    <w:rsid w:val="4A2D2426"/>
    <w:rsid w:val="4A2D77C0"/>
    <w:rsid w:val="4A2E5242"/>
    <w:rsid w:val="4A2E78EE"/>
    <w:rsid w:val="4A2F2CC3"/>
    <w:rsid w:val="4A323C48"/>
    <w:rsid w:val="4A325AB6"/>
    <w:rsid w:val="4A334F2D"/>
    <w:rsid w:val="4A35264E"/>
    <w:rsid w:val="4A3600D0"/>
    <w:rsid w:val="4A363CAF"/>
    <w:rsid w:val="4A370F82"/>
    <w:rsid w:val="4A371147"/>
    <w:rsid w:val="4A375B51"/>
    <w:rsid w:val="4A381B21"/>
    <w:rsid w:val="4A3835D3"/>
    <w:rsid w:val="4A3A309A"/>
    <w:rsid w:val="4A3A3DFD"/>
    <w:rsid w:val="4A3A6AD6"/>
    <w:rsid w:val="4A3B4557"/>
    <w:rsid w:val="4A3B4613"/>
    <w:rsid w:val="4A3C1FD9"/>
    <w:rsid w:val="4A3D7A5A"/>
    <w:rsid w:val="4A3E54DC"/>
    <w:rsid w:val="4A3E68EF"/>
    <w:rsid w:val="4A3F6631"/>
    <w:rsid w:val="4A3F748D"/>
    <w:rsid w:val="4A410842"/>
    <w:rsid w:val="4A423EE2"/>
    <w:rsid w:val="4A431964"/>
    <w:rsid w:val="4A442959"/>
    <w:rsid w:val="4A4473E5"/>
    <w:rsid w:val="4A454E67"/>
    <w:rsid w:val="4A45552A"/>
    <w:rsid w:val="4A4623A7"/>
    <w:rsid w:val="4A4628E8"/>
    <w:rsid w:val="4A473DD5"/>
    <w:rsid w:val="4A474A71"/>
    <w:rsid w:val="4A49386D"/>
    <w:rsid w:val="4A4970F0"/>
    <w:rsid w:val="4A4A4B72"/>
    <w:rsid w:val="4A4B25F3"/>
    <w:rsid w:val="4A4B6D70"/>
    <w:rsid w:val="4A4C2273"/>
    <w:rsid w:val="4A4C47F2"/>
    <w:rsid w:val="4A4E3578"/>
    <w:rsid w:val="4A4F0FFA"/>
    <w:rsid w:val="4A4F31F8"/>
    <w:rsid w:val="4A503792"/>
    <w:rsid w:val="4A503956"/>
    <w:rsid w:val="4A506A7B"/>
    <w:rsid w:val="4A5144FD"/>
    <w:rsid w:val="4A5166FB"/>
    <w:rsid w:val="4A5222DF"/>
    <w:rsid w:val="4A52417C"/>
    <w:rsid w:val="4A530227"/>
    <w:rsid w:val="4A535A6E"/>
    <w:rsid w:val="4A537A00"/>
    <w:rsid w:val="4A537B51"/>
    <w:rsid w:val="4A542F03"/>
    <w:rsid w:val="4A545481"/>
    <w:rsid w:val="4A547680"/>
    <w:rsid w:val="4A550984"/>
    <w:rsid w:val="4A555101"/>
    <w:rsid w:val="4A566406"/>
    <w:rsid w:val="4A5679C1"/>
    <w:rsid w:val="4A570604"/>
    <w:rsid w:val="4A573E87"/>
    <w:rsid w:val="4A581AD8"/>
    <w:rsid w:val="4A586086"/>
    <w:rsid w:val="4A593B07"/>
    <w:rsid w:val="4A59738B"/>
    <w:rsid w:val="4A5A1589"/>
    <w:rsid w:val="4A5A4E0C"/>
    <w:rsid w:val="4A5C030F"/>
    <w:rsid w:val="4A5D250E"/>
    <w:rsid w:val="4A5D5169"/>
    <w:rsid w:val="4A5D5D91"/>
    <w:rsid w:val="4A5E5ECC"/>
    <w:rsid w:val="4A5E7F8F"/>
    <w:rsid w:val="4A5F1294"/>
    <w:rsid w:val="4A5F5A11"/>
    <w:rsid w:val="4A606D15"/>
    <w:rsid w:val="4A617E1F"/>
    <w:rsid w:val="4A6209BE"/>
    <w:rsid w:val="4A62155C"/>
    <w:rsid w:val="4A631216"/>
    <w:rsid w:val="4A634417"/>
    <w:rsid w:val="4A641E98"/>
    <w:rsid w:val="4A66404E"/>
    <w:rsid w:val="4A6766A0"/>
    <w:rsid w:val="4A684122"/>
    <w:rsid w:val="4A693DA2"/>
    <w:rsid w:val="4A696166"/>
    <w:rsid w:val="4A6A1823"/>
    <w:rsid w:val="4A6A6B40"/>
    <w:rsid w:val="4A6B72A5"/>
    <w:rsid w:val="4A6C00B9"/>
    <w:rsid w:val="4A6C2B28"/>
    <w:rsid w:val="4A6C4D26"/>
    <w:rsid w:val="4A6D0C58"/>
    <w:rsid w:val="4A6D27A8"/>
    <w:rsid w:val="4A6D602B"/>
    <w:rsid w:val="4A6F152E"/>
    <w:rsid w:val="4A6F21D0"/>
    <w:rsid w:val="4A70372C"/>
    <w:rsid w:val="4A704956"/>
    <w:rsid w:val="4A706FB0"/>
    <w:rsid w:val="4A7111AE"/>
    <w:rsid w:val="4A7139F3"/>
    <w:rsid w:val="4A7142E8"/>
    <w:rsid w:val="4A7144AC"/>
    <w:rsid w:val="4A714A31"/>
    <w:rsid w:val="4A7162AD"/>
    <w:rsid w:val="4A7224B3"/>
    <w:rsid w:val="4A724E87"/>
    <w:rsid w:val="4A72504B"/>
    <w:rsid w:val="4A7346B1"/>
    <w:rsid w:val="4A735A25"/>
    <w:rsid w:val="4A737F34"/>
    <w:rsid w:val="4A7459B6"/>
    <w:rsid w:val="4A760EB9"/>
    <w:rsid w:val="4A791E3E"/>
    <w:rsid w:val="4A7965BA"/>
    <w:rsid w:val="4A7A262F"/>
    <w:rsid w:val="4A7A27F3"/>
    <w:rsid w:val="4A7A403C"/>
    <w:rsid w:val="4A7B1ABE"/>
    <w:rsid w:val="4A7B31CD"/>
    <w:rsid w:val="4A7B5341"/>
    <w:rsid w:val="4A7B576F"/>
    <w:rsid w:val="4A7C2DC2"/>
    <w:rsid w:val="4A7C4FC1"/>
    <w:rsid w:val="4A7C753F"/>
    <w:rsid w:val="4A7D490B"/>
    <w:rsid w:val="4A7F3D47"/>
    <w:rsid w:val="4A7F5F45"/>
    <w:rsid w:val="4A80578F"/>
    <w:rsid w:val="4A81724A"/>
    <w:rsid w:val="4A824CCC"/>
    <w:rsid w:val="4A826ECA"/>
    <w:rsid w:val="4A83494B"/>
    <w:rsid w:val="4A8423CD"/>
    <w:rsid w:val="4A8602B5"/>
    <w:rsid w:val="4A861153"/>
    <w:rsid w:val="4A8658D0"/>
    <w:rsid w:val="4A86619B"/>
    <w:rsid w:val="4A884BA4"/>
    <w:rsid w:val="4A8920D8"/>
    <w:rsid w:val="4A8A7B5A"/>
    <w:rsid w:val="4A8B6CBC"/>
    <w:rsid w:val="4A8D0DD3"/>
    <w:rsid w:val="4A8D1239"/>
    <w:rsid w:val="4A8E0B63"/>
    <w:rsid w:val="4A8E2CDD"/>
    <w:rsid w:val="4A8E6560"/>
    <w:rsid w:val="4A8F075E"/>
    <w:rsid w:val="4A8F3FE1"/>
    <w:rsid w:val="4A901A63"/>
    <w:rsid w:val="4A9061E0"/>
    <w:rsid w:val="4A906C2F"/>
    <w:rsid w:val="4A9138C5"/>
    <w:rsid w:val="4A913C61"/>
    <w:rsid w:val="4A9329E8"/>
    <w:rsid w:val="4A934E3E"/>
    <w:rsid w:val="4A945CD2"/>
    <w:rsid w:val="4A955EEB"/>
    <w:rsid w:val="4A9563B7"/>
    <w:rsid w:val="4A95657B"/>
    <w:rsid w:val="4A966F56"/>
    <w:rsid w:val="4A966FEB"/>
    <w:rsid w:val="4A977AF4"/>
    <w:rsid w:val="4A9804CE"/>
    <w:rsid w:val="4A986E6F"/>
    <w:rsid w:val="4A99106D"/>
    <w:rsid w:val="4A9A1C0C"/>
    <w:rsid w:val="4A9A2372"/>
    <w:rsid w:val="4A9B3185"/>
    <w:rsid w:val="4A9B4458"/>
    <w:rsid w:val="4A9B7DF4"/>
    <w:rsid w:val="4A9C318A"/>
    <w:rsid w:val="4A9C5875"/>
    <w:rsid w:val="4A9D0D79"/>
    <w:rsid w:val="4A9D28FF"/>
    <w:rsid w:val="4A9F5C76"/>
    <w:rsid w:val="4AA069DA"/>
    <w:rsid w:val="4AA1777F"/>
    <w:rsid w:val="4AA25200"/>
    <w:rsid w:val="4AA27D8E"/>
    <w:rsid w:val="4AA32C82"/>
    <w:rsid w:val="4AA62A44"/>
    <w:rsid w:val="4AA62C09"/>
    <w:rsid w:val="4AA71688"/>
    <w:rsid w:val="4AA8710A"/>
    <w:rsid w:val="4AA94B8B"/>
    <w:rsid w:val="4AA956FA"/>
    <w:rsid w:val="4AAB008E"/>
    <w:rsid w:val="4AAB5447"/>
    <w:rsid w:val="4AAB6C73"/>
    <w:rsid w:val="4AAF2318"/>
    <w:rsid w:val="4AAF6A94"/>
    <w:rsid w:val="4AB07D99"/>
    <w:rsid w:val="4AB11F98"/>
    <w:rsid w:val="4AB2329C"/>
    <w:rsid w:val="4AB27A19"/>
    <w:rsid w:val="4AB30D1E"/>
    <w:rsid w:val="4AB3441B"/>
    <w:rsid w:val="4AB44DF5"/>
    <w:rsid w:val="4AB5099E"/>
    <w:rsid w:val="4AB51CB7"/>
    <w:rsid w:val="4AB61CA3"/>
    <w:rsid w:val="4AB63EA1"/>
    <w:rsid w:val="4AB77AAC"/>
    <w:rsid w:val="4AB8064A"/>
    <w:rsid w:val="4AB80D3C"/>
    <w:rsid w:val="4AB873A4"/>
    <w:rsid w:val="4AB92C27"/>
    <w:rsid w:val="4AB94E26"/>
    <w:rsid w:val="4ABA28A7"/>
    <w:rsid w:val="4ABB0329"/>
    <w:rsid w:val="4ABB612A"/>
    <w:rsid w:val="4ABC5DAA"/>
    <w:rsid w:val="4ABD162D"/>
    <w:rsid w:val="4ABD70AF"/>
    <w:rsid w:val="4ABF34BD"/>
    <w:rsid w:val="4ABF6D2F"/>
    <w:rsid w:val="4AC00034"/>
    <w:rsid w:val="4AC047B0"/>
    <w:rsid w:val="4AC12232"/>
    <w:rsid w:val="4AC15AB5"/>
    <w:rsid w:val="4AC16991"/>
    <w:rsid w:val="4AC46A3A"/>
    <w:rsid w:val="4AC5484B"/>
    <w:rsid w:val="4AC61F3D"/>
    <w:rsid w:val="4AC72AD7"/>
    <w:rsid w:val="4AC779BE"/>
    <w:rsid w:val="4AC819BF"/>
    <w:rsid w:val="4AC81BBD"/>
    <w:rsid w:val="4AC9763E"/>
    <w:rsid w:val="4ACA50C0"/>
    <w:rsid w:val="4ACB63C5"/>
    <w:rsid w:val="4ACD18C8"/>
    <w:rsid w:val="4ACD3AC6"/>
    <w:rsid w:val="4ACD6045"/>
    <w:rsid w:val="4ACF0F07"/>
    <w:rsid w:val="4ACF6FC9"/>
    <w:rsid w:val="4AD0171C"/>
    <w:rsid w:val="4AD11442"/>
    <w:rsid w:val="4AD1147E"/>
    <w:rsid w:val="4AD122BB"/>
    <w:rsid w:val="4AD125BD"/>
    <w:rsid w:val="4AD12E5A"/>
    <w:rsid w:val="4AD14476"/>
    <w:rsid w:val="4AD25D50"/>
    <w:rsid w:val="4AD343D3"/>
    <w:rsid w:val="4AD359CF"/>
    <w:rsid w:val="4AD50ED2"/>
    <w:rsid w:val="4AD54756"/>
    <w:rsid w:val="4AD55620"/>
    <w:rsid w:val="4AD55B10"/>
    <w:rsid w:val="4AD621D7"/>
    <w:rsid w:val="4AD73FE7"/>
    <w:rsid w:val="4AD743D6"/>
    <w:rsid w:val="4AD77089"/>
    <w:rsid w:val="4AD81E57"/>
    <w:rsid w:val="4AD856DA"/>
    <w:rsid w:val="4AD9315C"/>
    <w:rsid w:val="4ADA0BDD"/>
    <w:rsid w:val="4ADA535A"/>
    <w:rsid w:val="4ADB1B7B"/>
    <w:rsid w:val="4ADC085D"/>
    <w:rsid w:val="4ADC40E1"/>
    <w:rsid w:val="4ADD1B62"/>
    <w:rsid w:val="4ADD62DF"/>
    <w:rsid w:val="4ADE3C92"/>
    <w:rsid w:val="4ADE75E4"/>
    <w:rsid w:val="4ADF17E2"/>
    <w:rsid w:val="4ADF5065"/>
    <w:rsid w:val="4AE14CE5"/>
    <w:rsid w:val="4AE16948"/>
    <w:rsid w:val="4AE22767"/>
    <w:rsid w:val="4AE25FEA"/>
    <w:rsid w:val="4AE301E8"/>
    <w:rsid w:val="4AE33A6B"/>
    <w:rsid w:val="4AE40A60"/>
    <w:rsid w:val="4AE414ED"/>
    <w:rsid w:val="4AE45C6A"/>
    <w:rsid w:val="4AE47726"/>
    <w:rsid w:val="4AE47C47"/>
    <w:rsid w:val="4AE5116D"/>
    <w:rsid w:val="4AE61FD9"/>
    <w:rsid w:val="4AE66BEE"/>
    <w:rsid w:val="4AE74670"/>
    <w:rsid w:val="4AE820F1"/>
    <w:rsid w:val="4AE95975"/>
    <w:rsid w:val="4AEA4ACB"/>
    <w:rsid w:val="4AEB3076"/>
    <w:rsid w:val="4AED6579"/>
    <w:rsid w:val="4AED6BE2"/>
    <w:rsid w:val="4AED7781"/>
    <w:rsid w:val="4AEE031F"/>
    <w:rsid w:val="4AEE3FFB"/>
    <w:rsid w:val="4AEF0EBE"/>
    <w:rsid w:val="4AEF5300"/>
    <w:rsid w:val="4AF02D81"/>
    <w:rsid w:val="4AF10803"/>
    <w:rsid w:val="4AF12273"/>
    <w:rsid w:val="4AF14F7F"/>
    <w:rsid w:val="4AF26284"/>
    <w:rsid w:val="4AF30483"/>
    <w:rsid w:val="4AF314C2"/>
    <w:rsid w:val="4AF33D06"/>
    <w:rsid w:val="4AF561A9"/>
    <w:rsid w:val="4AF57209"/>
    <w:rsid w:val="4AF64C8A"/>
    <w:rsid w:val="4AF65903"/>
    <w:rsid w:val="4AF7270C"/>
    <w:rsid w:val="4AF764A2"/>
    <w:rsid w:val="4AF76E89"/>
    <w:rsid w:val="4AF8490A"/>
    <w:rsid w:val="4AF9077E"/>
    <w:rsid w:val="4AF95C0F"/>
    <w:rsid w:val="4AF97BDF"/>
    <w:rsid w:val="4AFA05B9"/>
    <w:rsid w:val="4AFA7E0D"/>
    <w:rsid w:val="4AFB1B32"/>
    <w:rsid w:val="4AFB1CF7"/>
    <w:rsid w:val="4AFB588F"/>
    <w:rsid w:val="4AFC26D1"/>
    <w:rsid w:val="4AFC6B94"/>
    <w:rsid w:val="4AFD4615"/>
    <w:rsid w:val="4B00559A"/>
    <w:rsid w:val="4B01301B"/>
    <w:rsid w:val="4B015D61"/>
    <w:rsid w:val="4B015F26"/>
    <w:rsid w:val="4B020A9D"/>
    <w:rsid w:val="4B024675"/>
    <w:rsid w:val="4B0324B1"/>
    <w:rsid w:val="4B032EF2"/>
    <w:rsid w:val="4B03651F"/>
    <w:rsid w:val="4B0574A3"/>
    <w:rsid w:val="4B0615B6"/>
    <w:rsid w:val="4B072155"/>
    <w:rsid w:val="4B080428"/>
    <w:rsid w:val="4B082B2F"/>
    <w:rsid w:val="4B083509"/>
    <w:rsid w:val="4B0836CE"/>
    <w:rsid w:val="4B095EA9"/>
    <w:rsid w:val="4B0A4C46"/>
    <w:rsid w:val="4B0B13AD"/>
    <w:rsid w:val="4B0C6E2E"/>
    <w:rsid w:val="4B0D48B0"/>
    <w:rsid w:val="4B0D6D5E"/>
    <w:rsid w:val="4B100CB1"/>
    <w:rsid w:val="4B105834"/>
    <w:rsid w:val="4B10647C"/>
    <w:rsid w:val="4B12476D"/>
    <w:rsid w:val="4B14423A"/>
    <w:rsid w:val="4B154342"/>
    <w:rsid w:val="4B15553F"/>
    <w:rsid w:val="4B162FC1"/>
    <w:rsid w:val="4B16773E"/>
    <w:rsid w:val="4B170A42"/>
    <w:rsid w:val="4B1751BF"/>
    <w:rsid w:val="4B182C41"/>
    <w:rsid w:val="4B193F45"/>
    <w:rsid w:val="4B1A19C7"/>
    <w:rsid w:val="4B1A6144"/>
    <w:rsid w:val="4B1B12D4"/>
    <w:rsid w:val="4B1B7449"/>
    <w:rsid w:val="4B1C1CAE"/>
    <w:rsid w:val="4B1D70C8"/>
    <w:rsid w:val="4B1E03CD"/>
    <w:rsid w:val="4B1E14E5"/>
    <w:rsid w:val="4B1E25CC"/>
    <w:rsid w:val="4B1E4B4A"/>
    <w:rsid w:val="4B1F5E4F"/>
    <w:rsid w:val="4B2038D0"/>
    <w:rsid w:val="4B204964"/>
    <w:rsid w:val="4B205ACF"/>
    <w:rsid w:val="4B211352"/>
    <w:rsid w:val="4B213550"/>
    <w:rsid w:val="4B226DD3"/>
    <w:rsid w:val="4B236A53"/>
    <w:rsid w:val="4B2422D7"/>
    <w:rsid w:val="4B2444D5"/>
    <w:rsid w:val="4B257D58"/>
    <w:rsid w:val="4B2657DA"/>
    <w:rsid w:val="4B26714A"/>
    <w:rsid w:val="4B2679D8"/>
    <w:rsid w:val="4B270CDD"/>
    <w:rsid w:val="4B275459"/>
    <w:rsid w:val="4B282AE6"/>
    <w:rsid w:val="4B282EDB"/>
    <w:rsid w:val="4B28675E"/>
    <w:rsid w:val="4B29095D"/>
    <w:rsid w:val="4B2A1C61"/>
    <w:rsid w:val="4B2A4224"/>
    <w:rsid w:val="4B2B3E60"/>
    <w:rsid w:val="4B2C5164"/>
    <w:rsid w:val="4B2C579D"/>
    <w:rsid w:val="4B2D2BAA"/>
    <w:rsid w:val="4B2D2BE6"/>
    <w:rsid w:val="4B2D633B"/>
    <w:rsid w:val="4B2D7363"/>
    <w:rsid w:val="4B2F18DD"/>
    <w:rsid w:val="4B2F2866"/>
    <w:rsid w:val="4B2F60E9"/>
    <w:rsid w:val="4B3002E7"/>
    <w:rsid w:val="4B3115EC"/>
    <w:rsid w:val="4B3223A6"/>
    <w:rsid w:val="4B3237EB"/>
    <w:rsid w:val="4B32706E"/>
    <w:rsid w:val="4B33126C"/>
    <w:rsid w:val="4B342571"/>
    <w:rsid w:val="4B35476F"/>
    <w:rsid w:val="4B365A74"/>
    <w:rsid w:val="4B383175"/>
    <w:rsid w:val="4B390BF7"/>
    <w:rsid w:val="4B3969F9"/>
    <w:rsid w:val="4B3A447A"/>
    <w:rsid w:val="4B3A6678"/>
    <w:rsid w:val="4B3B06EC"/>
    <w:rsid w:val="4B3B1EFC"/>
    <w:rsid w:val="4B3B6134"/>
    <w:rsid w:val="4B3C10C7"/>
    <w:rsid w:val="4B3C51D2"/>
    <w:rsid w:val="4B3D3D4F"/>
    <w:rsid w:val="4B3D75FD"/>
    <w:rsid w:val="4B3E0902"/>
    <w:rsid w:val="4B3F2B00"/>
    <w:rsid w:val="4B3F6383"/>
    <w:rsid w:val="4B400582"/>
    <w:rsid w:val="4B411887"/>
    <w:rsid w:val="4B4152F6"/>
    <w:rsid w:val="4B431506"/>
    <w:rsid w:val="4B446F88"/>
    <w:rsid w:val="4B4475D2"/>
    <w:rsid w:val="4B45028D"/>
    <w:rsid w:val="4B481211"/>
    <w:rsid w:val="4B481EFF"/>
    <w:rsid w:val="4B48598E"/>
    <w:rsid w:val="4B493410"/>
    <w:rsid w:val="4B496C93"/>
    <w:rsid w:val="4B4A0E91"/>
    <w:rsid w:val="4B4A4715"/>
    <w:rsid w:val="4B4B6897"/>
    <w:rsid w:val="4B4B6913"/>
    <w:rsid w:val="4B4B6C02"/>
    <w:rsid w:val="4B4C4394"/>
    <w:rsid w:val="4B4C4BB5"/>
    <w:rsid w:val="4B4D1E16"/>
    <w:rsid w:val="4B4E311B"/>
    <w:rsid w:val="4B4E5319"/>
    <w:rsid w:val="4B4E6E91"/>
    <w:rsid w:val="4B4E7897"/>
    <w:rsid w:val="4B4F2D9B"/>
    <w:rsid w:val="4B4F76A7"/>
    <w:rsid w:val="4B50661E"/>
    <w:rsid w:val="4B51629E"/>
    <w:rsid w:val="4B53235D"/>
    <w:rsid w:val="4B5375A2"/>
    <w:rsid w:val="4B542EFC"/>
    <w:rsid w:val="4B554CA4"/>
    <w:rsid w:val="4B560527"/>
    <w:rsid w:val="4B562725"/>
    <w:rsid w:val="4B5701A7"/>
    <w:rsid w:val="4B573A2A"/>
    <w:rsid w:val="4B5814AC"/>
    <w:rsid w:val="4B582341"/>
    <w:rsid w:val="4B5936AA"/>
    <w:rsid w:val="4B59658C"/>
    <w:rsid w:val="4B596F2D"/>
    <w:rsid w:val="4B5A0B53"/>
    <w:rsid w:val="4B5A6F67"/>
    <w:rsid w:val="4B5B5D80"/>
    <w:rsid w:val="4B5B7B05"/>
    <w:rsid w:val="4B5C107E"/>
    <w:rsid w:val="4B5C462F"/>
    <w:rsid w:val="4B5D20B0"/>
    <w:rsid w:val="4B5D4D26"/>
    <w:rsid w:val="4B5E7B32"/>
    <w:rsid w:val="4B5F0E37"/>
    <w:rsid w:val="4B5F335A"/>
    <w:rsid w:val="4B603035"/>
    <w:rsid w:val="4B61433A"/>
    <w:rsid w:val="4B6252AD"/>
    <w:rsid w:val="4B626538"/>
    <w:rsid w:val="4B635E4C"/>
    <w:rsid w:val="4B63783D"/>
    <w:rsid w:val="4B6452BE"/>
    <w:rsid w:val="4B652D40"/>
    <w:rsid w:val="4B674E8A"/>
    <w:rsid w:val="4B676243"/>
    <w:rsid w:val="4B6814DC"/>
    <w:rsid w:val="4B68207B"/>
    <w:rsid w:val="4B691746"/>
    <w:rsid w:val="4B692739"/>
    <w:rsid w:val="4B6B4C49"/>
    <w:rsid w:val="4B6C26CB"/>
    <w:rsid w:val="4B6E364F"/>
    <w:rsid w:val="4B6E5BCE"/>
    <w:rsid w:val="4B7145D4"/>
    <w:rsid w:val="4B745559"/>
    <w:rsid w:val="4B752FDA"/>
    <w:rsid w:val="4B753078"/>
    <w:rsid w:val="4B766DDB"/>
    <w:rsid w:val="4B775958"/>
    <w:rsid w:val="4B7919E0"/>
    <w:rsid w:val="4B79353E"/>
    <w:rsid w:val="4B796708"/>
    <w:rsid w:val="4B7A7462"/>
    <w:rsid w:val="4B7B0767"/>
    <w:rsid w:val="4B7B7C81"/>
    <w:rsid w:val="4B7C6397"/>
    <w:rsid w:val="4B7D03E7"/>
    <w:rsid w:val="4B7F38EA"/>
    <w:rsid w:val="4B7F716D"/>
    <w:rsid w:val="4B80136B"/>
    <w:rsid w:val="4B80314D"/>
    <w:rsid w:val="4B804BEF"/>
    <w:rsid w:val="4B812670"/>
    <w:rsid w:val="4B833FEC"/>
    <w:rsid w:val="4B835B73"/>
    <w:rsid w:val="4B8435F5"/>
    <w:rsid w:val="4B847D71"/>
    <w:rsid w:val="4B851076"/>
    <w:rsid w:val="4B8557F3"/>
    <w:rsid w:val="4B85737C"/>
    <w:rsid w:val="4B866AF8"/>
    <w:rsid w:val="4B867388"/>
    <w:rsid w:val="4B870CF6"/>
    <w:rsid w:val="4B874579"/>
    <w:rsid w:val="4B881FFB"/>
    <w:rsid w:val="4B8B3770"/>
    <w:rsid w:val="4B8B517E"/>
    <w:rsid w:val="4B8C0A01"/>
    <w:rsid w:val="4B8C2BFF"/>
    <w:rsid w:val="4B8D0681"/>
    <w:rsid w:val="4B8D6483"/>
    <w:rsid w:val="4B8E1986"/>
    <w:rsid w:val="4B8E6103"/>
    <w:rsid w:val="4B8F3B84"/>
    <w:rsid w:val="4B904E89"/>
    <w:rsid w:val="4B91290A"/>
    <w:rsid w:val="4B917087"/>
    <w:rsid w:val="4B924B09"/>
    <w:rsid w:val="4B93258A"/>
    <w:rsid w:val="4B935E0E"/>
    <w:rsid w:val="4B94223B"/>
    <w:rsid w:val="4B9422CC"/>
    <w:rsid w:val="4B94388F"/>
    <w:rsid w:val="4B95302F"/>
    <w:rsid w:val="4B955A8D"/>
    <w:rsid w:val="4B96350F"/>
    <w:rsid w:val="4B963A09"/>
    <w:rsid w:val="4B994494"/>
    <w:rsid w:val="4B9A5798"/>
    <w:rsid w:val="4B9A64FB"/>
    <w:rsid w:val="4B9B321A"/>
    <w:rsid w:val="4B9B7997"/>
    <w:rsid w:val="4B9C0C9C"/>
    <w:rsid w:val="4B9D2E9A"/>
    <w:rsid w:val="4B9E11B1"/>
    <w:rsid w:val="4B9E419F"/>
    <w:rsid w:val="4B9F28EF"/>
    <w:rsid w:val="4BA076A2"/>
    <w:rsid w:val="4BA15123"/>
    <w:rsid w:val="4BA15E9C"/>
    <w:rsid w:val="4BA22BA5"/>
    <w:rsid w:val="4BA24DA3"/>
    <w:rsid w:val="4BA30626"/>
    <w:rsid w:val="4BA32825"/>
    <w:rsid w:val="4BA615AB"/>
    <w:rsid w:val="4BA70097"/>
    <w:rsid w:val="4BA7122B"/>
    <w:rsid w:val="4BA7702D"/>
    <w:rsid w:val="4BA80A71"/>
    <w:rsid w:val="4BA9472E"/>
    <w:rsid w:val="4BA97FB1"/>
    <w:rsid w:val="4BAA1FEA"/>
    <w:rsid w:val="4BAA5A33"/>
    <w:rsid w:val="4BAC0F36"/>
    <w:rsid w:val="4BAC3563"/>
    <w:rsid w:val="4BAC56B3"/>
    <w:rsid w:val="4BAD3134"/>
    <w:rsid w:val="4BAD69B7"/>
    <w:rsid w:val="4BAE0BB6"/>
    <w:rsid w:val="4BAE4439"/>
    <w:rsid w:val="4BAF1EBA"/>
    <w:rsid w:val="4BB040B9"/>
    <w:rsid w:val="4BB11B3A"/>
    <w:rsid w:val="4BB151EF"/>
    <w:rsid w:val="4BB16CD5"/>
    <w:rsid w:val="4BB22E3F"/>
    <w:rsid w:val="4BB275BC"/>
    <w:rsid w:val="4BB308C1"/>
    <w:rsid w:val="4BB42ABF"/>
    <w:rsid w:val="4BB46342"/>
    <w:rsid w:val="4BB50541"/>
    <w:rsid w:val="4BB53DC4"/>
    <w:rsid w:val="4BB65FC2"/>
    <w:rsid w:val="4BB672A9"/>
    <w:rsid w:val="4BB714C5"/>
    <w:rsid w:val="4BB73A44"/>
    <w:rsid w:val="4BB73B85"/>
    <w:rsid w:val="4BB927CA"/>
    <w:rsid w:val="4BBA024C"/>
    <w:rsid w:val="4BBA244A"/>
    <w:rsid w:val="4BBA5AD8"/>
    <w:rsid w:val="4BBB7ECB"/>
    <w:rsid w:val="4BBC374F"/>
    <w:rsid w:val="4BBC594D"/>
    <w:rsid w:val="4BBD078F"/>
    <w:rsid w:val="4BBD33CE"/>
    <w:rsid w:val="4BBE6C52"/>
    <w:rsid w:val="4BBF2155"/>
    <w:rsid w:val="4BBF68D2"/>
    <w:rsid w:val="4BC04353"/>
    <w:rsid w:val="4BC11DD5"/>
    <w:rsid w:val="4BC13445"/>
    <w:rsid w:val="4BC230D9"/>
    <w:rsid w:val="4BC27856"/>
    <w:rsid w:val="4BC347F9"/>
    <w:rsid w:val="4BC42D59"/>
    <w:rsid w:val="4BC45398"/>
    <w:rsid w:val="4BC465DD"/>
    <w:rsid w:val="4BC507DB"/>
    <w:rsid w:val="4BC55D72"/>
    <w:rsid w:val="4BC6625C"/>
    <w:rsid w:val="4BC66AD5"/>
    <w:rsid w:val="4BC73CDE"/>
    <w:rsid w:val="4BC77561"/>
    <w:rsid w:val="4BC8004E"/>
    <w:rsid w:val="4BC81760"/>
    <w:rsid w:val="4BC92A64"/>
    <w:rsid w:val="4BCA04E6"/>
    <w:rsid w:val="4BCB5F67"/>
    <w:rsid w:val="4BCD146B"/>
    <w:rsid w:val="4BCD40B9"/>
    <w:rsid w:val="4BCE3C8F"/>
    <w:rsid w:val="4BCE6EEC"/>
    <w:rsid w:val="4BCF496E"/>
    <w:rsid w:val="4BD023EF"/>
    <w:rsid w:val="4BD06395"/>
    <w:rsid w:val="4BD17E71"/>
    <w:rsid w:val="4BD27749"/>
    <w:rsid w:val="4BD33374"/>
    <w:rsid w:val="4BD40DF5"/>
    <w:rsid w:val="4BD56877"/>
    <w:rsid w:val="4BD846DB"/>
    <w:rsid w:val="4BD8527D"/>
    <w:rsid w:val="4BD92CFF"/>
    <w:rsid w:val="4BDB6202"/>
    <w:rsid w:val="4BDC698D"/>
    <w:rsid w:val="4BDD1705"/>
    <w:rsid w:val="4BDD56BF"/>
    <w:rsid w:val="4BDE7186"/>
    <w:rsid w:val="4BDF1120"/>
    <w:rsid w:val="4BDF12E5"/>
    <w:rsid w:val="4BDF2C8B"/>
    <w:rsid w:val="4BE00100"/>
    <w:rsid w:val="4BE01CBF"/>
    <w:rsid w:val="4BE1398E"/>
    <w:rsid w:val="4BE21410"/>
    <w:rsid w:val="4BE25B8D"/>
    <w:rsid w:val="4BE36E91"/>
    <w:rsid w:val="4BE41090"/>
    <w:rsid w:val="4BE45514"/>
    <w:rsid w:val="4BE52395"/>
    <w:rsid w:val="4BE64593"/>
    <w:rsid w:val="4BE75898"/>
    <w:rsid w:val="4BE77467"/>
    <w:rsid w:val="4BE80006"/>
    <w:rsid w:val="4BE83319"/>
    <w:rsid w:val="4BE90BA4"/>
    <w:rsid w:val="4BE90D9B"/>
    <w:rsid w:val="4BE95517"/>
    <w:rsid w:val="4BEA157E"/>
    <w:rsid w:val="4BEA1840"/>
    <w:rsid w:val="4BEA2F99"/>
    <w:rsid w:val="4BEB0A1B"/>
    <w:rsid w:val="4BEB429E"/>
    <w:rsid w:val="4BEC1D1F"/>
    <w:rsid w:val="4BED3F1E"/>
    <w:rsid w:val="4BED77A1"/>
    <w:rsid w:val="4BEE4235"/>
    <w:rsid w:val="4BEE5222"/>
    <w:rsid w:val="4BEF4C0F"/>
    <w:rsid w:val="4BF00726"/>
    <w:rsid w:val="4BF02924"/>
    <w:rsid w:val="4BF161A7"/>
    <w:rsid w:val="4BF1634C"/>
    <w:rsid w:val="4BF23C29"/>
    <w:rsid w:val="4BF26D26"/>
    <w:rsid w:val="4BF316AA"/>
    <w:rsid w:val="4BF6257B"/>
    <w:rsid w:val="4BF6262F"/>
    <w:rsid w:val="4BF722AF"/>
    <w:rsid w:val="4BF74FD7"/>
    <w:rsid w:val="4BF835B4"/>
    <w:rsid w:val="4BF83930"/>
    <w:rsid w:val="4BF91035"/>
    <w:rsid w:val="4BF93AFD"/>
    <w:rsid w:val="4BF944CE"/>
    <w:rsid w:val="4BF957B2"/>
    <w:rsid w:val="4BFA2679"/>
    <w:rsid w:val="4BFA6AB7"/>
    <w:rsid w:val="4BFB1A82"/>
    <w:rsid w:val="4BFB4538"/>
    <w:rsid w:val="4BFB4C15"/>
    <w:rsid w:val="4BFC6736"/>
    <w:rsid w:val="4BFD41B8"/>
    <w:rsid w:val="4BFD7185"/>
    <w:rsid w:val="4BFD7A3B"/>
    <w:rsid w:val="4BFE54BD"/>
    <w:rsid w:val="4BFE7D23"/>
    <w:rsid w:val="4BFF06FD"/>
    <w:rsid w:val="4BFF76BB"/>
    <w:rsid w:val="4C0009C0"/>
    <w:rsid w:val="4C001E3B"/>
    <w:rsid w:val="4C00513D"/>
    <w:rsid w:val="4C020640"/>
    <w:rsid w:val="4C0231EF"/>
    <w:rsid w:val="4C033F52"/>
    <w:rsid w:val="4C043B43"/>
    <w:rsid w:val="4C0473C6"/>
    <w:rsid w:val="4C0515C4"/>
    <w:rsid w:val="4C07034B"/>
    <w:rsid w:val="4C074AC8"/>
    <w:rsid w:val="4C075F6E"/>
    <w:rsid w:val="4C076A44"/>
    <w:rsid w:val="4C082549"/>
    <w:rsid w:val="4C08500C"/>
    <w:rsid w:val="4C08552D"/>
    <w:rsid w:val="4C085DCC"/>
    <w:rsid w:val="4C0860B4"/>
    <w:rsid w:val="4C087FCB"/>
    <w:rsid w:val="4C090181"/>
    <w:rsid w:val="4C09384E"/>
    <w:rsid w:val="4C0A34CE"/>
    <w:rsid w:val="4C0B0F4F"/>
    <w:rsid w:val="4C0D4452"/>
    <w:rsid w:val="4C0E1ED4"/>
    <w:rsid w:val="4C0F5757"/>
    <w:rsid w:val="4C100C5A"/>
    <w:rsid w:val="4C1053D7"/>
    <w:rsid w:val="4C112E59"/>
    <w:rsid w:val="4C1166DC"/>
    <w:rsid w:val="4C12415D"/>
    <w:rsid w:val="4C131BDF"/>
    <w:rsid w:val="4C14041B"/>
    <w:rsid w:val="4C15074C"/>
    <w:rsid w:val="4C1550E2"/>
    <w:rsid w:val="4C1705E5"/>
    <w:rsid w:val="4C174D62"/>
    <w:rsid w:val="4C1827E3"/>
    <w:rsid w:val="4C186067"/>
    <w:rsid w:val="4C190265"/>
    <w:rsid w:val="4C193AE8"/>
    <w:rsid w:val="4C1A156A"/>
    <w:rsid w:val="4C1A51E9"/>
    <w:rsid w:val="4C1B6FEB"/>
    <w:rsid w:val="4C1C0FA5"/>
    <w:rsid w:val="4C1C4A6D"/>
    <w:rsid w:val="4C1C6762"/>
    <w:rsid w:val="4C1E7F70"/>
    <w:rsid w:val="4C1F216E"/>
    <w:rsid w:val="4C201254"/>
    <w:rsid w:val="4C203473"/>
    <w:rsid w:val="4C210EF5"/>
    <w:rsid w:val="4C220B74"/>
    <w:rsid w:val="4C2227CC"/>
    <w:rsid w:val="4C2343F8"/>
    <w:rsid w:val="4C24269D"/>
    <w:rsid w:val="4C243294"/>
    <w:rsid w:val="4C244078"/>
    <w:rsid w:val="4C251AF9"/>
    <w:rsid w:val="4C2548E4"/>
    <w:rsid w:val="4C2578FB"/>
    <w:rsid w:val="4C26537C"/>
    <w:rsid w:val="4C26757B"/>
    <w:rsid w:val="4C272DFE"/>
    <w:rsid w:val="4C274FFC"/>
    <w:rsid w:val="4C275E5D"/>
    <w:rsid w:val="4C286301"/>
    <w:rsid w:val="4C2904FF"/>
    <w:rsid w:val="4C2A5F81"/>
    <w:rsid w:val="4C2B3A02"/>
    <w:rsid w:val="4C2B7286"/>
    <w:rsid w:val="4C2C208C"/>
    <w:rsid w:val="4C2D2789"/>
    <w:rsid w:val="4C2E4987"/>
    <w:rsid w:val="4C2F41A4"/>
    <w:rsid w:val="4C2F5C8C"/>
    <w:rsid w:val="4C30370D"/>
    <w:rsid w:val="4C304D42"/>
    <w:rsid w:val="4C31118F"/>
    <w:rsid w:val="4C31571C"/>
    <w:rsid w:val="4C334CC4"/>
    <w:rsid w:val="4C33502F"/>
    <w:rsid w:val="4C34368B"/>
    <w:rsid w:val="4C357B95"/>
    <w:rsid w:val="4C360F71"/>
    <w:rsid w:val="4C365617"/>
    <w:rsid w:val="4C373098"/>
    <w:rsid w:val="4C393C27"/>
    <w:rsid w:val="4C39659B"/>
    <w:rsid w:val="4C3B1A9E"/>
    <w:rsid w:val="4C3C5B7B"/>
    <w:rsid w:val="4C3D4FA2"/>
    <w:rsid w:val="4C3E2A23"/>
    <w:rsid w:val="4C4039A8"/>
    <w:rsid w:val="4C4113CF"/>
    <w:rsid w:val="4C411429"/>
    <w:rsid w:val="4C421DAA"/>
    <w:rsid w:val="4C4268AA"/>
    <w:rsid w:val="4C4423AE"/>
    <w:rsid w:val="4C480DB4"/>
    <w:rsid w:val="4C4920B9"/>
    <w:rsid w:val="4C496836"/>
    <w:rsid w:val="4C497552"/>
    <w:rsid w:val="4C4A0649"/>
    <w:rsid w:val="4C4B1D39"/>
    <w:rsid w:val="4C4B55BC"/>
    <w:rsid w:val="4C4C1669"/>
    <w:rsid w:val="4C4C303E"/>
    <w:rsid w:val="4C4D0ABF"/>
    <w:rsid w:val="4C4D523C"/>
    <w:rsid w:val="4C4E2DA6"/>
    <w:rsid w:val="4C4F073F"/>
    <w:rsid w:val="4C4F3781"/>
    <w:rsid w:val="4C4F3FC2"/>
    <w:rsid w:val="4C501A44"/>
    <w:rsid w:val="4C513C42"/>
    <w:rsid w:val="4C5216C4"/>
    <w:rsid w:val="4C524F47"/>
    <w:rsid w:val="4C525007"/>
    <w:rsid w:val="4C526437"/>
    <w:rsid w:val="4C537145"/>
    <w:rsid w:val="4C544BC7"/>
    <w:rsid w:val="4C5477EB"/>
    <w:rsid w:val="4C55038A"/>
    <w:rsid w:val="4C555ECC"/>
    <w:rsid w:val="4C560DCF"/>
    <w:rsid w:val="4C56394D"/>
    <w:rsid w:val="4C563ECE"/>
    <w:rsid w:val="4C575B4B"/>
    <w:rsid w:val="4C58104F"/>
    <w:rsid w:val="4C5835CD"/>
    <w:rsid w:val="4C592E7C"/>
    <w:rsid w:val="4C5948D2"/>
    <w:rsid w:val="4C596AD0"/>
    <w:rsid w:val="4C5A4552"/>
    <w:rsid w:val="4C5C7A55"/>
    <w:rsid w:val="4C5D54D6"/>
    <w:rsid w:val="4C5D5B32"/>
    <w:rsid w:val="4C5D5CF6"/>
    <w:rsid w:val="4C5E0D5A"/>
    <w:rsid w:val="4C5E2F58"/>
    <w:rsid w:val="4C5E497C"/>
    <w:rsid w:val="4C5F2E23"/>
    <w:rsid w:val="4C60645B"/>
    <w:rsid w:val="4C621D61"/>
    <w:rsid w:val="4C621F26"/>
    <w:rsid w:val="4C6251E1"/>
    <w:rsid w:val="4C632900"/>
    <w:rsid w:val="4C632C63"/>
    <w:rsid w:val="4C6373E0"/>
    <w:rsid w:val="4C6406E4"/>
    <w:rsid w:val="4C660364"/>
    <w:rsid w:val="4C663BE7"/>
    <w:rsid w:val="4C683867"/>
    <w:rsid w:val="4C6870EB"/>
    <w:rsid w:val="4C694B6C"/>
    <w:rsid w:val="4C6A6D6A"/>
    <w:rsid w:val="4C6B47EC"/>
    <w:rsid w:val="4C6C0A82"/>
    <w:rsid w:val="4C6C0C46"/>
    <w:rsid w:val="4C6D21BF"/>
    <w:rsid w:val="4C6D5E8C"/>
    <w:rsid w:val="4C6D7CEF"/>
    <w:rsid w:val="4C6E0FF4"/>
    <w:rsid w:val="4C6F2CC0"/>
    <w:rsid w:val="4C6F6A75"/>
    <w:rsid w:val="4C700C74"/>
    <w:rsid w:val="4C711F79"/>
    <w:rsid w:val="4C721BF8"/>
    <w:rsid w:val="4C7279FA"/>
    <w:rsid w:val="4C73622A"/>
    <w:rsid w:val="4C73767A"/>
    <w:rsid w:val="4C742EFD"/>
    <w:rsid w:val="4C75097F"/>
    <w:rsid w:val="4C776080"/>
    <w:rsid w:val="4C787385"/>
    <w:rsid w:val="4C794E06"/>
    <w:rsid w:val="4C7A3B96"/>
    <w:rsid w:val="4C7B4677"/>
    <w:rsid w:val="4C7B4A86"/>
    <w:rsid w:val="4C7C0148"/>
    <w:rsid w:val="4C7C2508"/>
    <w:rsid w:val="4C7C5D8B"/>
    <w:rsid w:val="4C7C7C27"/>
    <w:rsid w:val="4C7D380D"/>
    <w:rsid w:val="4C7E128E"/>
    <w:rsid w:val="4C7E5ECA"/>
    <w:rsid w:val="4C7F11C3"/>
    <w:rsid w:val="4C7F6D10"/>
    <w:rsid w:val="4C816990"/>
    <w:rsid w:val="4C82117A"/>
    <w:rsid w:val="4C827C94"/>
    <w:rsid w:val="4C831E93"/>
    <w:rsid w:val="4C835716"/>
    <w:rsid w:val="4C850C19"/>
    <w:rsid w:val="4C86669B"/>
    <w:rsid w:val="4C8749CF"/>
    <w:rsid w:val="4C876AA5"/>
    <w:rsid w:val="4C8853A9"/>
    <w:rsid w:val="4C88631A"/>
    <w:rsid w:val="4C88662F"/>
    <w:rsid w:val="4C893887"/>
    <w:rsid w:val="4C893D9C"/>
    <w:rsid w:val="4C895F48"/>
    <w:rsid w:val="4C89761F"/>
    <w:rsid w:val="4C8A6922"/>
    <w:rsid w:val="4C8B4D21"/>
    <w:rsid w:val="4C8C05A4"/>
    <w:rsid w:val="4C8C0A39"/>
    <w:rsid w:val="4C8D0224"/>
    <w:rsid w:val="4C8E3AA7"/>
    <w:rsid w:val="4C8E5CA5"/>
    <w:rsid w:val="4C8F3727"/>
    <w:rsid w:val="4C906FAA"/>
    <w:rsid w:val="4C9124AD"/>
    <w:rsid w:val="4C914A2C"/>
    <w:rsid w:val="4C916C2A"/>
    <w:rsid w:val="4C9246AB"/>
    <w:rsid w:val="4C9359CC"/>
    <w:rsid w:val="4C943432"/>
    <w:rsid w:val="4C947BAF"/>
    <w:rsid w:val="4C9604BD"/>
    <w:rsid w:val="4C9857D9"/>
    <w:rsid w:val="4C9925D5"/>
    <w:rsid w:val="4C9978BA"/>
    <w:rsid w:val="4C9A41A0"/>
    <w:rsid w:val="4C9B2DBD"/>
    <w:rsid w:val="4C9C083E"/>
    <w:rsid w:val="4C9D62C0"/>
    <w:rsid w:val="4C9E3D41"/>
    <w:rsid w:val="4C9E5AA1"/>
    <w:rsid w:val="4C9F17C3"/>
    <w:rsid w:val="4CA22748"/>
    <w:rsid w:val="4CA301C9"/>
    <w:rsid w:val="4CA4286F"/>
    <w:rsid w:val="4CA45C4B"/>
    <w:rsid w:val="4CA5340D"/>
    <w:rsid w:val="4CA63DE7"/>
    <w:rsid w:val="4CA63FAC"/>
    <w:rsid w:val="4CA76BCF"/>
    <w:rsid w:val="4CA95EFF"/>
    <w:rsid w:val="4CA97B54"/>
    <w:rsid w:val="4CAA55D5"/>
    <w:rsid w:val="4CAA6A9E"/>
    <w:rsid w:val="4CAB3057"/>
    <w:rsid w:val="4CAC0AD9"/>
    <w:rsid w:val="4CAD5597"/>
    <w:rsid w:val="4CAD655A"/>
    <w:rsid w:val="4CAE158F"/>
    <w:rsid w:val="4CAF1A5D"/>
    <w:rsid w:val="4CAF22F3"/>
    <w:rsid w:val="4CAF785F"/>
    <w:rsid w:val="4CB02CCD"/>
    <w:rsid w:val="4CB052E1"/>
    <w:rsid w:val="4CB074DF"/>
    <w:rsid w:val="4CB107E4"/>
    <w:rsid w:val="4CB12D62"/>
    <w:rsid w:val="4CB14F60"/>
    <w:rsid w:val="4CB26265"/>
    <w:rsid w:val="4CB30463"/>
    <w:rsid w:val="4CB33CE7"/>
    <w:rsid w:val="4CB35983"/>
    <w:rsid w:val="4CB41768"/>
    <w:rsid w:val="4CB45EE5"/>
    <w:rsid w:val="4CB53967"/>
    <w:rsid w:val="4CB61D51"/>
    <w:rsid w:val="4CB64C6B"/>
    <w:rsid w:val="4CB67A9B"/>
    <w:rsid w:val="4CB70475"/>
    <w:rsid w:val="4CB708CE"/>
    <w:rsid w:val="4CB76E6A"/>
    <w:rsid w:val="4CB80042"/>
    <w:rsid w:val="4CB80E4F"/>
    <w:rsid w:val="4CB81013"/>
    <w:rsid w:val="4CB848EB"/>
    <w:rsid w:val="4CB9236D"/>
    <w:rsid w:val="4CBC32F1"/>
    <w:rsid w:val="4CBC3B05"/>
    <w:rsid w:val="4CBC6B75"/>
    <w:rsid w:val="4CBD0D73"/>
    <w:rsid w:val="4CBD45F6"/>
    <w:rsid w:val="4CBE2078"/>
    <w:rsid w:val="4CBE67F4"/>
    <w:rsid w:val="4CBF7AF9"/>
    <w:rsid w:val="4CC0557B"/>
    <w:rsid w:val="4CC12FFC"/>
    <w:rsid w:val="4CC312AD"/>
    <w:rsid w:val="4CC364FF"/>
    <w:rsid w:val="4CC36774"/>
    <w:rsid w:val="4CC41E4C"/>
    <w:rsid w:val="4CC43F81"/>
    <w:rsid w:val="4CC4617F"/>
    <w:rsid w:val="4CC51A03"/>
    <w:rsid w:val="4CC52826"/>
    <w:rsid w:val="4CC53781"/>
    <w:rsid w:val="4CC61682"/>
    <w:rsid w:val="4CC67484"/>
    <w:rsid w:val="4CC77104"/>
    <w:rsid w:val="4CC82987"/>
    <w:rsid w:val="4CC90409"/>
    <w:rsid w:val="4CC95E8A"/>
    <w:rsid w:val="4CCA390C"/>
    <w:rsid w:val="4CCB138D"/>
    <w:rsid w:val="4CCB6A55"/>
    <w:rsid w:val="4CCC6E0F"/>
    <w:rsid w:val="4CCE0B6D"/>
    <w:rsid w:val="4CCE6A8F"/>
    <w:rsid w:val="4CCF4510"/>
    <w:rsid w:val="4CCF7D94"/>
    <w:rsid w:val="4CD02C84"/>
    <w:rsid w:val="4CD03BD8"/>
    <w:rsid w:val="4CD04150"/>
    <w:rsid w:val="4CD05815"/>
    <w:rsid w:val="4CD11CE9"/>
    <w:rsid w:val="4CD13823"/>
    <w:rsid w:val="4CD17A13"/>
    <w:rsid w:val="4CD241FD"/>
    <w:rsid w:val="4CD3679A"/>
    <w:rsid w:val="4CD45776"/>
    <w:rsid w:val="4CD45888"/>
    <w:rsid w:val="4CD4593A"/>
    <w:rsid w:val="4CD51C9D"/>
    <w:rsid w:val="4CD56315"/>
    <w:rsid w:val="4CD5641A"/>
    <w:rsid w:val="4CD63E9B"/>
    <w:rsid w:val="4CD66EB3"/>
    <w:rsid w:val="4CD805F1"/>
    <w:rsid w:val="4CD8739E"/>
    <w:rsid w:val="4CD906A3"/>
    <w:rsid w:val="4CD928A1"/>
    <w:rsid w:val="4CDA0323"/>
    <w:rsid w:val="4CDB2544"/>
    <w:rsid w:val="4CDB5DA5"/>
    <w:rsid w:val="4CDC1628"/>
    <w:rsid w:val="4CDD12A8"/>
    <w:rsid w:val="4CDD465B"/>
    <w:rsid w:val="4CDD70A9"/>
    <w:rsid w:val="4CDE4B2B"/>
    <w:rsid w:val="4CDE6D29"/>
    <w:rsid w:val="4CDF25AC"/>
    <w:rsid w:val="4CDF5BD4"/>
    <w:rsid w:val="4CDF5D99"/>
    <w:rsid w:val="4CE0002E"/>
    <w:rsid w:val="4CE0222C"/>
    <w:rsid w:val="4CE10C5C"/>
    <w:rsid w:val="4CE1169E"/>
    <w:rsid w:val="4CE15AB0"/>
    <w:rsid w:val="4CE2073C"/>
    <w:rsid w:val="4CE2572F"/>
    <w:rsid w:val="4CE331B1"/>
    <w:rsid w:val="4CE36A34"/>
    <w:rsid w:val="4CE40C32"/>
    <w:rsid w:val="4CE41265"/>
    <w:rsid w:val="4CE444B6"/>
    <w:rsid w:val="4CE51F37"/>
    <w:rsid w:val="4CE64136"/>
    <w:rsid w:val="4CE67797"/>
    <w:rsid w:val="4CE679B9"/>
    <w:rsid w:val="4CE73541"/>
    <w:rsid w:val="4CE82EBC"/>
    <w:rsid w:val="4CE950BA"/>
    <w:rsid w:val="4CEA2B3C"/>
    <w:rsid w:val="4CEA6032"/>
    <w:rsid w:val="4CEA63BF"/>
    <w:rsid w:val="4CEB05BD"/>
    <w:rsid w:val="4CEC603F"/>
    <w:rsid w:val="4CED014A"/>
    <w:rsid w:val="4CED3AC0"/>
    <w:rsid w:val="4CEE1542"/>
    <w:rsid w:val="4CEE4DC5"/>
    <w:rsid w:val="4CF02F19"/>
    <w:rsid w:val="4CF1268D"/>
    <w:rsid w:val="4CF15D4A"/>
    <w:rsid w:val="4CF3344B"/>
    <w:rsid w:val="4CF34379"/>
    <w:rsid w:val="4CF44D53"/>
    <w:rsid w:val="4CF46CCF"/>
    <w:rsid w:val="4CF643D0"/>
    <w:rsid w:val="4CF71E51"/>
    <w:rsid w:val="4CF77C53"/>
    <w:rsid w:val="4CF856D5"/>
    <w:rsid w:val="4CF93156"/>
    <w:rsid w:val="4CFA195C"/>
    <w:rsid w:val="4CFA2DD6"/>
    <w:rsid w:val="4CFB26C0"/>
    <w:rsid w:val="4CFB40DB"/>
    <w:rsid w:val="4CFC309A"/>
    <w:rsid w:val="4CFD75DE"/>
    <w:rsid w:val="4CFE5060"/>
    <w:rsid w:val="4CFF2AE1"/>
    <w:rsid w:val="4D015FE4"/>
    <w:rsid w:val="4D01672A"/>
    <w:rsid w:val="4D0168EF"/>
    <w:rsid w:val="4D023A66"/>
    <w:rsid w:val="4D0314E7"/>
    <w:rsid w:val="4D037E68"/>
    <w:rsid w:val="4D040842"/>
    <w:rsid w:val="4D0413E0"/>
    <w:rsid w:val="4D046F69"/>
    <w:rsid w:val="4D0504D4"/>
    <w:rsid w:val="4D05121C"/>
    <w:rsid w:val="4D0734F8"/>
    <w:rsid w:val="4D077EEE"/>
    <w:rsid w:val="4D084097"/>
    <w:rsid w:val="4D08596F"/>
    <w:rsid w:val="4D0A0E72"/>
    <w:rsid w:val="4D0A5610"/>
    <w:rsid w:val="4D0B0390"/>
    <w:rsid w:val="4D0B68F4"/>
    <w:rsid w:val="4D0C6B88"/>
    <w:rsid w:val="4D0E00FB"/>
    <w:rsid w:val="4D0F5BFB"/>
    <w:rsid w:val="4D0F600E"/>
    <w:rsid w:val="4D1107FD"/>
    <w:rsid w:val="4D115A1A"/>
    <w:rsid w:val="4D12627F"/>
    <w:rsid w:val="4D145005"/>
    <w:rsid w:val="4D160508"/>
    <w:rsid w:val="4D166448"/>
    <w:rsid w:val="4D170188"/>
    <w:rsid w:val="4D175F8A"/>
    <w:rsid w:val="4D176606"/>
    <w:rsid w:val="4D176FE7"/>
    <w:rsid w:val="4D185C09"/>
    <w:rsid w:val="4D19148D"/>
    <w:rsid w:val="4D19368B"/>
    <w:rsid w:val="4D1A0F3A"/>
    <w:rsid w:val="4D1A110D"/>
    <w:rsid w:val="4D1A4990"/>
    <w:rsid w:val="4D1A6F0E"/>
    <w:rsid w:val="4D1B1AD8"/>
    <w:rsid w:val="4D1B2411"/>
    <w:rsid w:val="4D1B6B8E"/>
    <w:rsid w:val="4D1C7E93"/>
    <w:rsid w:val="4D1D5914"/>
    <w:rsid w:val="4D1E3396"/>
    <w:rsid w:val="4D1E3BF0"/>
    <w:rsid w:val="4D1E7B13"/>
    <w:rsid w:val="4D203016"/>
    <w:rsid w:val="4D210A97"/>
    <w:rsid w:val="4D21431B"/>
    <w:rsid w:val="4D226519"/>
    <w:rsid w:val="4D233F9A"/>
    <w:rsid w:val="4D24529F"/>
    <w:rsid w:val="4D2607A2"/>
    <w:rsid w:val="4D2729A1"/>
    <w:rsid w:val="4D276224"/>
    <w:rsid w:val="4D2A3C09"/>
    <w:rsid w:val="4D2B6E28"/>
    <w:rsid w:val="4D2C273C"/>
    <w:rsid w:val="4D2D012D"/>
    <w:rsid w:val="4D2E7DAD"/>
    <w:rsid w:val="4D2F3630"/>
    <w:rsid w:val="4D2F582F"/>
    <w:rsid w:val="4D3010B2"/>
    <w:rsid w:val="4D3017F6"/>
    <w:rsid w:val="4D3032B0"/>
    <w:rsid w:val="4D322037"/>
    <w:rsid w:val="4D3267B3"/>
    <w:rsid w:val="4D333749"/>
    <w:rsid w:val="4D337AB8"/>
    <w:rsid w:val="4D341CB6"/>
    <w:rsid w:val="4D3430C2"/>
    <w:rsid w:val="4D3442E8"/>
    <w:rsid w:val="4D352FBB"/>
    <w:rsid w:val="4D354CC2"/>
    <w:rsid w:val="4D354E86"/>
    <w:rsid w:val="4D372C3B"/>
    <w:rsid w:val="4D3763FF"/>
    <w:rsid w:val="4D3764BE"/>
    <w:rsid w:val="4D3806BD"/>
    <w:rsid w:val="4D383F40"/>
    <w:rsid w:val="4D386F9E"/>
    <w:rsid w:val="4D3874B5"/>
    <w:rsid w:val="4D38766A"/>
    <w:rsid w:val="4D3919C1"/>
    <w:rsid w:val="4D39613E"/>
    <w:rsid w:val="4D396A73"/>
    <w:rsid w:val="4D3A3BC0"/>
    <w:rsid w:val="4D3A5CC6"/>
    <w:rsid w:val="4D3A7443"/>
    <w:rsid w:val="4D3B1641"/>
    <w:rsid w:val="4D3B4EC4"/>
    <w:rsid w:val="4D3C2946"/>
    <w:rsid w:val="4D3C70C3"/>
    <w:rsid w:val="4D3D03C8"/>
    <w:rsid w:val="4D3E3BA7"/>
    <w:rsid w:val="4D3E5E49"/>
    <w:rsid w:val="4D3F38CB"/>
    <w:rsid w:val="4D3F4746"/>
    <w:rsid w:val="4D405120"/>
    <w:rsid w:val="4D4052E5"/>
    <w:rsid w:val="4D420FCC"/>
    <w:rsid w:val="4D42484F"/>
    <w:rsid w:val="4D4322D1"/>
    <w:rsid w:val="4D4344CF"/>
    <w:rsid w:val="4D435F0B"/>
    <w:rsid w:val="4D437238"/>
    <w:rsid w:val="4D441F51"/>
    <w:rsid w:val="4D4507B1"/>
    <w:rsid w:val="4D450975"/>
    <w:rsid w:val="4D4557D4"/>
    <w:rsid w:val="4D463256"/>
    <w:rsid w:val="4D465454"/>
    <w:rsid w:val="4D470CD7"/>
    <w:rsid w:val="4D470D2F"/>
    <w:rsid w:val="4D47109A"/>
    <w:rsid w:val="4D471250"/>
    <w:rsid w:val="4D480957"/>
    <w:rsid w:val="4D4828C8"/>
    <w:rsid w:val="4D487DCD"/>
    <w:rsid w:val="4D4941DA"/>
    <w:rsid w:val="4D4963D8"/>
    <w:rsid w:val="4D4A1C5C"/>
    <w:rsid w:val="4D4A49E0"/>
    <w:rsid w:val="4D4A76DD"/>
    <w:rsid w:val="4D4B515F"/>
    <w:rsid w:val="4D4E60E3"/>
    <w:rsid w:val="4D4F02E2"/>
    <w:rsid w:val="4D4F3B65"/>
    <w:rsid w:val="4D5015E7"/>
    <w:rsid w:val="4D505003"/>
    <w:rsid w:val="4D505D63"/>
    <w:rsid w:val="4D5115E9"/>
    <w:rsid w:val="4D517068"/>
    <w:rsid w:val="4D524AEA"/>
    <w:rsid w:val="4D534390"/>
    <w:rsid w:val="4D534C40"/>
    <w:rsid w:val="4D536CE8"/>
    <w:rsid w:val="4D544769"/>
    <w:rsid w:val="4D547FED"/>
    <w:rsid w:val="4D5521EB"/>
    <w:rsid w:val="4D562E36"/>
    <w:rsid w:val="4D563357"/>
    <w:rsid w:val="4D5634F0"/>
    <w:rsid w:val="4D56350C"/>
    <w:rsid w:val="4D581648"/>
    <w:rsid w:val="4D590BF1"/>
    <w:rsid w:val="4D597930"/>
    <w:rsid w:val="4D597AF4"/>
    <w:rsid w:val="4D5A5E61"/>
    <w:rsid w:val="4D5A6673"/>
    <w:rsid w:val="4D5B0EA9"/>
    <w:rsid w:val="4D5B7978"/>
    <w:rsid w:val="4D5C1A47"/>
    <w:rsid w:val="4D5C53F9"/>
    <w:rsid w:val="4D5C75F7"/>
    <w:rsid w:val="4D5D5079"/>
    <w:rsid w:val="4D5F3B5F"/>
    <w:rsid w:val="4D5F637E"/>
    <w:rsid w:val="4D603DFF"/>
    <w:rsid w:val="4D611881"/>
    <w:rsid w:val="4D61265D"/>
    <w:rsid w:val="4D624D84"/>
    <w:rsid w:val="4D625C76"/>
    <w:rsid w:val="4D627302"/>
    <w:rsid w:val="4D645B34"/>
    <w:rsid w:val="4D645E6A"/>
    <w:rsid w:val="4D655613"/>
    <w:rsid w:val="4D6644FB"/>
    <w:rsid w:val="4D6935E3"/>
    <w:rsid w:val="4D69470F"/>
    <w:rsid w:val="4D6C5536"/>
    <w:rsid w:val="4D6C5694"/>
    <w:rsid w:val="4D6D3115"/>
    <w:rsid w:val="4D700028"/>
    <w:rsid w:val="4D722304"/>
    <w:rsid w:val="4D72759D"/>
    <w:rsid w:val="4D73213F"/>
    <w:rsid w:val="4D742AA0"/>
    <w:rsid w:val="4D74387C"/>
    <w:rsid w:val="4D750521"/>
    <w:rsid w:val="4D773A25"/>
    <w:rsid w:val="4D775994"/>
    <w:rsid w:val="4D78636E"/>
    <w:rsid w:val="4D796F0D"/>
    <w:rsid w:val="4D796F28"/>
    <w:rsid w:val="4D797534"/>
    <w:rsid w:val="4D7A78E7"/>
    <w:rsid w:val="4D7B242B"/>
    <w:rsid w:val="4D7B7EAC"/>
    <w:rsid w:val="4D7C1024"/>
    <w:rsid w:val="4D7C592E"/>
    <w:rsid w:val="4D7D11B1"/>
    <w:rsid w:val="4D7E0E31"/>
    <w:rsid w:val="4D7E6C33"/>
    <w:rsid w:val="4D7F313C"/>
    <w:rsid w:val="4D802136"/>
    <w:rsid w:val="4D804879"/>
    <w:rsid w:val="4D811DB6"/>
    <w:rsid w:val="4D81508F"/>
    <w:rsid w:val="4D815253"/>
    <w:rsid w:val="4D821820"/>
    <w:rsid w:val="4D825639"/>
    <w:rsid w:val="4D827837"/>
    <w:rsid w:val="4D830B3C"/>
    <w:rsid w:val="4D8352B9"/>
    <w:rsid w:val="4D8465BE"/>
    <w:rsid w:val="4D85403F"/>
    <w:rsid w:val="4D857D45"/>
    <w:rsid w:val="4D861AC1"/>
    <w:rsid w:val="4D86623D"/>
    <w:rsid w:val="4D873CBF"/>
    <w:rsid w:val="4D877542"/>
    <w:rsid w:val="4D8971C2"/>
    <w:rsid w:val="4D8A04C7"/>
    <w:rsid w:val="4D8A359A"/>
    <w:rsid w:val="4D8A4C44"/>
    <w:rsid w:val="4D8B5F48"/>
    <w:rsid w:val="4D8C39CA"/>
    <w:rsid w:val="4D8C4B13"/>
    <w:rsid w:val="4D8D144B"/>
    <w:rsid w:val="4D8F10CB"/>
    <w:rsid w:val="4D8F52CB"/>
    <w:rsid w:val="4D9145CE"/>
    <w:rsid w:val="4D9218E1"/>
    <w:rsid w:val="4D922050"/>
    <w:rsid w:val="4D922EE6"/>
    <w:rsid w:val="4D935553"/>
    <w:rsid w:val="4D937AD1"/>
    <w:rsid w:val="4D942FD5"/>
    <w:rsid w:val="4D950A56"/>
    <w:rsid w:val="4D956858"/>
    <w:rsid w:val="4D99525E"/>
    <w:rsid w:val="4D99745C"/>
    <w:rsid w:val="4D9B0761"/>
    <w:rsid w:val="4D9B61E3"/>
    <w:rsid w:val="4D9C3C64"/>
    <w:rsid w:val="4D9D1B7A"/>
    <w:rsid w:val="4D9D5E63"/>
    <w:rsid w:val="4D9E2719"/>
    <w:rsid w:val="4D9E38E4"/>
    <w:rsid w:val="4D9F30F3"/>
    <w:rsid w:val="4D9F4BE9"/>
    <w:rsid w:val="4D9F6B46"/>
    <w:rsid w:val="4DA0266A"/>
    <w:rsid w:val="4DA051A2"/>
    <w:rsid w:val="4DA14831"/>
    <w:rsid w:val="4DA14869"/>
    <w:rsid w:val="4DA25B6E"/>
    <w:rsid w:val="4DA35DAA"/>
    <w:rsid w:val="4DA41071"/>
    <w:rsid w:val="4DA5326F"/>
    <w:rsid w:val="4DA71FF5"/>
    <w:rsid w:val="4DA76772"/>
    <w:rsid w:val="4DA81AD7"/>
    <w:rsid w:val="4DA841F4"/>
    <w:rsid w:val="4DAA76F7"/>
    <w:rsid w:val="4DAB2BFA"/>
    <w:rsid w:val="4DAB5178"/>
    <w:rsid w:val="4DAD3EFF"/>
    <w:rsid w:val="4DAD54A5"/>
    <w:rsid w:val="4DAD60FD"/>
    <w:rsid w:val="4DAF7402"/>
    <w:rsid w:val="4DB04E83"/>
    <w:rsid w:val="4DB1031F"/>
    <w:rsid w:val="4DB1605F"/>
    <w:rsid w:val="4DB20386"/>
    <w:rsid w:val="4DB20CFA"/>
    <w:rsid w:val="4DB22585"/>
    <w:rsid w:val="4DB33889"/>
    <w:rsid w:val="4DB35E08"/>
    <w:rsid w:val="4DB4130B"/>
    <w:rsid w:val="4DB60F8B"/>
    <w:rsid w:val="4DB637EB"/>
    <w:rsid w:val="4DB72290"/>
    <w:rsid w:val="4DB7438A"/>
    <w:rsid w:val="4DB74F29"/>
    <w:rsid w:val="4DB76A0C"/>
    <w:rsid w:val="4DB8448E"/>
    <w:rsid w:val="4DB85AC7"/>
    <w:rsid w:val="4DB87D11"/>
    <w:rsid w:val="4DB91F0F"/>
    <w:rsid w:val="4DB95793"/>
    <w:rsid w:val="4DBA3214"/>
    <w:rsid w:val="4DBB0C96"/>
    <w:rsid w:val="4DBB5413"/>
    <w:rsid w:val="4DBC2E94"/>
    <w:rsid w:val="4DBC30BE"/>
    <w:rsid w:val="4DBC6717"/>
    <w:rsid w:val="4DBD1158"/>
    <w:rsid w:val="4DBE1C1A"/>
    <w:rsid w:val="4DBE6397"/>
    <w:rsid w:val="4DBF3E19"/>
    <w:rsid w:val="4DC0189A"/>
    <w:rsid w:val="4DC0511E"/>
    <w:rsid w:val="4DC20621"/>
    <w:rsid w:val="4DC2070F"/>
    <w:rsid w:val="4DC302A1"/>
    <w:rsid w:val="4DC3281F"/>
    <w:rsid w:val="4DC35387"/>
    <w:rsid w:val="4DC45D22"/>
    <w:rsid w:val="4DC537A4"/>
    <w:rsid w:val="4DC67027"/>
    <w:rsid w:val="4DC74AA8"/>
    <w:rsid w:val="4DCC3EE3"/>
    <w:rsid w:val="4DCC69B2"/>
    <w:rsid w:val="4DCD4433"/>
    <w:rsid w:val="4DCF7936"/>
    <w:rsid w:val="4DD053B8"/>
    <w:rsid w:val="4DD06D5E"/>
    <w:rsid w:val="4DD12E39"/>
    <w:rsid w:val="4DD3168B"/>
    <w:rsid w:val="4DD31850"/>
    <w:rsid w:val="4DD43DBE"/>
    <w:rsid w:val="4DD51840"/>
    <w:rsid w:val="4DD52DC8"/>
    <w:rsid w:val="4DD666DB"/>
    <w:rsid w:val="4DD672C1"/>
    <w:rsid w:val="4DD74341"/>
    <w:rsid w:val="4DD74D43"/>
    <w:rsid w:val="4DD827C4"/>
    <w:rsid w:val="4DDA5CC7"/>
    <w:rsid w:val="4DDB6FF8"/>
    <w:rsid w:val="4DDD0570"/>
    <w:rsid w:val="4DDD6C4C"/>
    <w:rsid w:val="4DDD7F17"/>
    <w:rsid w:val="4DDE0EAE"/>
    <w:rsid w:val="4DDE0F4B"/>
    <w:rsid w:val="4DDF1AE9"/>
    <w:rsid w:val="4DE03454"/>
    <w:rsid w:val="4DE13062"/>
    <w:rsid w:val="4DE13C01"/>
    <w:rsid w:val="4DE13DC5"/>
    <w:rsid w:val="4DE230D4"/>
    <w:rsid w:val="4DE247A0"/>
    <w:rsid w:val="4DE2647A"/>
    <w:rsid w:val="4DE26957"/>
    <w:rsid w:val="4DE343D9"/>
    <w:rsid w:val="4DE41E5A"/>
    <w:rsid w:val="4DE44058"/>
    <w:rsid w:val="4DE465D7"/>
    <w:rsid w:val="4DE51ADA"/>
    <w:rsid w:val="4DE578DC"/>
    <w:rsid w:val="4DE6344D"/>
    <w:rsid w:val="4DE6755C"/>
    <w:rsid w:val="4DE72DDF"/>
    <w:rsid w:val="4DE904E0"/>
    <w:rsid w:val="4DE90B47"/>
    <w:rsid w:val="4DEA3D63"/>
    <w:rsid w:val="4DEA5F62"/>
    <w:rsid w:val="4DEB17E5"/>
    <w:rsid w:val="4DEB39E3"/>
    <w:rsid w:val="4DEB7267"/>
    <w:rsid w:val="4DEC4FB0"/>
    <w:rsid w:val="4DEF23EA"/>
    <w:rsid w:val="4DEF5C6D"/>
    <w:rsid w:val="4DEF6177"/>
    <w:rsid w:val="4DF036EE"/>
    <w:rsid w:val="4DF07E6B"/>
    <w:rsid w:val="4DF158ED"/>
    <w:rsid w:val="4DF200CA"/>
    <w:rsid w:val="4DF26BF1"/>
    <w:rsid w:val="4DF30E2D"/>
    <w:rsid w:val="4DF420F5"/>
    <w:rsid w:val="4DF46871"/>
    <w:rsid w:val="4DF61D74"/>
    <w:rsid w:val="4DF64286"/>
    <w:rsid w:val="4DF64CC8"/>
    <w:rsid w:val="4DF655F8"/>
    <w:rsid w:val="4DF7375A"/>
    <w:rsid w:val="4DF739FA"/>
    <w:rsid w:val="4DF80AFB"/>
    <w:rsid w:val="4DF94E97"/>
    <w:rsid w:val="4DF9657C"/>
    <w:rsid w:val="4DFA077D"/>
    <w:rsid w:val="4DFA3FFE"/>
    <w:rsid w:val="4DFB61FC"/>
    <w:rsid w:val="4DFC16FF"/>
    <w:rsid w:val="4DFC3C7E"/>
    <w:rsid w:val="4DFD4F82"/>
    <w:rsid w:val="4DFD7181"/>
    <w:rsid w:val="4DFF2684"/>
    <w:rsid w:val="4E013989"/>
    <w:rsid w:val="4E02140A"/>
    <w:rsid w:val="4E03108A"/>
    <w:rsid w:val="4E036E8C"/>
    <w:rsid w:val="4E04490D"/>
    <w:rsid w:val="4E05458D"/>
    <w:rsid w:val="4E057E10"/>
    <w:rsid w:val="4E075D8A"/>
    <w:rsid w:val="4E080D95"/>
    <w:rsid w:val="4E087DE7"/>
    <w:rsid w:val="4E090986"/>
    <w:rsid w:val="4E092F93"/>
    <w:rsid w:val="4E0946D6"/>
    <w:rsid w:val="4E096817"/>
    <w:rsid w:val="4E0B1D1A"/>
    <w:rsid w:val="4E0B6496"/>
    <w:rsid w:val="4E0C3478"/>
    <w:rsid w:val="4E0C3F18"/>
    <w:rsid w:val="4E0C779B"/>
    <w:rsid w:val="4E0D521D"/>
    <w:rsid w:val="4E0D70F0"/>
    <w:rsid w:val="4E0E2C9E"/>
    <w:rsid w:val="4E0F0720"/>
    <w:rsid w:val="4E0F4E9D"/>
    <w:rsid w:val="4E0F6F0F"/>
    <w:rsid w:val="4E10291E"/>
    <w:rsid w:val="4E1216A5"/>
    <w:rsid w:val="4E131916"/>
    <w:rsid w:val="4E1338A3"/>
    <w:rsid w:val="4E144BA8"/>
    <w:rsid w:val="4E152629"/>
    <w:rsid w:val="4E154828"/>
    <w:rsid w:val="4E1622A9"/>
    <w:rsid w:val="4E162EFC"/>
    <w:rsid w:val="4E172D37"/>
    <w:rsid w:val="4E1857AC"/>
    <w:rsid w:val="4E19102F"/>
    <w:rsid w:val="4E1A0CAF"/>
    <w:rsid w:val="4E1A6AB1"/>
    <w:rsid w:val="4E1B6731"/>
    <w:rsid w:val="4E1C1FB4"/>
    <w:rsid w:val="4E1C712B"/>
    <w:rsid w:val="4E1C7A36"/>
    <w:rsid w:val="4E1D1C34"/>
    <w:rsid w:val="4E1E06A4"/>
    <w:rsid w:val="4E1E2F39"/>
    <w:rsid w:val="4E1E76B5"/>
    <w:rsid w:val="4E1F09BA"/>
    <w:rsid w:val="4E201C1D"/>
    <w:rsid w:val="4E213EBD"/>
    <w:rsid w:val="4E22193F"/>
    <w:rsid w:val="4E2234FC"/>
    <w:rsid w:val="4E224389"/>
    <w:rsid w:val="4E2260BC"/>
    <w:rsid w:val="4E233B3D"/>
    <w:rsid w:val="4E2373C0"/>
    <w:rsid w:val="4E2552AD"/>
    <w:rsid w:val="4E260345"/>
    <w:rsid w:val="4E2613F3"/>
    <w:rsid w:val="4E2628EC"/>
    <w:rsid w:val="4E264AC2"/>
    <w:rsid w:val="4E2669EA"/>
    <w:rsid w:val="4E272543"/>
    <w:rsid w:val="4E275DC7"/>
    <w:rsid w:val="4E283848"/>
    <w:rsid w:val="4E287FC5"/>
    <w:rsid w:val="4E2912CA"/>
    <w:rsid w:val="4E291628"/>
    <w:rsid w:val="4E295A47"/>
    <w:rsid w:val="4E2A14DC"/>
    <w:rsid w:val="4E2A6D4B"/>
    <w:rsid w:val="4E2B0F4A"/>
    <w:rsid w:val="4E2B1EB6"/>
    <w:rsid w:val="4E2C224E"/>
    <w:rsid w:val="4E2C69CB"/>
    <w:rsid w:val="4E2E0A8D"/>
    <w:rsid w:val="4E2E4192"/>
    <w:rsid w:val="4E2E5752"/>
    <w:rsid w:val="4E2F4B6D"/>
    <w:rsid w:val="4E305B24"/>
    <w:rsid w:val="4E3162AA"/>
    <w:rsid w:val="4E331BD9"/>
    <w:rsid w:val="4E34765B"/>
    <w:rsid w:val="4E352B5E"/>
    <w:rsid w:val="4E3605DF"/>
    <w:rsid w:val="4E381440"/>
    <w:rsid w:val="4E38388D"/>
    <w:rsid w:val="4E383AE3"/>
    <w:rsid w:val="4E391564"/>
    <w:rsid w:val="4E3A6FE6"/>
    <w:rsid w:val="4E3B4A67"/>
    <w:rsid w:val="4E3C24E9"/>
    <w:rsid w:val="4E3C6544"/>
    <w:rsid w:val="4E3D70E2"/>
    <w:rsid w:val="4E3D7F6A"/>
    <w:rsid w:val="4E3F065B"/>
    <w:rsid w:val="4E3F346D"/>
    <w:rsid w:val="4E400EEF"/>
    <w:rsid w:val="4E401035"/>
    <w:rsid w:val="4E401BD4"/>
    <w:rsid w:val="4E416971"/>
    <w:rsid w:val="4E431E74"/>
    <w:rsid w:val="4E4478F5"/>
    <w:rsid w:val="4E46667C"/>
    <w:rsid w:val="4E4740FD"/>
    <w:rsid w:val="4E48737C"/>
    <w:rsid w:val="4E4A5082"/>
    <w:rsid w:val="4E4B7280"/>
    <w:rsid w:val="4E4C2783"/>
    <w:rsid w:val="4E4C4D02"/>
    <w:rsid w:val="4E4D0205"/>
    <w:rsid w:val="4E4D2BD1"/>
    <w:rsid w:val="4E4E2252"/>
    <w:rsid w:val="4E4E35AB"/>
    <w:rsid w:val="4E4E3A88"/>
    <w:rsid w:val="4E4E414A"/>
    <w:rsid w:val="4E4E5C86"/>
    <w:rsid w:val="4E4F14A5"/>
    <w:rsid w:val="4E4F1509"/>
    <w:rsid w:val="4E506F8B"/>
    <w:rsid w:val="4E514A0D"/>
    <w:rsid w:val="4E522069"/>
    <w:rsid w:val="4E537F10"/>
    <w:rsid w:val="4E543413"/>
    <w:rsid w:val="4E545991"/>
    <w:rsid w:val="4E550E94"/>
    <w:rsid w:val="4E56172D"/>
    <w:rsid w:val="4E563093"/>
    <w:rsid w:val="4E570B14"/>
    <w:rsid w:val="4E5722CC"/>
    <w:rsid w:val="4E574397"/>
    <w:rsid w:val="4E59789B"/>
    <w:rsid w:val="4E5A1A99"/>
    <w:rsid w:val="4E5A2BFD"/>
    <w:rsid w:val="4E5A531C"/>
    <w:rsid w:val="4E5C081F"/>
    <w:rsid w:val="4E5D2A1D"/>
    <w:rsid w:val="4E5E7C38"/>
    <w:rsid w:val="4E5F17A4"/>
    <w:rsid w:val="4E6039A2"/>
    <w:rsid w:val="4E607225"/>
    <w:rsid w:val="4E614CA7"/>
    <w:rsid w:val="4E6301AA"/>
    <w:rsid w:val="4E634927"/>
    <w:rsid w:val="4E6423A8"/>
    <w:rsid w:val="4E645C2C"/>
    <w:rsid w:val="4E6558AB"/>
    <w:rsid w:val="4E66332D"/>
    <w:rsid w:val="4E66521C"/>
    <w:rsid w:val="4E684632"/>
    <w:rsid w:val="4E6920B3"/>
    <w:rsid w:val="4E6942B2"/>
    <w:rsid w:val="4E6A08AC"/>
    <w:rsid w:val="4E6A73C2"/>
    <w:rsid w:val="4E6A7B35"/>
    <w:rsid w:val="4E6A7ED2"/>
    <w:rsid w:val="4E6B6615"/>
    <w:rsid w:val="4E6B77B5"/>
    <w:rsid w:val="4E6C3038"/>
    <w:rsid w:val="4E6D0ABA"/>
    <w:rsid w:val="4E6D2CB8"/>
    <w:rsid w:val="4E6E3FBD"/>
    <w:rsid w:val="4E6F3F3D"/>
    <w:rsid w:val="4E7074C0"/>
    <w:rsid w:val="4E7116BE"/>
    <w:rsid w:val="4E714F41"/>
    <w:rsid w:val="4E7229C3"/>
    <w:rsid w:val="4E726054"/>
    <w:rsid w:val="4E726A98"/>
    <w:rsid w:val="4E727140"/>
    <w:rsid w:val="4E730444"/>
    <w:rsid w:val="4E742643"/>
    <w:rsid w:val="4E745EC6"/>
    <w:rsid w:val="4E7500C4"/>
    <w:rsid w:val="4E750330"/>
    <w:rsid w:val="4E753947"/>
    <w:rsid w:val="4E7613C9"/>
    <w:rsid w:val="4E781049"/>
    <w:rsid w:val="4E782283"/>
    <w:rsid w:val="4E7848CC"/>
    <w:rsid w:val="4E79234E"/>
    <w:rsid w:val="4E796ACA"/>
    <w:rsid w:val="4E7A08D1"/>
    <w:rsid w:val="4E7A0A87"/>
    <w:rsid w:val="4E7B1FCD"/>
    <w:rsid w:val="4E7B4F3A"/>
    <w:rsid w:val="4E7B5851"/>
    <w:rsid w:val="4E7C2EBF"/>
    <w:rsid w:val="4E7C5914"/>
    <w:rsid w:val="4E7D0D54"/>
    <w:rsid w:val="4E7D2F52"/>
    <w:rsid w:val="4E7D6677"/>
    <w:rsid w:val="4E7E09D4"/>
    <w:rsid w:val="4E7E67D5"/>
    <w:rsid w:val="4E7F4257"/>
    <w:rsid w:val="4E801CD9"/>
    <w:rsid w:val="4E821B43"/>
    <w:rsid w:val="4E8251DC"/>
    <w:rsid w:val="4E8273DA"/>
    <w:rsid w:val="4E8326E2"/>
    <w:rsid w:val="4E834E5B"/>
    <w:rsid w:val="4E8406DF"/>
    <w:rsid w:val="4E84255A"/>
    <w:rsid w:val="4E85035F"/>
    <w:rsid w:val="4E853BE2"/>
    <w:rsid w:val="4E861663"/>
    <w:rsid w:val="4E8651D3"/>
    <w:rsid w:val="4E865398"/>
    <w:rsid w:val="4E875D72"/>
    <w:rsid w:val="4E884B66"/>
    <w:rsid w:val="4E886911"/>
    <w:rsid w:val="4E8925E8"/>
    <w:rsid w:val="4E8974AF"/>
    <w:rsid w:val="4E8A006A"/>
    <w:rsid w:val="4E8B5AEB"/>
    <w:rsid w:val="4E8C15C7"/>
    <w:rsid w:val="4E8C356D"/>
    <w:rsid w:val="4E8D0FEE"/>
    <w:rsid w:val="4E8D576B"/>
    <w:rsid w:val="4E8E2B40"/>
    <w:rsid w:val="4E8E31EC"/>
    <w:rsid w:val="4E8F0C6E"/>
    <w:rsid w:val="4E901F73"/>
    <w:rsid w:val="4E9066F0"/>
    <w:rsid w:val="4E914171"/>
    <w:rsid w:val="4E9179F4"/>
    <w:rsid w:val="4E925476"/>
    <w:rsid w:val="4E925632"/>
    <w:rsid w:val="4E940979"/>
    <w:rsid w:val="4E946BAA"/>
    <w:rsid w:val="4E9511D6"/>
    <w:rsid w:val="4E9563FB"/>
    <w:rsid w:val="4E971861"/>
    <w:rsid w:val="4E9718FE"/>
    <w:rsid w:val="4E974E4A"/>
    <w:rsid w:val="4E97588C"/>
    <w:rsid w:val="4E992DD9"/>
    <w:rsid w:val="4E992F9E"/>
    <w:rsid w:val="4E994E01"/>
    <w:rsid w:val="4E9A2882"/>
    <w:rsid w:val="4E9B0304"/>
    <w:rsid w:val="4E9B4517"/>
    <w:rsid w:val="4E9D5A90"/>
    <w:rsid w:val="4E9E646A"/>
    <w:rsid w:val="4E9F478C"/>
    <w:rsid w:val="4EA0220D"/>
    <w:rsid w:val="4EA079E3"/>
    <w:rsid w:val="4EA15CE9"/>
    <w:rsid w:val="4EA17C8F"/>
    <w:rsid w:val="4EA21CBF"/>
    <w:rsid w:val="4EA33192"/>
    <w:rsid w:val="4EA40C13"/>
    <w:rsid w:val="4EA414EC"/>
    <w:rsid w:val="4EA50069"/>
    <w:rsid w:val="4EA53C12"/>
    <w:rsid w:val="4EA53DD6"/>
    <w:rsid w:val="4EA647B1"/>
    <w:rsid w:val="4EA66F51"/>
    <w:rsid w:val="4EA67471"/>
    <w:rsid w:val="4EA71B98"/>
    <w:rsid w:val="4EA85D29"/>
    <w:rsid w:val="4EA968C8"/>
    <w:rsid w:val="4EAB0005"/>
    <w:rsid w:val="4EAB059E"/>
    <w:rsid w:val="4EAC6020"/>
    <w:rsid w:val="4EAD3AA1"/>
    <w:rsid w:val="4EAE1523"/>
    <w:rsid w:val="4EAE2AF7"/>
    <w:rsid w:val="4EAE4DA6"/>
    <w:rsid w:val="4EAF3696"/>
    <w:rsid w:val="4EB002A9"/>
    <w:rsid w:val="4EB15D2B"/>
    <w:rsid w:val="4EB237AC"/>
    <w:rsid w:val="4EB257AD"/>
    <w:rsid w:val="4EB27F29"/>
    <w:rsid w:val="4EB32BB1"/>
    <w:rsid w:val="4EB359AB"/>
    <w:rsid w:val="4EB41FBA"/>
    <w:rsid w:val="4EB424DB"/>
    <w:rsid w:val="4EB46CAF"/>
    <w:rsid w:val="4EB50EAE"/>
    <w:rsid w:val="4EB5692F"/>
    <w:rsid w:val="4EB57700"/>
    <w:rsid w:val="4EB643B1"/>
    <w:rsid w:val="4EB77C34"/>
    <w:rsid w:val="4EB819DC"/>
    <w:rsid w:val="4EB856B6"/>
    <w:rsid w:val="4EBA0BB9"/>
    <w:rsid w:val="4EBA2DB7"/>
    <w:rsid w:val="4EBB0839"/>
    <w:rsid w:val="4EBB663A"/>
    <w:rsid w:val="4EBC430A"/>
    <w:rsid w:val="4EBC44CE"/>
    <w:rsid w:val="4EBD1B3D"/>
    <w:rsid w:val="4EBD75BF"/>
    <w:rsid w:val="4EBE17BD"/>
    <w:rsid w:val="4EBE5040"/>
    <w:rsid w:val="4EBF2AC2"/>
    <w:rsid w:val="4EBF6FC0"/>
    <w:rsid w:val="4EC00544"/>
    <w:rsid w:val="4EC00FAD"/>
    <w:rsid w:val="4EC04CC0"/>
    <w:rsid w:val="4EC106FD"/>
    <w:rsid w:val="4EC12742"/>
    <w:rsid w:val="4EC201C3"/>
    <w:rsid w:val="4EC314C8"/>
    <w:rsid w:val="4EC3367F"/>
    <w:rsid w:val="4EC339EA"/>
    <w:rsid w:val="4EC33F0B"/>
    <w:rsid w:val="4EC37150"/>
    <w:rsid w:val="4EC51148"/>
    <w:rsid w:val="4EC549CB"/>
    <w:rsid w:val="4EC6244D"/>
    <w:rsid w:val="4EC77ECE"/>
    <w:rsid w:val="4EC820CD"/>
    <w:rsid w:val="4EC933D2"/>
    <w:rsid w:val="4ECA0E53"/>
    <w:rsid w:val="4ECA55D0"/>
    <w:rsid w:val="4ECB3051"/>
    <w:rsid w:val="4ECB68D5"/>
    <w:rsid w:val="4ECB7DF8"/>
    <w:rsid w:val="4ECC4356"/>
    <w:rsid w:val="4ECD1DD8"/>
    <w:rsid w:val="4ECE20D4"/>
    <w:rsid w:val="4ECE3FD6"/>
    <w:rsid w:val="4ECE7859"/>
    <w:rsid w:val="4ECF0762"/>
    <w:rsid w:val="4ECF52DB"/>
    <w:rsid w:val="4ECF74D9"/>
    <w:rsid w:val="4ED02D5C"/>
    <w:rsid w:val="4ED0364D"/>
    <w:rsid w:val="4ED04F5B"/>
    <w:rsid w:val="4ED107DE"/>
    <w:rsid w:val="4ED129DC"/>
    <w:rsid w:val="4ED2045E"/>
    <w:rsid w:val="4ED25E5C"/>
    <w:rsid w:val="4ED2625F"/>
    <w:rsid w:val="4ED355A0"/>
    <w:rsid w:val="4ED35EDF"/>
    <w:rsid w:val="4ED43961"/>
    <w:rsid w:val="4ED513E2"/>
    <w:rsid w:val="4ED56CDE"/>
    <w:rsid w:val="4ED6787C"/>
    <w:rsid w:val="4ED70169"/>
    <w:rsid w:val="4ED7041B"/>
    <w:rsid w:val="4ED80DF5"/>
    <w:rsid w:val="4ED813BC"/>
    <w:rsid w:val="4ED817CF"/>
    <w:rsid w:val="4ED82367"/>
    <w:rsid w:val="4ED9236E"/>
    <w:rsid w:val="4ED9366C"/>
    <w:rsid w:val="4ED97DE9"/>
    <w:rsid w:val="4EDA2BB2"/>
    <w:rsid w:val="4EDA2D48"/>
    <w:rsid w:val="4EDB32EC"/>
    <w:rsid w:val="4EDD2072"/>
    <w:rsid w:val="4EDD4E60"/>
    <w:rsid w:val="4EDE26B3"/>
    <w:rsid w:val="4EDE5BC3"/>
    <w:rsid w:val="4EDE7AF4"/>
    <w:rsid w:val="4EDF1751"/>
    <w:rsid w:val="4EDF1CF2"/>
    <w:rsid w:val="4EDF5575"/>
    <w:rsid w:val="4EE00118"/>
    <w:rsid w:val="4EE02FF7"/>
    <w:rsid w:val="4EE07773"/>
    <w:rsid w:val="4EE10A78"/>
    <w:rsid w:val="4EE22C77"/>
    <w:rsid w:val="4EE264FA"/>
    <w:rsid w:val="4EE306F8"/>
    <w:rsid w:val="4EE33F7B"/>
    <w:rsid w:val="4EE4617A"/>
    <w:rsid w:val="4EE52608"/>
    <w:rsid w:val="4EE53BFB"/>
    <w:rsid w:val="4EE5747E"/>
    <w:rsid w:val="4EE6167D"/>
    <w:rsid w:val="4EE74B80"/>
    <w:rsid w:val="4EE80403"/>
    <w:rsid w:val="4EE82601"/>
    <w:rsid w:val="4EE90083"/>
    <w:rsid w:val="4EE97C41"/>
    <w:rsid w:val="4EEA3906"/>
    <w:rsid w:val="4EEB1388"/>
    <w:rsid w:val="4EEB3586"/>
    <w:rsid w:val="4EEC1008"/>
    <w:rsid w:val="4EED488B"/>
    <w:rsid w:val="4EED6A89"/>
    <w:rsid w:val="4EEE34EC"/>
    <w:rsid w:val="4EEE450B"/>
    <w:rsid w:val="4EEE7D8E"/>
    <w:rsid w:val="4EEF1E97"/>
    <w:rsid w:val="4EEF1EC7"/>
    <w:rsid w:val="4EEF1F8C"/>
    <w:rsid w:val="4EEF5810"/>
    <w:rsid w:val="4EF02C2A"/>
    <w:rsid w:val="4EF03291"/>
    <w:rsid w:val="4EF10D13"/>
    <w:rsid w:val="4EF26794"/>
    <w:rsid w:val="4EF30992"/>
    <w:rsid w:val="4EF34216"/>
    <w:rsid w:val="4EF41C97"/>
    <w:rsid w:val="4EF53E96"/>
    <w:rsid w:val="4EF56E5A"/>
    <w:rsid w:val="4EF6519A"/>
    <w:rsid w:val="4EF72C1C"/>
    <w:rsid w:val="4EF8069D"/>
    <w:rsid w:val="4EF80DAD"/>
    <w:rsid w:val="4EF8560E"/>
    <w:rsid w:val="4EFB1622"/>
    <w:rsid w:val="4EFC3A63"/>
    <w:rsid w:val="4EFE25A7"/>
    <w:rsid w:val="4F005AAA"/>
    <w:rsid w:val="4F01352B"/>
    <w:rsid w:val="4F0170F3"/>
    <w:rsid w:val="4F020FAD"/>
    <w:rsid w:val="4F027ACE"/>
    <w:rsid w:val="4F031046"/>
    <w:rsid w:val="4F03120B"/>
    <w:rsid w:val="4F052784"/>
    <w:rsid w:val="4F065435"/>
    <w:rsid w:val="4F0679B3"/>
    <w:rsid w:val="4F072EB6"/>
    <w:rsid w:val="4F080938"/>
    <w:rsid w:val="4F0963B9"/>
    <w:rsid w:val="4F0A3E3B"/>
    <w:rsid w:val="4F0B18BC"/>
    <w:rsid w:val="4F0E0ACA"/>
    <w:rsid w:val="4F0E2841"/>
    <w:rsid w:val="4F0E4337"/>
    <w:rsid w:val="4F0F02C3"/>
    <w:rsid w:val="4F121247"/>
    <w:rsid w:val="4F13254C"/>
    <w:rsid w:val="4F136CC9"/>
    <w:rsid w:val="4F156272"/>
    <w:rsid w:val="4F1634D1"/>
    <w:rsid w:val="4F167C4E"/>
    <w:rsid w:val="4F183151"/>
    <w:rsid w:val="4F1869D4"/>
    <w:rsid w:val="4F190BD2"/>
    <w:rsid w:val="4F192FEF"/>
    <w:rsid w:val="4F194B09"/>
    <w:rsid w:val="4F1A1ED7"/>
    <w:rsid w:val="4F1A2EB8"/>
    <w:rsid w:val="4F1B40D5"/>
    <w:rsid w:val="4F1C1B57"/>
    <w:rsid w:val="4F1C3A1A"/>
    <w:rsid w:val="4F1C53DA"/>
    <w:rsid w:val="4F1D2E5C"/>
    <w:rsid w:val="4F1D7972"/>
    <w:rsid w:val="4F1E08DD"/>
    <w:rsid w:val="4F1E4F93"/>
    <w:rsid w:val="4F1E505A"/>
    <w:rsid w:val="4F1F00B4"/>
    <w:rsid w:val="4F1F596D"/>
    <w:rsid w:val="4F1F5B32"/>
    <w:rsid w:val="4F1F635F"/>
    <w:rsid w:val="4F205FDF"/>
    <w:rsid w:val="4F213A60"/>
    <w:rsid w:val="4F2214E2"/>
    <w:rsid w:val="4F230624"/>
    <w:rsid w:val="4F234D65"/>
    <w:rsid w:val="4F252466"/>
    <w:rsid w:val="4F26376B"/>
    <w:rsid w:val="4F2833EB"/>
    <w:rsid w:val="4F283CB4"/>
    <w:rsid w:val="4F286C6E"/>
    <w:rsid w:val="4F290E6D"/>
    <w:rsid w:val="4F2946F0"/>
    <w:rsid w:val="4F2A2171"/>
    <w:rsid w:val="4F2A5F90"/>
    <w:rsid w:val="4F2B5DCC"/>
    <w:rsid w:val="4F2D00A8"/>
    <w:rsid w:val="4F2D30F6"/>
    <w:rsid w:val="4F2E0B78"/>
    <w:rsid w:val="4F2E52F4"/>
    <w:rsid w:val="4F2F1620"/>
    <w:rsid w:val="4F2F1991"/>
    <w:rsid w:val="4F2F2D76"/>
    <w:rsid w:val="4F2F65F9"/>
    <w:rsid w:val="4F3007F7"/>
    <w:rsid w:val="4F306EDD"/>
    <w:rsid w:val="4F316279"/>
    <w:rsid w:val="4F32757E"/>
    <w:rsid w:val="4F3342D7"/>
    <w:rsid w:val="4F35568B"/>
    <w:rsid w:val="4F360182"/>
    <w:rsid w:val="4F362701"/>
    <w:rsid w:val="4F365F84"/>
    <w:rsid w:val="4F373A05"/>
    <w:rsid w:val="4F383685"/>
    <w:rsid w:val="4F3877A3"/>
    <w:rsid w:val="4F391107"/>
    <w:rsid w:val="4F396F09"/>
    <w:rsid w:val="4F3A6B88"/>
    <w:rsid w:val="4F3B460A"/>
    <w:rsid w:val="4F3D590F"/>
    <w:rsid w:val="4F3E0E12"/>
    <w:rsid w:val="4F3E3390"/>
    <w:rsid w:val="4F3E558F"/>
    <w:rsid w:val="4F3F6893"/>
    <w:rsid w:val="4F400A92"/>
    <w:rsid w:val="4F411D97"/>
    <w:rsid w:val="4F416513"/>
    <w:rsid w:val="4F437C01"/>
    <w:rsid w:val="4F4420B0"/>
    <w:rsid w:val="4F45079D"/>
    <w:rsid w:val="4F454F19"/>
    <w:rsid w:val="4F460C2D"/>
    <w:rsid w:val="4F461B54"/>
    <w:rsid w:val="4F47041D"/>
    <w:rsid w:val="4F473CA0"/>
    <w:rsid w:val="4F485E9E"/>
    <w:rsid w:val="4F493920"/>
    <w:rsid w:val="4F493C9D"/>
    <w:rsid w:val="4F49480A"/>
    <w:rsid w:val="4F4A13A1"/>
    <w:rsid w:val="4F4A4C24"/>
    <w:rsid w:val="4F4B26A6"/>
    <w:rsid w:val="4F4C0128"/>
    <w:rsid w:val="4F4D2326"/>
    <w:rsid w:val="4F4D5BA9"/>
    <w:rsid w:val="4F4E7DA7"/>
    <w:rsid w:val="4F4F32AA"/>
    <w:rsid w:val="4F4F5829"/>
    <w:rsid w:val="4F500D2C"/>
    <w:rsid w:val="4F506B2E"/>
    <w:rsid w:val="4F511FB2"/>
    <w:rsid w:val="4F512177"/>
    <w:rsid w:val="4F522031"/>
    <w:rsid w:val="4F52422F"/>
    <w:rsid w:val="4F52563A"/>
    <w:rsid w:val="4F531CB1"/>
    <w:rsid w:val="4F5336EF"/>
    <w:rsid w:val="4F537AB2"/>
    <w:rsid w:val="4F5435BF"/>
    <w:rsid w:val="4F545534"/>
    <w:rsid w:val="4F552FB6"/>
    <w:rsid w:val="4F556BB7"/>
    <w:rsid w:val="4F560A37"/>
    <w:rsid w:val="4F5706B7"/>
    <w:rsid w:val="4F573F3A"/>
    <w:rsid w:val="4F5764B9"/>
    <w:rsid w:val="4F5819BC"/>
    <w:rsid w:val="4F586138"/>
    <w:rsid w:val="4F58775A"/>
    <w:rsid w:val="4F593BBA"/>
    <w:rsid w:val="4F5A0E97"/>
    <w:rsid w:val="4F5A163C"/>
    <w:rsid w:val="4F5A4EBF"/>
    <w:rsid w:val="4F5B1872"/>
    <w:rsid w:val="4F5B2940"/>
    <w:rsid w:val="4F5B70BD"/>
    <w:rsid w:val="4F5C4B3F"/>
    <w:rsid w:val="4F5D25C0"/>
    <w:rsid w:val="4F5E0042"/>
    <w:rsid w:val="4F5E38C5"/>
    <w:rsid w:val="4F5F1347"/>
    <w:rsid w:val="4F5F5AC3"/>
    <w:rsid w:val="4F604B42"/>
    <w:rsid w:val="4F604F02"/>
    <w:rsid w:val="4F6050C6"/>
    <w:rsid w:val="4F61663F"/>
    <w:rsid w:val="4F617740"/>
    <w:rsid w:val="4F625F52"/>
    <w:rsid w:val="4F637D4D"/>
    <w:rsid w:val="4F660CD1"/>
    <w:rsid w:val="4F6726AA"/>
    <w:rsid w:val="4F676753"/>
    <w:rsid w:val="4F6841D5"/>
    <w:rsid w:val="4F691C56"/>
    <w:rsid w:val="4F693DE7"/>
    <w:rsid w:val="4F6A76D8"/>
    <w:rsid w:val="4F6C2BDB"/>
    <w:rsid w:val="4F6E60DE"/>
    <w:rsid w:val="4F6E763C"/>
    <w:rsid w:val="4F6F15E1"/>
    <w:rsid w:val="4F7014DC"/>
    <w:rsid w:val="4F707062"/>
    <w:rsid w:val="4F710059"/>
    <w:rsid w:val="4F711F6A"/>
    <w:rsid w:val="4F722566"/>
    <w:rsid w:val="4F723821"/>
    <w:rsid w:val="4F744081"/>
    <w:rsid w:val="4F760F6C"/>
    <w:rsid w:val="4F7657BE"/>
    <w:rsid w:val="4F776199"/>
    <w:rsid w:val="4F795774"/>
    <w:rsid w:val="4F7A0475"/>
    <w:rsid w:val="4F7A31F5"/>
    <w:rsid w:val="4F7A7972"/>
    <w:rsid w:val="4F7B0C77"/>
    <w:rsid w:val="4F7B53F3"/>
    <w:rsid w:val="4F7C2E75"/>
    <w:rsid w:val="4F7C66F8"/>
    <w:rsid w:val="4F7D08F7"/>
    <w:rsid w:val="4F7D417A"/>
    <w:rsid w:val="4F7D7B82"/>
    <w:rsid w:val="4F7E1566"/>
    <w:rsid w:val="4F7E3B05"/>
    <w:rsid w:val="4F7E6378"/>
    <w:rsid w:val="4F7F2918"/>
    <w:rsid w:val="4F7F29EB"/>
    <w:rsid w:val="4F7F342D"/>
    <w:rsid w:val="4F7F3DFA"/>
    <w:rsid w:val="4F7F44DF"/>
    <w:rsid w:val="4F7F767D"/>
    <w:rsid w:val="4F812B80"/>
    <w:rsid w:val="4F8172FD"/>
    <w:rsid w:val="4F8211C4"/>
    <w:rsid w:val="4F824D7E"/>
    <w:rsid w:val="4F836083"/>
    <w:rsid w:val="4F843B05"/>
    <w:rsid w:val="4F851586"/>
    <w:rsid w:val="4F855D03"/>
    <w:rsid w:val="4F8610E9"/>
    <w:rsid w:val="4F863785"/>
    <w:rsid w:val="4F871206"/>
    <w:rsid w:val="4F871C87"/>
    <w:rsid w:val="4F884709"/>
    <w:rsid w:val="4F89218B"/>
    <w:rsid w:val="4F897F8C"/>
    <w:rsid w:val="4F8A3D9F"/>
    <w:rsid w:val="4F8A7C0C"/>
    <w:rsid w:val="4F8B4779"/>
    <w:rsid w:val="4F8B5318"/>
    <w:rsid w:val="4F8C664C"/>
    <w:rsid w:val="4F8D0B91"/>
    <w:rsid w:val="4F8E4414"/>
    <w:rsid w:val="4F8E493C"/>
    <w:rsid w:val="4F8E6612"/>
    <w:rsid w:val="4F8F1E96"/>
    <w:rsid w:val="4F905399"/>
    <w:rsid w:val="4F911547"/>
    <w:rsid w:val="4F92089C"/>
    <w:rsid w:val="4F925019"/>
    <w:rsid w:val="4F932A9A"/>
    <w:rsid w:val="4F94051C"/>
    <w:rsid w:val="4F951821"/>
    <w:rsid w:val="4F963A1F"/>
    <w:rsid w:val="4F974D24"/>
    <w:rsid w:val="4F975776"/>
    <w:rsid w:val="4F9843DC"/>
    <w:rsid w:val="4F984C1B"/>
    <w:rsid w:val="4F986150"/>
    <w:rsid w:val="4F986314"/>
    <w:rsid w:val="4F986F22"/>
    <w:rsid w:val="4F98760D"/>
    <w:rsid w:val="4F990227"/>
    <w:rsid w:val="4F9A0268"/>
    <w:rsid w:val="4F9A042C"/>
    <w:rsid w:val="4F9A2425"/>
    <w:rsid w:val="4F9B0FCB"/>
    <w:rsid w:val="4F9B372A"/>
    <w:rsid w:val="4F9C11AB"/>
    <w:rsid w:val="4F9C5928"/>
    <w:rsid w:val="4F9D33AA"/>
    <w:rsid w:val="4F9D66D8"/>
    <w:rsid w:val="4F9D6BF9"/>
    <w:rsid w:val="4F9D6C2D"/>
    <w:rsid w:val="4F9E46AF"/>
    <w:rsid w:val="4F9F2130"/>
    <w:rsid w:val="4F9F432E"/>
    <w:rsid w:val="4F9F68AD"/>
    <w:rsid w:val="4FA07BB2"/>
    <w:rsid w:val="4FA15633"/>
    <w:rsid w:val="4FA17831"/>
    <w:rsid w:val="4FA230B5"/>
    <w:rsid w:val="4FA252B3"/>
    <w:rsid w:val="4FA30B36"/>
    <w:rsid w:val="4FA36773"/>
    <w:rsid w:val="4FA54039"/>
    <w:rsid w:val="4FA56238"/>
    <w:rsid w:val="4FA57B27"/>
    <w:rsid w:val="4FA61264"/>
    <w:rsid w:val="4FA63CB9"/>
    <w:rsid w:val="4FA829A2"/>
    <w:rsid w:val="4FA931B8"/>
    <w:rsid w:val="4FA94C3E"/>
    <w:rsid w:val="4FAA26BF"/>
    <w:rsid w:val="4FAA2859"/>
    <w:rsid w:val="4FAA3D56"/>
    <w:rsid w:val="4FAA3F1B"/>
    <w:rsid w:val="4FAA5F43"/>
    <w:rsid w:val="4FAB39C4"/>
    <w:rsid w:val="4FAC5BC3"/>
    <w:rsid w:val="4FAD3644"/>
    <w:rsid w:val="4FAE31CC"/>
    <w:rsid w:val="4FAE4949"/>
    <w:rsid w:val="4FAE6471"/>
    <w:rsid w:val="4FAF23CA"/>
    <w:rsid w:val="4FAF6B47"/>
    <w:rsid w:val="4FB0014A"/>
    <w:rsid w:val="4FB045C9"/>
    <w:rsid w:val="4FB07E4C"/>
    <w:rsid w:val="4FB214FE"/>
    <w:rsid w:val="4FB216C3"/>
    <w:rsid w:val="4FB42FCF"/>
    <w:rsid w:val="4FB46852"/>
    <w:rsid w:val="4FB50A50"/>
    <w:rsid w:val="4FB61D55"/>
    <w:rsid w:val="4FB73F54"/>
    <w:rsid w:val="4FB758F2"/>
    <w:rsid w:val="4FB777D7"/>
    <w:rsid w:val="4FB85557"/>
    <w:rsid w:val="4FB858C2"/>
    <w:rsid w:val="4FB92CDA"/>
    <w:rsid w:val="4FB940D4"/>
    <w:rsid w:val="4FB945F5"/>
    <w:rsid w:val="4FB94960"/>
    <w:rsid w:val="4FB94ED8"/>
    <w:rsid w:val="4FBA075B"/>
    <w:rsid w:val="4FBA295A"/>
    <w:rsid w:val="4FBB03DB"/>
    <w:rsid w:val="4FBB5D95"/>
    <w:rsid w:val="4FBB61DD"/>
    <w:rsid w:val="4FBC3C5F"/>
    <w:rsid w:val="4FBC5E5D"/>
    <w:rsid w:val="4FBE1360"/>
    <w:rsid w:val="4FBF253E"/>
    <w:rsid w:val="4FC04863"/>
    <w:rsid w:val="4FC122E5"/>
    <w:rsid w:val="4FC14613"/>
    <w:rsid w:val="4FC15B68"/>
    <w:rsid w:val="4FC235E9"/>
    <w:rsid w:val="4FC3106B"/>
    <w:rsid w:val="4FC357E8"/>
    <w:rsid w:val="4FC43269"/>
    <w:rsid w:val="4FC46AED"/>
    <w:rsid w:val="4FC50CEB"/>
    <w:rsid w:val="4FC6067D"/>
    <w:rsid w:val="4FC62A8C"/>
    <w:rsid w:val="4FC854F3"/>
    <w:rsid w:val="4FC868B1"/>
    <w:rsid w:val="4FC92F74"/>
    <w:rsid w:val="4FCB4F2B"/>
    <w:rsid w:val="4FCE3A09"/>
    <w:rsid w:val="4FCE5E25"/>
    <w:rsid w:val="4FCE5FEA"/>
    <w:rsid w:val="4FCE6B88"/>
    <w:rsid w:val="4FCE73FC"/>
    <w:rsid w:val="4FCF4E7E"/>
    <w:rsid w:val="4FCF7562"/>
    <w:rsid w:val="4FD00101"/>
    <w:rsid w:val="4FD07F3D"/>
    <w:rsid w:val="4FD41305"/>
    <w:rsid w:val="4FD51ACF"/>
    <w:rsid w:val="4FD60B6D"/>
    <w:rsid w:val="4FD60ED8"/>
    <w:rsid w:val="4FD7228A"/>
    <w:rsid w:val="4FD74D0A"/>
    <w:rsid w:val="4FD77DC0"/>
    <w:rsid w:val="4FD856E5"/>
    <w:rsid w:val="4FD8578D"/>
    <w:rsid w:val="4FD87D0C"/>
    <w:rsid w:val="4FDB6712"/>
    <w:rsid w:val="4FDC4193"/>
    <w:rsid w:val="4FDD1AD8"/>
    <w:rsid w:val="4FDD1C15"/>
    <w:rsid w:val="4FDE7696"/>
    <w:rsid w:val="4FDF3051"/>
    <w:rsid w:val="4FE0099B"/>
    <w:rsid w:val="4FE1061B"/>
    <w:rsid w:val="4FE13E9E"/>
    <w:rsid w:val="4FE20F0D"/>
    <w:rsid w:val="4FE21920"/>
    <w:rsid w:val="4FE415A0"/>
    <w:rsid w:val="4FE43BD6"/>
    <w:rsid w:val="4FE4651D"/>
    <w:rsid w:val="4FE51552"/>
    <w:rsid w:val="4FE53195"/>
    <w:rsid w:val="4FE57021"/>
    <w:rsid w:val="4FE60326"/>
    <w:rsid w:val="4FE62232"/>
    <w:rsid w:val="4FE64AA3"/>
    <w:rsid w:val="4FE707F9"/>
    <w:rsid w:val="4FE811D3"/>
    <w:rsid w:val="4FE87FA6"/>
    <w:rsid w:val="4FE912AB"/>
    <w:rsid w:val="4FEA274C"/>
    <w:rsid w:val="4FEA2911"/>
    <w:rsid w:val="4FEA34A9"/>
    <w:rsid w:val="4FEA6D2C"/>
    <w:rsid w:val="4FEB0F2B"/>
    <w:rsid w:val="4FEB47AE"/>
    <w:rsid w:val="4FEC222F"/>
    <w:rsid w:val="4FEC4864"/>
    <w:rsid w:val="4FEC4A28"/>
    <w:rsid w:val="4FED442E"/>
    <w:rsid w:val="4FED7CB1"/>
    <w:rsid w:val="4FEE1EAF"/>
    <w:rsid w:val="4FEF31B4"/>
    <w:rsid w:val="4FEF6B40"/>
    <w:rsid w:val="4FF02E34"/>
    <w:rsid w:val="4FF0751A"/>
    <w:rsid w:val="4FF108B5"/>
    <w:rsid w:val="4FF17EF4"/>
    <w:rsid w:val="4FF24139"/>
    <w:rsid w:val="4FF26337"/>
    <w:rsid w:val="4FF33DB8"/>
    <w:rsid w:val="4FF36048"/>
    <w:rsid w:val="4FF52BAA"/>
    <w:rsid w:val="4FF550BD"/>
    <w:rsid w:val="4FF572BC"/>
    <w:rsid w:val="4FF705C0"/>
    <w:rsid w:val="4FF727BF"/>
    <w:rsid w:val="4FF80240"/>
    <w:rsid w:val="4FF83AC3"/>
    <w:rsid w:val="4FF91545"/>
    <w:rsid w:val="4FFB11C5"/>
    <w:rsid w:val="4FFC0517"/>
    <w:rsid w:val="4FFC24CA"/>
    <w:rsid w:val="4FFC6C46"/>
    <w:rsid w:val="4FFD46C8"/>
    <w:rsid w:val="4FFE214A"/>
    <w:rsid w:val="4FFE59CD"/>
    <w:rsid w:val="4FFF344E"/>
    <w:rsid w:val="4FFF6735"/>
    <w:rsid w:val="50000ED0"/>
    <w:rsid w:val="50010D46"/>
    <w:rsid w:val="50016951"/>
    <w:rsid w:val="50020B50"/>
    <w:rsid w:val="50027A78"/>
    <w:rsid w:val="500371EC"/>
    <w:rsid w:val="50045AFA"/>
    <w:rsid w:val="500478D6"/>
    <w:rsid w:val="50051AD4"/>
    <w:rsid w:val="50055358"/>
    <w:rsid w:val="50062DD9"/>
    <w:rsid w:val="50067073"/>
    <w:rsid w:val="50067238"/>
    <w:rsid w:val="50067556"/>
    <w:rsid w:val="50067DD6"/>
    <w:rsid w:val="50074FD7"/>
    <w:rsid w:val="500804DB"/>
    <w:rsid w:val="5008118B"/>
    <w:rsid w:val="50082A59"/>
    <w:rsid w:val="500862DC"/>
    <w:rsid w:val="50091D29"/>
    <w:rsid w:val="500A17DF"/>
    <w:rsid w:val="500A28C8"/>
    <w:rsid w:val="500B7261"/>
    <w:rsid w:val="500C4CE2"/>
    <w:rsid w:val="500C6EE1"/>
    <w:rsid w:val="500D4962"/>
    <w:rsid w:val="5010116A"/>
    <w:rsid w:val="501025C1"/>
    <w:rsid w:val="501036E9"/>
    <w:rsid w:val="501058E7"/>
    <w:rsid w:val="5011165E"/>
    <w:rsid w:val="50120DEA"/>
    <w:rsid w:val="5012466D"/>
    <w:rsid w:val="50130C0F"/>
    <w:rsid w:val="501320EF"/>
    <w:rsid w:val="501442ED"/>
    <w:rsid w:val="50147B70"/>
    <w:rsid w:val="50152B62"/>
    <w:rsid w:val="501555F2"/>
    <w:rsid w:val="50163074"/>
    <w:rsid w:val="501677F0"/>
    <w:rsid w:val="501740DB"/>
    <w:rsid w:val="50175272"/>
    <w:rsid w:val="50182CF3"/>
    <w:rsid w:val="50190775"/>
    <w:rsid w:val="50193FF8"/>
    <w:rsid w:val="501A1A7A"/>
    <w:rsid w:val="501A63B7"/>
    <w:rsid w:val="501B3C78"/>
    <w:rsid w:val="501B6F55"/>
    <w:rsid w:val="501B74FB"/>
    <w:rsid w:val="501C16FA"/>
    <w:rsid w:val="501C4F7D"/>
    <w:rsid w:val="501D29FE"/>
    <w:rsid w:val="501E0480"/>
    <w:rsid w:val="501F267E"/>
    <w:rsid w:val="501F487D"/>
    <w:rsid w:val="502033FA"/>
    <w:rsid w:val="502035AF"/>
    <w:rsid w:val="50203983"/>
    <w:rsid w:val="50211405"/>
    <w:rsid w:val="50226E86"/>
    <w:rsid w:val="502350D7"/>
    <w:rsid w:val="50236B06"/>
    <w:rsid w:val="50242389"/>
    <w:rsid w:val="50242AD2"/>
    <w:rsid w:val="50244588"/>
    <w:rsid w:val="50256650"/>
    <w:rsid w:val="5026588C"/>
    <w:rsid w:val="50267A8B"/>
    <w:rsid w:val="5027550C"/>
    <w:rsid w:val="50280768"/>
    <w:rsid w:val="50282F8E"/>
    <w:rsid w:val="50290A0F"/>
    <w:rsid w:val="50294293"/>
    <w:rsid w:val="502A1D14"/>
    <w:rsid w:val="502A6491"/>
    <w:rsid w:val="502B6356"/>
    <w:rsid w:val="502B7796"/>
    <w:rsid w:val="502C341E"/>
    <w:rsid w:val="502D3DF8"/>
    <w:rsid w:val="502E071A"/>
    <w:rsid w:val="502F60D4"/>
    <w:rsid w:val="502F619C"/>
    <w:rsid w:val="5031169F"/>
    <w:rsid w:val="50317489"/>
    <w:rsid w:val="503201EC"/>
    <w:rsid w:val="50327120"/>
    <w:rsid w:val="50330BC6"/>
    <w:rsid w:val="50334BA2"/>
    <w:rsid w:val="5033554C"/>
    <w:rsid w:val="50341765"/>
    <w:rsid w:val="50342624"/>
    <w:rsid w:val="50362B19"/>
    <w:rsid w:val="50365B27"/>
    <w:rsid w:val="5038102A"/>
    <w:rsid w:val="50384256"/>
    <w:rsid w:val="503A452D"/>
    <w:rsid w:val="503B1FAE"/>
    <w:rsid w:val="503B242E"/>
    <w:rsid w:val="503B636E"/>
    <w:rsid w:val="503C6D48"/>
    <w:rsid w:val="503C7A30"/>
    <w:rsid w:val="503D54B2"/>
    <w:rsid w:val="503E02C1"/>
    <w:rsid w:val="503E2F33"/>
    <w:rsid w:val="50406436"/>
    <w:rsid w:val="50412F77"/>
    <w:rsid w:val="50413EB8"/>
    <w:rsid w:val="50423B16"/>
    <w:rsid w:val="504273BB"/>
    <w:rsid w:val="504344F0"/>
    <w:rsid w:val="504346B5"/>
    <w:rsid w:val="50434E3C"/>
    <w:rsid w:val="504428BE"/>
    <w:rsid w:val="504440A0"/>
    <w:rsid w:val="5045033F"/>
    <w:rsid w:val="50456141"/>
    <w:rsid w:val="5046031B"/>
    <w:rsid w:val="50463BC3"/>
    <w:rsid w:val="50465DC1"/>
    <w:rsid w:val="50466608"/>
    <w:rsid w:val="504667CC"/>
    <w:rsid w:val="50471644"/>
    <w:rsid w:val="50473843"/>
    <w:rsid w:val="504812C4"/>
    <w:rsid w:val="50484B47"/>
    <w:rsid w:val="504870C6"/>
    <w:rsid w:val="5049071F"/>
    <w:rsid w:val="504925C9"/>
    <w:rsid w:val="50496D46"/>
    <w:rsid w:val="504A004A"/>
    <w:rsid w:val="504A4014"/>
    <w:rsid w:val="504A47C7"/>
    <w:rsid w:val="504B2249"/>
    <w:rsid w:val="504B5ACC"/>
    <w:rsid w:val="504C354E"/>
    <w:rsid w:val="504D3DB0"/>
    <w:rsid w:val="504D3F74"/>
    <w:rsid w:val="504D574C"/>
    <w:rsid w:val="504E31CD"/>
    <w:rsid w:val="504E6A51"/>
    <w:rsid w:val="504F44D2"/>
    <w:rsid w:val="50504C4B"/>
    <w:rsid w:val="50505EC7"/>
    <w:rsid w:val="5050608C"/>
    <w:rsid w:val="505072AB"/>
    <w:rsid w:val="50514152"/>
    <w:rsid w:val="505179D5"/>
    <w:rsid w:val="50525457"/>
    <w:rsid w:val="50537655"/>
    <w:rsid w:val="5054095A"/>
    <w:rsid w:val="505450D7"/>
    <w:rsid w:val="505475F5"/>
    <w:rsid w:val="505563DC"/>
    <w:rsid w:val="505620F6"/>
    <w:rsid w:val="50563E5D"/>
    <w:rsid w:val="5057605B"/>
    <w:rsid w:val="50586D12"/>
    <w:rsid w:val="5058707D"/>
    <w:rsid w:val="50587360"/>
    <w:rsid w:val="5059155E"/>
    <w:rsid w:val="50594DE2"/>
    <w:rsid w:val="50595DB0"/>
    <w:rsid w:val="505962D0"/>
    <w:rsid w:val="50596FE0"/>
    <w:rsid w:val="505A2863"/>
    <w:rsid w:val="505A4A62"/>
    <w:rsid w:val="505A4AE2"/>
    <w:rsid w:val="505B02E5"/>
    <w:rsid w:val="505C7F65"/>
    <w:rsid w:val="505D37E8"/>
    <w:rsid w:val="505D59E6"/>
    <w:rsid w:val="505D789E"/>
    <w:rsid w:val="505E1269"/>
    <w:rsid w:val="505F61C2"/>
    <w:rsid w:val="50601B7A"/>
    <w:rsid w:val="5060476D"/>
    <w:rsid w:val="506121EE"/>
    <w:rsid w:val="50617C70"/>
    <w:rsid w:val="50633ACD"/>
    <w:rsid w:val="50652DF3"/>
    <w:rsid w:val="50656676"/>
    <w:rsid w:val="506640F7"/>
    <w:rsid w:val="50670742"/>
    <w:rsid w:val="50670C63"/>
    <w:rsid w:val="506720D3"/>
    <w:rsid w:val="5067715E"/>
    <w:rsid w:val="50680222"/>
    <w:rsid w:val="506875FB"/>
    <w:rsid w:val="506917F9"/>
    <w:rsid w:val="5069507C"/>
    <w:rsid w:val="506B057F"/>
    <w:rsid w:val="506B4CFC"/>
    <w:rsid w:val="506C277D"/>
    <w:rsid w:val="506C27EE"/>
    <w:rsid w:val="506C29B3"/>
    <w:rsid w:val="506E1504"/>
    <w:rsid w:val="506E5C81"/>
    <w:rsid w:val="506F3702"/>
    <w:rsid w:val="50701184"/>
    <w:rsid w:val="50712488"/>
    <w:rsid w:val="50722108"/>
    <w:rsid w:val="50726A1D"/>
    <w:rsid w:val="50727F0A"/>
    <w:rsid w:val="5073598C"/>
    <w:rsid w:val="50737B8A"/>
    <w:rsid w:val="50740B35"/>
    <w:rsid w:val="5074340D"/>
    <w:rsid w:val="50750E8F"/>
    <w:rsid w:val="5075308D"/>
    <w:rsid w:val="507620AE"/>
    <w:rsid w:val="50762272"/>
    <w:rsid w:val="50771A9C"/>
    <w:rsid w:val="50774392"/>
    <w:rsid w:val="50776590"/>
    <w:rsid w:val="50781E13"/>
    <w:rsid w:val="50784012"/>
    <w:rsid w:val="507941C5"/>
    <w:rsid w:val="50797895"/>
    <w:rsid w:val="507A7515"/>
    <w:rsid w:val="507B5903"/>
    <w:rsid w:val="507D0499"/>
    <w:rsid w:val="507D3D1D"/>
    <w:rsid w:val="507E179E"/>
    <w:rsid w:val="5080141E"/>
    <w:rsid w:val="50804CA1"/>
    <w:rsid w:val="50812723"/>
    <w:rsid w:val="508201A4"/>
    <w:rsid w:val="5082250C"/>
    <w:rsid w:val="508230AB"/>
    <w:rsid w:val="508323A3"/>
    <w:rsid w:val="50833C49"/>
    <w:rsid w:val="508362F4"/>
    <w:rsid w:val="508436A7"/>
    <w:rsid w:val="508456FD"/>
    <w:rsid w:val="50845DD3"/>
    <w:rsid w:val="50847E24"/>
    <w:rsid w:val="50851129"/>
    <w:rsid w:val="508558A6"/>
    <w:rsid w:val="50863327"/>
    <w:rsid w:val="50863D59"/>
    <w:rsid w:val="5087673B"/>
    <w:rsid w:val="508820AE"/>
    <w:rsid w:val="5088682A"/>
    <w:rsid w:val="50887115"/>
    <w:rsid w:val="50890512"/>
    <w:rsid w:val="50891D2D"/>
    <w:rsid w:val="508942AC"/>
    <w:rsid w:val="50897E78"/>
    <w:rsid w:val="508A55B1"/>
    <w:rsid w:val="508A77AF"/>
    <w:rsid w:val="508C0AB4"/>
    <w:rsid w:val="508C2CB2"/>
    <w:rsid w:val="508C4D38"/>
    <w:rsid w:val="508D0734"/>
    <w:rsid w:val="508D27A6"/>
    <w:rsid w:val="508E3FB7"/>
    <w:rsid w:val="508F3C37"/>
    <w:rsid w:val="508F3EE3"/>
    <w:rsid w:val="5090545C"/>
    <w:rsid w:val="509074BA"/>
    <w:rsid w:val="50914F3C"/>
    <w:rsid w:val="50915FFB"/>
    <w:rsid w:val="5091713A"/>
    <w:rsid w:val="509269D5"/>
    <w:rsid w:val="5094671F"/>
    <w:rsid w:val="509748C6"/>
    <w:rsid w:val="50982348"/>
    <w:rsid w:val="509937A3"/>
    <w:rsid w:val="50997DCA"/>
    <w:rsid w:val="509A417D"/>
    <w:rsid w:val="509A584B"/>
    <w:rsid w:val="509B32CD"/>
    <w:rsid w:val="509C58BA"/>
    <w:rsid w:val="509C6E7C"/>
    <w:rsid w:val="509E4251"/>
    <w:rsid w:val="509F1CD3"/>
    <w:rsid w:val="50A00F4B"/>
    <w:rsid w:val="50A02BD7"/>
    <w:rsid w:val="50A07754"/>
    <w:rsid w:val="50A151D6"/>
    <w:rsid w:val="50A22688"/>
    <w:rsid w:val="50A3011C"/>
    <w:rsid w:val="50A306D9"/>
    <w:rsid w:val="50A3118B"/>
    <w:rsid w:val="50A43A3C"/>
    <w:rsid w:val="50A4615B"/>
    <w:rsid w:val="50A6165E"/>
    <w:rsid w:val="50A770DF"/>
    <w:rsid w:val="50A84B61"/>
    <w:rsid w:val="50A868B7"/>
    <w:rsid w:val="50A90064"/>
    <w:rsid w:val="50AA5AE5"/>
    <w:rsid w:val="50AA7C6B"/>
    <w:rsid w:val="50AB1369"/>
    <w:rsid w:val="50AB13A9"/>
    <w:rsid w:val="50AC0FE9"/>
    <w:rsid w:val="50AC11E4"/>
    <w:rsid w:val="50AC6DEA"/>
    <w:rsid w:val="50AD486C"/>
    <w:rsid w:val="50AD6A6A"/>
    <w:rsid w:val="50AE44EC"/>
    <w:rsid w:val="50AF1F6D"/>
    <w:rsid w:val="50AF405F"/>
    <w:rsid w:val="50B03F31"/>
    <w:rsid w:val="50B0429D"/>
    <w:rsid w:val="50B057F0"/>
    <w:rsid w:val="50B10CF4"/>
    <w:rsid w:val="50B15470"/>
    <w:rsid w:val="50B22743"/>
    <w:rsid w:val="50B22EF2"/>
    <w:rsid w:val="50B26775"/>
    <w:rsid w:val="50B30973"/>
    <w:rsid w:val="50B3698C"/>
    <w:rsid w:val="50B36B51"/>
    <w:rsid w:val="50B476EF"/>
    <w:rsid w:val="50B53E76"/>
    <w:rsid w:val="50B576FA"/>
    <w:rsid w:val="50B60C68"/>
    <w:rsid w:val="50B618F8"/>
    <w:rsid w:val="50B6517B"/>
    <w:rsid w:val="50B71807"/>
    <w:rsid w:val="50B72BFD"/>
    <w:rsid w:val="50B7737A"/>
    <w:rsid w:val="50B8067E"/>
    <w:rsid w:val="50B80DC6"/>
    <w:rsid w:val="50B84DFB"/>
    <w:rsid w:val="50BA42F9"/>
    <w:rsid w:val="50BB1603"/>
    <w:rsid w:val="50BB4CD3"/>
    <w:rsid w:val="50BB5D80"/>
    <w:rsid w:val="50BD4B06"/>
    <w:rsid w:val="50BE2588"/>
    <w:rsid w:val="50BE6A7A"/>
    <w:rsid w:val="50BE6C2F"/>
    <w:rsid w:val="50BE6DEA"/>
    <w:rsid w:val="50BF0009"/>
    <w:rsid w:val="50BF4786"/>
    <w:rsid w:val="50C04F20"/>
    <w:rsid w:val="50C05A8B"/>
    <w:rsid w:val="50C1350C"/>
    <w:rsid w:val="50C14393"/>
    <w:rsid w:val="50C20F8E"/>
    <w:rsid w:val="50C21AA1"/>
    <w:rsid w:val="50C2318C"/>
    <w:rsid w:val="50C30C0E"/>
    <w:rsid w:val="50C36A0F"/>
    <w:rsid w:val="50C431DE"/>
    <w:rsid w:val="50C44491"/>
    <w:rsid w:val="50C51F13"/>
    <w:rsid w:val="50C53BB8"/>
    <w:rsid w:val="50C54111"/>
    <w:rsid w:val="50C64592"/>
    <w:rsid w:val="50C75416"/>
    <w:rsid w:val="50C77614"/>
    <w:rsid w:val="50C82E97"/>
    <w:rsid w:val="50CA0599"/>
    <w:rsid w:val="50CA3E1C"/>
    <w:rsid w:val="50CB189D"/>
    <w:rsid w:val="50CC1360"/>
    <w:rsid w:val="50CC1AE3"/>
    <w:rsid w:val="50CC3A9C"/>
    <w:rsid w:val="50CC731F"/>
    <w:rsid w:val="50CD151D"/>
    <w:rsid w:val="50CD4DA0"/>
    <w:rsid w:val="50CE6F9F"/>
    <w:rsid w:val="50CE78B3"/>
    <w:rsid w:val="50CF02A4"/>
    <w:rsid w:val="50CF0878"/>
    <w:rsid w:val="50CF4A20"/>
    <w:rsid w:val="50D03E52"/>
    <w:rsid w:val="50D130C8"/>
    <w:rsid w:val="50D137A7"/>
    <w:rsid w:val="50D17F23"/>
    <w:rsid w:val="50D219EE"/>
    <w:rsid w:val="50D33427"/>
    <w:rsid w:val="50D3612E"/>
    <w:rsid w:val="50D4472B"/>
    <w:rsid w:val="50D50245"/>
    <w:rsid w:val="50D51CA7"/>
    <w:rsid w:val="50D521AD"/>
    <w:rsid w:val="50D71E2D"/>
    <w:rsid w:val="50DA0833"/>
    <w:rsid w:val="50DA6635"/>
    <w:rsid w:val="50DB3F55"/>
    <w:rsid w:val="50DB40B6"/>
    <w:rsid w:val="50DC3D36"/>
    <w:rsid w:val="50DD1B6F"/>
    <w:rsid w:val="50DD59ED"/>
    <w:rsid w:val="50DD75B9"/>
    <w:rsid w:val="50DE503B"/>
    <w:rsid w:val="50DF2ABC"/>
    <w:rsid w:val="50DF4CBB"/>
    <w:rsid w:val="50E0053E"/>
    <w:rsid w:val="50E101BE"/>
    <w:rsid w:val="50E20EB9"/>
    <w:rsid w:val="50E214C3"/>
    <w:rsid w:val="50E21CB3"/>
    <w:rsid w:val="50E25C3F"/>
    <w:rsid w:val="50E325F7"/>
    <w:rsid w:val="50E336C1"/>
    <w:rsid w:val="50E36F44"/>
    <w:rsid w:val="50E41142"/>
    <w:rsid w:val="50E449C6"/>
    <w:rsid w:val="50E50361"/>
    <w:rsid w:val="50E52447"/>
    <w:rsid w:val="50E56BC4"/>
    <w:rsid w:val="50E6454A"/>
    <w:rsid w:val="50E64646"/>
    <w:rsid w:val="50E67EC9"/>
    <w:rsid w:val="50E720C7"/>
    <w:rsid w:val="50E7594A"/>
    <w:rsid w:val="50E833CC"/>
    <w:rsid w:val="50E85C87"/>
    <w:rsid w:val="50E87B49"/>
    <w:rsid w:val="50E90E4D"/>
    <w:rsid w:val="50E96661"/>
    <w:rsid w:val="50E96732"/>
    <w:rsid w:val="50E96826"/>
    <w:rsid w:val="50EA304C"/>
    <w:rsid w:val="50EA5464"/>
    <w:rsid w:val="50EA73C4"/>
    <w:rsid w:val="50EB4351"/>
    <w:rsid w:val="50EB4502"/>
    <w:rsid w:val="50EB46B7"/>
    <w:rsid w:val="50EB50F9"/>
    <w:rsid w:val="50EC0779"/>
    <w:rsid w:val="50EC093D"/>
    <w:rsid w:val="50EC654F"/>
    <w:rsid w:val="50ED14DC"/>
    <w:rsid w:val="50ED7854"/>
    <w:rsid w:val="50EE1EB6"/>
    <w:rsid w:val="50EE4E28"/>
    <w:rsid w:val="50EE52D5"/>
    <w:rsid w:val="50EF74D3"/>
    <w:rsid w:val="50F007D8"/>
    <w:rsid w:val="50F04F55"/>
    <w:rsid w:val="50F06140"/>
    <w:rsid w:val="50F07E93"/>
    <w:rsid w:val="50F129D7"/>
    <w:rsid w:val="50F20458"/>
    <w:rsid w:val="50F25EDA"/>
    <w:rsid w:val="50F3175D"/>
    <w:rsid w:val="50F360E5"/>
    <w:rsid w:val="50F471DE"/>
    <w:rsid w:val="50F56E5E"/>
    <w:rsid w:val="50F5765E"/>
    <w:rsid w:val="50F648E0"/>
    <w:rsid w:val="50F70163"/>
    <w:rsid w:val="50F70BD7"/>
    <w:rsid w:val="50F72361"/>
    <w:rsid w:val="50F87FAC"/>
    <w:rsid w:val="50F92150"/>
    <w:rsid w:val="50FA629D"/>
    <w:rsid w:val="50FA6B69"/>
    <w:rsid w:val="50FA6E95"/>
    <w:rsid w:val="50FC206C"/>
    <w:rsid w:val="50FC442C"/>
    <w:rsid w:val="50FD59A5"/>
    <w:rsid w:val="50FD7AEE"/>
    <w:rsid w:val="50FE5570"/>
    <w:rsid w:val="50FE637F"/>
    <w:rsid w:val="50FE6543"/>
    <w:rsid w:val="50FF2FF1"/>
    <w:rsid w:val="50FF6F1E"/>
    <w:rsid w:val="51000A73"/>
    <w:rsid w:val="51007ABC"/>
    <w:rsid w:val="51045B07"/>
    <w:rsid w:val="51047479"/>
    <w:rsid w:val="51052F88"/>
    <w:rsid w:val="510533D9"/>
    <w:rsid w:val="5106297C"/>
    <w:rsid w:val="510631F8"/>
    <w:rsid w:val="510703FD"/>
    <w:rsid w:val="510814BC"/>
    <w:rsid w:val="51081D48"/>
    <w:rsid w:val="51093901"/>
    <w:rsid w:val="510A1382"/>
    <w:rsid w:val="510B7D56"/>
    <w:rsid w:val="510D2307"/>
    <w:rsid w:val="510E1E6E"/>
    <w:rsid w:val="510E7D88"/>
    <w:rsid w:val="511033E7"/>
    <w:rsid w:val="51113F85"/>
    <w:rsid w:val="51122012"/>
    <w:rsid w:val="5112678F"/>
    <w:rsid w:val="51131C92"/>
    <w:rsid w:val="511354FE"/>
    <w:rsid w:val="51137A93"/>
    <w:rsid w:val="5115210E"/>
    <w:rsid w:val="51152F96"/>
    <w:rsid w:val="51154DB1"/>
    <w:rsid w:val="51154F67"/>
    <w:rsid w:val="51162C16"/>
    <w:rsid w:val="51170698"/>
    <w:rsid w:val="51173258"/>
    <w:rsid w:val="511735C3"/>
    <w:rsid w:val="5117649A"/>
    <w:rsid w:val="51177FF0"/>
    <w:rsid w:val="51183F1B"/>
    <w:rsid w:val="5119172D"/>
    <w:rsid w:val="5119199D"/>
    <w:rsid w:val="511A161C"/>
    <w:rsid w:val="511A2107"/>
    <w:rsid w:val="511B3845"/>
    <w:rsid w:val="511B709E"/>
    <w:rsid w:val="511C43E3"/>
    <w:rsid w:val="511D4F82"/>
    <w:rsid w:val="511E0023"/>
    <w:rsid w:val="511F1327"/>
    <w:rsid w:val="51203526"/>
    <w:rsid w:val="51206DA9"/>
    <w:rsid w:val="51207410"/>
    <w:rsid w:val="51210FA7"/>
    <w:rsid w:val="51226A29"/>
    <w:rsid w:val="51237D2E"/>
    <w:rsid w:val="512457AF"/>
    <w:rsid w:val="51253231"/>
    <w:rsid w:val="512579AE"/>
    <w:rsid w:val="51263104"/>
    <w:rsid w:val="51272EB1"/>
    <w:rsid w:val="51273ADE"/>
    <w:rsid w:val="51274842"/>
    <w:rsid w:val="51276734"/>
    <w:rsid w:val="51277588"/>
    <w:rsid w:val="51280932"/>
    <w:rsid w:val="512841B5"/>
    <w:rsid w:val="51291C37"/>
    <w:rsid w:val="512963B4"/>
    <w:rsid w:val="512A76B9"/>
    <w:rsid w:val="512B18B7"/>
    <w:rsid w:val="512D283B"/>
    <w:rsid w:val="512E02BD"/>
    <w:rsid w:val="512E60BF"/>
    <w:rsid w:val="512F5D3F"/>
    <w:rsid w:val="513015C2"/>
    <w:rsid w:val="513037C0"/>
    <w:rsid w:val="51311242"/>
    <w:rsid w:val="5131339E"/>
    <w:rsid w:val="513220D6"/>
    <w:rsid w:val="51323F3D"/>
    <w:rsid w:val="51324101"/>
    <w:rsid w:val="51324AC5"/>
    <w:rsid w:val="51326CC3"/>
    <w:rsid w:val="51337FC8"/>
    <w:rsid w:val="5134005C"/>
    <w:rsid w:val="51345A4A"/>
    <w:rsid w:val="513534CB"/>
    <w:rsid w:val="51356054"/>
    <w:rsid w:val="513675CD"/>
    <w:rsid w:val="5137016C"/>
    <w:rsid w:val="51384450"/>
    <w:rsid w:val="51391ED1"/>
    <w:rsid w:val="513A7953"/>
    <w:rsid w:val="513B53D4"/>
    <w:rsid w:val="513C39C1"/>
    <w:rsid w:val="513C75D3"/>
    <w:rsid w:val="513E2AD6"/>
    <w:rsid w:val="513E6359"/>
    <w:rsid w:val="513F0557"/>
    <w:rsid w:val="5140185C"/>
    <w:rsid w:val="51405FD9"/>
    <w:rsid w:val="514216A9"/>
    <w:rsid w:val="51422BA4"/>
    <w:rsid w:val="51424D5F"/>
    <w:rsid w:val="51427A2B"/>
    <w:rsid w:val="514314C8"/>
    <w:rsid w:val="514349DF"/>
    <w:rsid w:val="51436F5E"/>
    <w:rsid w:val="51442461"/>
    <w:rsid w:val="514526E1"/>
    <w:rsid w:val="51463280"/>
    <w:rsid w:val="51463765"/>
    <w:rsid w:val="514711E7"/>
    <w:rsid w:val="51480E67"/>
    <w:rsid w:val="51486C69"/>
    <w:rsid w:val="514946EA"/>
    <w:rsid w:val="514968E8"/>
    <w:rsid w:val="514B1DEB"/>
    <w:rsid w:val="514B674C"/>
    <w:rsid w:val="514C30F0"/>
    <w:rsid w:val="514C72EB"/>
    <w:rsid w:val="514C786D"/>
    <w:rsid w:val="514D0B72"/>
    <w:rsid w:val="514D52EF"/>
    <w:rsid w:val="514F07F2"/>
    <w:rsid w:val="514F1FA1"/>
    <w:rsid w:val="514F4075"/>
    <w:rsid w:val="514F6B70"/>
    <w:rsid w:val="51501AF7"/>
    <w:rsid w:val="51501DDC"/>
    <w:rsid w:val="51505C0D"/>
    <w:rsid w:val="51506273"/>
    <w:rsid w:val="51517578"/>
    <w:rsid w:val="515203DF"/>
    <w:rsid w:val="51521776"/>
    <w:rsid w:val="51523EF4"/>
    <w:rsid w:val="51532A7B"/>
    <w:rsid w:val="515371F8"/>
    <w:rsid w:val="51544C79"/>
    <w:rsid w:val="515802E8"/>
    <w:rsid w:val="51594984"/>
    <w:rsid w:val="515B2086"/>
    <w:rsid w:val="515B4604"/>
    <w:rsid w:val="515B7E88"/>
    <w:rsid w:val="515C5909"/>
    <w:rsid w:val="515D37B4"/>
    <w:rsid w:val="515E090B"/>
    <w:rsid w:val="515F58CB"/>
    <w:rsid w:val="515F688E"/>
    <w:rsid w:val="515F7B5F"/>
    <w:rsid w:val="51611D91"/>
    <w:rsid w:val="51616E44"/>
    <w:rsid w:val="5162104E"/>
    <w:rsid w:val="516279E3"/>
    <w:rsid w:val="51632D16"/>
    <w:rsid w:val="51640797"/>
    <w:rsid w:val="51640F5C"/>
    <w:rsid w:val="51641120"/>
    <w:rsid w:val="51651CBF"/>
    <w:rsid w:val="51656219"/>
    <w:rsid w:val="51663C9A"/>
    <w:rsid w:val="5167171C"/>
    <w:rsid w:val="51673073"/>
    <w:rsid w:val="51694C1F"/>
    <w:rsid w:val="516A518B"/>
    <w:rsid w:val="516A6794"/>
    <w:rsid w:val="516B68C8"/>
    <w:rsid w:val="516E10A7"/>
    <w:rsid w:val="51701F58"/>
    <w:rsid w:val="517045AA"/>
    <w:rsid w:val="51744C0F"/>
    <w:rsid w:val="51750A31"/>
    <w:rsid w:val="517664B3"/>
    <w:rsid w:val="51776D26"/>
    <w:rsid w:val="517777B8"/>
    <w:rsid w:val="517819B6"/>
    <w:rsid w:val="51792CBB"/>
    <w:rsid w:val="51797438"/>
    <w:rsid w:val="517A073C"/>
    <w:rsid w:val="517B03BC"/>
    <w:rsid w:val="517B21F2"/>
    <w:rsid w:val="517B4CCE"/>
    <w:rsid w:val="517B61BE"/>
    <w:rsid w:val="517C2D91"/>
    <w:rsid w:val="517C3C40"/>
    <w:rsid w:val="517D16C1"/>
    <w:rsid w:val="517D38BF"/>
    <w:rsid w:val="517D3A01"/>
    <w:rsid w:val="517D3BB6"/>
    <w:rsid w:val="517E1341"/>
    <w:rsid w:val="517E7143"/>
    <w:rsid w:val="517F4EA8"/>
    <w:rsid w:val="517F6DC2"/>
    <w:rsid w:val="51805A47"/>
    <w:rsid w:val="518165E6"/>
    <w:rsid w:val="51825B49"/>
    <w:rsid w:val="5183104C"/>
    <w:rsid w:val="51837B5F"/>
    <w:rsid w:val="5184324A"/>
    <w:rsid w:val="51850CCC"/>
    <w:rsid w:val="5185454F"/>
    <w:rsid w:val="51861AB2"/>
    <w:rsid w:val="51861FD1"/>
    <w:rsid w:val="5186674D"/>
    <w:rsid w:val="51881C50"/>
    <w:rsid w:val="518854D4"/>
    <w:rsid w:val="51892F55"/>
    <w:rsid w:val="51894768"/>
    <w:rsid w:val="518A5153"/>
    <w:rsid w:val="518B5E73"/>
    <w:rsid w:val="518B6458"/>
    <w:rsid w:val="518B68B4"/>
    <w:rsid w:val="518C0657"/>
    <w:rsid w:val="518C3EDA"/>
    <w:rsid w:val="518C5952"/>
    <w:rsid w:val="518C66BB"/>
    <w:rsid w:val="518C687F"/>
    <w:rsid w:val="518D195B"/>
    <w:rsid w:val="518E7DF8"/>
    <w:rsid w:val="518F07D2"/>
    <w:rsid w:val="518F15DB"/>
    <w:rsid w:val="51901371"/>
    <w:rsid w:val="5190705D"/>
    <w:rsid w:val="51914ADE"/>
    <w:rsid w:val="51922560"/>
    <w:rsid w:val="51925DE3"/>
    <w:rsid w:val="51933719"/>
    <w:rsid w:val="51933865"/>
    <w:rsid w:val="51937FE1"/>
    <w:rsid w:val="51956D68"/>
    <w:rsid w:val="519647E9"/>
    <w:rsid w:val="5196613F"/>
    <w:rsid w:val="51976CDE"/>
    <w:rsid w:val="51981EEB"/>
    <w:rsid w:val="5198466F"/>
    <w:rsid w:val="51990092"/>
    <w:rsid w:val="5199796C"/>
    <w:rsid w:val="519A012F"/>
    <w:rsid w:val="519A53EE"/>
    <w:rsid w:val="519B0C71"/>
    <w:rsid w:val="519B66F3"/>
    <w:rsid w:val="519C21AA"/>
    <w:rsid w:val="519C236E"/>
    <w:rsid w:val="519D1BF6"/>
    <w:rsid w:val="519F1876"/>
    <w:rsid w:val="519F4486"/>
    <w:rsid w:val="519F50F9"/>
    <w:rsid w:val="51A04E60"/>
    <w:rsid w:val="51A072F7"/>
    <w:rsid w:val="51A105FC"/>
    <w:rsid w:val="51A3027C"/>
    <w:rsid w:val="51A41581"/>
    <w:rsid w:val="51A45CFD"/>
    <w:rsid w:val="51A5108F"/>
    <w:rsid w:val="51A61200"/>
    <w:rsid w:val="51A64A84"/>
    <w:rsid w:val="51A727CC"/>
    <w:rsid w:val="51A92185"/>
    <w:rsid w:val="51A93B81"/>
    <w:rsid w:val="51A95A08"/>
    <w:rsid w:val="51AA348A"/>
    <w:rsid w:val="51AB52BE"/>
    <w:rsid w:val="51AB5688"/>
    <w:rsid w:val="51AC0B8B"/>
    <w:rsid w:val="51AC310A"/>
    <w:rsid w:val="51AC698D"/>
    <w:rsid w:val="51AE408E"/>
    <w:rsid w:val="51AE7211"/>
    <w:rsid w:val="51B0094E"/>
    <w:rsid w:val="51B014ED"/>
    <w:rsid w:val="51B11EC7"/>
    <w:rsid w:val="51B20896"/>
    <w:rsid w:val="51B22A95"/>
    <w:rsid w:val="51B30516"/>
    <w:rsid w:val="51B36318"/>
    <w:rsid w:val="51B43D99"/>
    <w:rsid w:val="51B43FDF"/>
    <w:rsid w:val="51B45F98"/>
    <w:rsid w:val="51B53A19"/>
    <w:rsid w:val="51B563B7"/>
    <w:rsid w:val="51B6251B"/>
    <w:rsid w:val="51B64D1E"/>
    <w:rsid w:val="51B727A0"/>
    <w:rsid w:val="51B8499E"/>
    <w:rsid w:val="51B86AD1"/>
    <w:rsid w:val="51B86C95"/>
    <w:rsid w:val="51B9241F"/>
    <w:rsid w:val="51B94A72"/>
    <w:rsid w:val="51B9766F"/>
    <w:rsid w:val="51BA0D11"/>
    <w:rsid w:val="51BA7EA1"/>
    <w:rsid w:val="51BB5923"/>
    <w:rsid w:val="51BC33A4"/>
    <w:rsid w:val="51BC4751"/>
    <w:rsid w:val="51BD2161"/>
    <w:rsid w:val="51BD2325"/>
    <w:rsid w:val="51BD2EC4"/>
    <w:rsid w:val="51BD46A9"/>
    <w:rsid w:val="51BE389E"/>
    <w:rsid w:val="51C0562E"/>
    <w:rsid w:val="51C1782C"/>
    <w:rsid w:val="51C20B31"/>
    <w:rsid w:val="51C252AD"/>
    <w:rsid w:val="51C26390"/>
    <w:rsid w:val="51C26554"/>
    <w:rsid w:val="51C32D2F"/>
    <w:rsid w:val="51C365B2"/>
    <w:rsid w:val="51C44034"/>
    <w:rsid w:val="51C47ACD"/>
    <w:rsid w:val="51C51AB5"/>
    <w:rsid w:val="51C6120B"/>
    <w:rsid w:val="51C67537"/>
    <w:rsid w:val="51C71BE5"/>
    <w:rsid w:val="51C82784"/>
    <w:rsid w:val="51C82A3A"/>
    <w:rsid w:val="51CA3CFC"/>
    <w:rsid w:val="51CB39BF"/>
    <w:rsid w:val="51CC5C50"/>
    <w:rsid w:val="51CC6EC2"/>
    <w:rsid w:val="51CD4943"/>
    <w:rsid w:val="51CD69B3"/>
    <w:rsid w:val="51CE23C5"/>
    <w:rsid w:val="51CF7E46"/>
    <w:rsid w:val="51D00906"/>
    <w:rsid w:val="51D058C8"/>
    <w:rsid w:val="51D114A4"/>
    <w:rsid w:val="51D13349"/>
    <w:rsid w:val="51D21E7F"/>
    <w:rsid w:val="51D22043"/>
    <w:rsid w:val="51D23006"/>
    <w:rsid w:val="51D32259"/>
    <w:rsid w:val="51D41141"/>
    <w:rsid w:val="51D41817"/>
    <w:rsid w:val="51D433F8"/>
    <w:rsid w:val="51D442CE"/>
    <w:rsid w:val="51D51D50"/>
    <w:rsid w:val="51D5415B"/>
    <w:rsid w:val="51D64B35"/>
    <w:rsid w:val="51D75253"/>
    <w:rsid w:val="51D7550F"/>
    <w:rsid w:val="51D82CD4"/>
    <w:rsid w:val="51D86272"/>
    <w:rsid w:val="51D90756"/>
    <w:rsid w:val="51D96C4C"/>
    <w:rsid w:val="51D977EB"/>
    <w:rsid w:val="51DA61D7"/>
    <w:rsid w:val="51DB0B9F"/>
    <w:rsid w:val="51DB3C59"/>
    <w:rsid w:val="51DD22DD"/>
    <w:rsid w:val="51DD715C"/>
    <w:rsid w:val="51DE0461"/>
    <w:rsid w:val="51DE2CB7"/>
    <w:rsid w:val="51DE4BDE"/>
    <w:rsid w:val="51DF5EE2"/>
    <w:rsid w:val="51E000E1"/>
    <w:rsid w:val="51E03964"/>
    <w:rsid w:val="51E113E5"/>
    <w:rsid w:val="51E235E4"/>
    <w:rsid w:val="51E26E67"/>
    <w:rsid w:val="51E33AD4"/>
    <w:rsid w:val="51E44568"/>
    <w:rsid w:val="51E46AE7"/>
    <w:rsid w:val="51E470AB"/>
    <w:rsid w:val="51E57A85"/>
    <w:rsid w:val="51E60623"/>
    <w:rsid w:val="51E70FFE"/>
    <w:rsid w:val="51E732EF"/>
    <w:rsid w:val="51E754ED"/>
    <w:rsid w:val="51E82577"/>
    <w:rsid w:val="51E8779D"/>
    <w:rsid w:val="51E932DA"/>
    <w:rsid w:val="51E951E6"/>
    <w:rsid w:val="51EA6472"/>
    <w:rsid w:val="51EC51F8"/>
    <w:rsid w:val="51EC7777"/>
    <w:rsid w:val="51EE06FB"/>
    <w:rsid w:val="51EE67A6"/>
    <w:rsid w:val="51EF28F9"/>
    <w:rsid w:val="51EF7509"/>
    <w:rsid w:val="51EF7E0A"/>
    <w:rsid w:val="51F0037B"/>
    <w:rsid w:val="51F03BFE"/>
    <w:rsid w:val="51F06CF2"/>
    <w:rsid w:val="51F07D1F"/>
    <w:rsid w:val="51F15DFD"/>
    <w:rsid w:val="51F27101"/>
    <w:rsid w:val="51F34B83"/>
    <w:rsid w:val="51F46D81"/>
    <w:rsid w:val="51F65B08"/>
    <w:rsid w:val="51F77D06"/>
    <w:rsid w:val="51F8100B"/>
    <w:rsid w:val="51F93209"/>
    <w:rsid w:val="51FA0C8B"/>
    <w:rsid w:val="51FA450E"/>
    <w:rsid w:val="51FB1F8F"/>
    <w:rsid w:val="51FB670C"/>
    <w:rsid w:val="51FC1C0F"/>
    <w:rsid w:val="51FC7A11"/>
    <w:rsid w:val="51FD16F6"/>
    <w:rsid w:val="51FE2294"/>
    <w:rsid w:val="51FE2459"/>
    <w:rsid w:val="51FE2F14"/>
    <w:rsid w:val="51FE3413"/>
    <w:rsid w:val="51FE5112"/>
    <w:rsid w:val="51FF0996"/>
    <w:rsid w:val="51FF1685"/>
    <w:rsid w:val="51FF183A"/>
    <w:rsid w:val="51FF2B94"/>
    <w:rsid w:val="51FF2E33"/>
    <w:rsid w:val="51FF3797"/>
    <w:rsid w:val="520039D2"/>
    <w:rsid w:val="52006417"/>
    <w:rsid w:val="52016097"/>
    <w:rsid w:val="5202191A"/>
    <w:rsid w:val="5203159A"/>
    <w:rsid w:val="5203739C"/>
    <w:rsid w:val="5204289F"/>
    <w:rsid w:val="52044E1D"/>
    <w:rsid w:val="52050320"/>
    <w:rsid w:val="52054A9D"/>
    <w:rsid w:val="5206251F"/>
    <w:rsid w:val="52065DA2"/>
    <w:rsid w:val="5207117A"/>
    <w:rsid w:val="52073823"/>
    <w:rsid w:val="520812A5"/>
    <w:rsid w:val="52081B54"/>
    <w:rsid w:val="52087684"/>
    <w:rsid w:val="52096D27"/>
    <w:rsid w:val="520A47A8"/>
    <w:rsid w:val="520B222A"/>
    <w:rsid w:val="520C4428"/>
    <w:rsid w:val="520C4646"/>
    <w:rsid w:val="520C46EE"/>
    <w:rsid w:val="520C4C0F"/>
    <w:rsid w:val="520D1EAA"/>
    <w:rsid w:val="520D4383"/>
    <w:rsid w:val="520D53A9"/>
    <w:rsid w:val="520E2D4A"/>
    <w:rsid w:val="520E31AE"/>
    <w:rsid w:val="520E792B"/>
    <w:rsid w:val="520F0C30"/>
    <w:rsid w:val="520F53AD"/>
    <w:rsid w:val="520F6DE4"/>
    <w:rsid w:val="521108B0"/>
    <w:rsid w:val="52114133"/>
    <w:rsid w:val="52121BB5"/>
    <w:rsid w:val="52126331"/>
    <w:rsid w:val="52137636"/>
    <w:rsid w:val="52141834"/>
    <w:rsid w:val="521450B8"/>
    <w:rsid w:val="52152B39"/>
    <w:rsid w:val="521627B9"/>
    <w:rsid w:val="5217023B"/>
    <w:rsid w:val="5217603C"/>
    <w:rsid w:val="52185CBC"/>
    <w:rsid w:val="52186F93"/>
    <w:rsid w:val="5219153F"/>
    <w:rsid w:val="5219373E"/>
    <w:rsid w:val="5219601D"/>
    <w:rsid w:val="521961E1"/>
    <w:rsid w:val="521964E2"/>
    <w:rsid w:val="521A6DB2"/>
    <w:rsid w:val="521A6FC1"/>
    <w:rsid w:val="521C24C4"/>
    <w:rsid w:val="521C46C2"/>
    <w:rsid w:val="521D2144"/>
    <w:rsid w:val="521D4C9B"/>
    <w:rsid w:val="521D4E51"/>
    <w:rsid w:val="521E3449"/>
    <w:rsid w:val="521E3E1C"/>
    <w:rsid w:val="521E7BC5"/>
    <w:rsid w:val="521F0ECA"/>
    <w:rsid w:val="522030C9"/>
    <w:rsid w:val="52210B4A"/>
    <w:rsid w:val="52221E4F"/>
    <w:rsid w:val="52224F02"/>
    <w:rsid w:val="522378D0"/>
    <w:rsid w:val="52252DD4"/>
    <w:rsid w:val="52257019"/>
    <w:rsid w:val="52260855"/>
    <w:rsid w:val="522679F4"/>
    <w:rsid w:val="52272A53"/>
    <w:rsid w:val="522804D5"/>
    <w:rsid w:val="52291CD0"/>
    <w:rsid w:val="522A39D8"/>
    <w:rsid w:val="522A725B"/>
    <w:rsid w:val="522B4CDD"/>
    <w:rsid w:val="522B58DB"/>
    <w:rsid w:val="522C47C1"/>
    <w:rsid w:val="522E5D3A"/>
    <w:rsid w:val="522F36E3"/>
    <w:rsid w:val="52301165"/>
    <w:rsid w:val="523072B3"/>
    <w:rsid w:val="52324668"/>
    <w:rsid w:val="523313CB"/>
    <w:rsid w:val="523320E9"/>
    <w:rsid w:val="5234212E"/>
    <w:rsid w:val="52347B6B"/>
    <w:rsid w:val="52352B08"/>
    <w:rsid w:val="5235306E"/>
    <w:rsid w:val="52360AEF"/>
    <w:rsid w:val="523634E2"/>
    <w:rsid w:val="52376571"/>
    <w:rsid w:val="523924E1"/>
    <w:rsid w:val="523B4F77"/>
    <w:rsid w:val="523D047A"/>
    <w:rsid w:val="523D0C8A"/>
    <w:rsid w:val="523D0E4F"/>
    <w:rsid w:val="523E5EFC"/>
    <w:rsid w:val="523F397D"/>
    <w:rsid w:val="52413940"/>
    <w:rsid w:val="5242431B"/>
    <w:rsid w:val="52424902"/>
    <w:rsid w:val="52434EB9"/>
    <w:rsid w:val="52443688"/>
    <w:rsid w:val="5245110A"/>
    <w:rsid w:val="52463308"/>
    <w:rsid w:val="52467195"/>
    <w:rsid w:val="52470D8A"/>
    <w:rsid w:val="5247460D"/>
    <w:rsid w:val="52474E74"/>
    <w:rsid w:val="5248427D"/>
    <w:rsid w:val="5248680B"/>
    <w:rsid w:val="52491C87"/>
    <w:rsid w:val="52497B10"/>
    <w:rsid w:val="524B3013"/>
    <w:rsid w:val="524B7790"/>
    <w:rsid w:val="524C0A95"/>
    <w:rsid w:val="524C5212"/>
    <w:rsid w:val="524D0715"/>
    <w:rsid w:val="524D2C93"/>
    <w:rsid w:val="524D7600"/>
    <w:rsid w:val="524F3C18"/>
    <w:rsid w:val="5251711B"/>
    <w:rsid w:val="5252299E"/>
    <w:rsid w:val="52524B9C"/>
    <w:rsid w:val="52530420"/>
    <w:rsid w:val="5253261E"/>
    <w:rsid w:val="5254009F"/>
    <w:rsid w:val="525410A0"/>
    <w:rsid w:val="52541547"/>
    <w:rsid w:val="525420E5"/>
    <w:rsid w:val="52545EA1"/>
    <w:rsid w:val="525503FE"/>
    <w:rsid w:val="525513A4"/>
    <w:rsid w:val="52551F21"/>
    <w:rsid w:val="52555B21"/>
    <w:rsid w:val="525635A3"/>
    <w:rsid w:val="52566E26"/>
    <w:rsid w:val="52575082"/>
    <w:rsid w:val="52576C0F"/>
    <w:rsid w:val="52586AA6"/>
    <w:rsid w:val="525A1FA9"/>
    <w:rsid w:val="525A22CE"/>
    <w:rsid w:val="525A582C"/>
    <w:rsid w:val="525A6314"/>
    <w:rsid w:val="525B0222"/>
    <w:rsid w:val="525B6CEF"/>
    <w:rsid w:val="525B7A2A"/>
    <w:rsid w:val="525C54AC"/>
    <w:rsid w:val="525E0E06"/>
    <w:rsid w:val="525E4232"/>
    <w:rsid w:val="525F1CB4"/>
    <w:rsid w:val="52607735"/>
    <w:rsid w:val="52611934"/>
    <w:rsid w:val="526151B7"/>
    <w:rsid w:val="52621580"/>
    <w:rsid w:val="52623ABC"/>
    <w:rsid w:val="526306BA"/>
    <w:rsid w:val="52635035"/>
    <w:rsid w:val="52641C79"/>
    <w:rsid w:val="526428B8"/>
    <w:rsid w:val="52644E71"/>
    <w:rsid w:val="5264613C"/>
    <w:rsid w:val="52653BBD"/>
    <w:rsid w:val="52655DBB"/>
    <w:rsid w:val="5266048A"/>
    <w:rsid w:val="5266383D"/>
    <w:rsid w:val="526712BE"/>
    <w:rsid w:val="526770C0"/>
    <w:rsid w:val="52686D40"/>
    <w:rsid w:val="526925C3"/>
    <w:rsid w:val="526A0045"/>
    <w:rsid w:val="526B2619"/>
    <w:rsid w:val="526B27DD"/>
    <w:rsid w:val="526B5AC6"/>
    <w:rsid w:val="526B7CC5"/>
    <w:rsid w:val="526C31B7"/>
    <w:rsid w:val="526C3548"/>
    <w:rsid w:val="526C5746"/>
    <w:rsid w:val="526D0FC9"/>
    <w:rsid w:val="526E0C49"/>
    <w:rsid w:val="526F1F4E"/>
    <w:rsid w:val="526F5493"/>
    <w:rsid w:val="526F66CB"/>
    <w:rsid w:val="52705E6E"/>
    <w:rsid w:val="527079D0"/>
    <w:rsid w:val="52711BCE"/>
    <w:rsid w:val="52722ED3"/>
    <w:rsid w:val="52724CE2"/>
    <w:rsid w:val="52727F85"/>
    <w:rsid w:val="527350D1"/>
    <w:rsid w:val="52742AB2"/>
    <w:rsid w:val="52742B53"/>
    <w:rsid w:val="527505D4"/>
    <w:rsid w:val="527618D9"/>
    <w:rsid w:val="52766056"/>
    <w:rsid w:val="52773AD7"/>
    <w:rsid w:val="5277735B"/>
    <w:rsid w:val="52784DDC"/>
    <w:rsid w:val="5279285E"/>
    <w:rsid w:val="52794D53"/>
    <w:rsid w:val="52796FDA"/>
    <w:rsid w:val="527A4A5C"/>
    <w:rsid w:val="527A572D"/>
    <w:rsid w:val="527B62CC"/>
    <w:rsid w:val="527D1264"/>
    <w:rsid w:val="527D3462"/>
    <w:rsid w:val="527D59E1"/>
    <w:rsid w:val="527E0EE4"/>
    <w:rsid w:val="527F1798"/>
    <w:rsid w:val="527F6965"/>
    <w:rsid w:val="528021E8"/>
    <w:rsid w:val="52811E68"/>
    <w:rsid w:val="52812ED5"/>
    <w:rsid w:val="52817C6A"/>
    <w:rsid w:val="528256EC"/>
    <w:rsid w:val="528257B0"/>
    <w:rsid w:val="528278EA"/>
    <w:rsid w:val="52835CF8"/>
    <w:rsid w:val="52844FED"/>
    <w:rsid w:val="528540F2"/>
    <w:rsid w:val="528559C7"/>
    <w:rsid w:val="52856670"/>
    <w:rsid w:val="52861B73"/>
    <w:rsid w:val="52866565"/>
    <w:rsid w:val="52873D72"/>
    <w:rsid w:val="528817F3"/>
    <w:rsid w:val="52897275"/>
    <w:rsid w:val="528A121C"/>
    <w:rsid w:val="528A4CF6"/>
    <w:rsid w:val="528C3A7D"/>
    <w:rsid w:val="528E36FC"/>
    <w:rsid w:val="528E46E8"/>
    <w:rsid w:val="528E48AC"/>
    <w:rsid w:val="528E6F80"/>
    <w:rsid w:val="528F1AE6"/>
    <w:rsid w:val="52902483"/>
    <w:rsid w:val="52906C00"/>
    <w:rsid w:val="529169C4"/>
    <w:rsid w:val="5291754B"/>
    <w:rsid w:val="52917701"/>
    <w:rsid w:val="52925986"/>
    <w:rsid w:val="52933407"/>
    <w:rsid w:val="52940917"/>
    <w:rsid w:val="52940E89"/>
    <w:rsid w:val="5295167A"/>
    <w:rsid w:val="52971E0E"/>
    <w:rsid w:val="5298788F"/>
    <w:rsid w:val="52994D0A"/>
    <w:rsid w:val="529A56E5"/>
    <w:rsid w:val="529B60BF"/>
    <w:rsid w:val="529E1798"/>
    <w:rsid w:val="529E3F58"/>
    <w:rsid w:val="529E721A"/>
    <w:rsid w:val="529F2AD5"/>
    <w:rsid w:val="529F4C9C"/>
    <w:rsid w:val="52A0174F"/>
    <w:rsid w:val="52A01914"/>
    <w:rsid w:val="52A0271D"/>
    <w:rsid w:val="52A1019F"/>
    <w:rsid w:val="52A336A2"/>
    <w:rsid w:val="52A33867"/>
    <w:rsid w:val="52A44405"/>
    <w:rsid w:val="52A56BA5"/>
    <w:rsid w:val="52A64626"/>
    <w:rsid w:val="52A720A8"/>
    <w:rsid w:val="52A7651D"/>
    <w:rsid w:val="52A770BC"/>
    <w:rsid w:val="52A87B2A"/>
    <w:rsid w:val="52A87C5A"/>
    <w:rsid w:val="52A955AB"/>
    <w:rsid w:val="52AA100F"/>
    <w:rsid w:val="52AA68B0"/>
    <w:rsid w:val="52AB4331"/>
    <w:rsid w:val="52AD32EB"/>
    <w:rsid w:val="52AD3FB1"/>
    <w:rsid w:val="52AD7835"/>
    <w:rsid w:val="52AE4870"/>
    <w:rsid w:val="52AE52B6"/>
    <w:rsid w:val="52AF2D38"/>
    <w:rsid w:val="52AF74B4"/>
    <w:rsid w:val="52B007B9"/>
    <w:rsid w:val="52B04F36"/>
    <w:rsid w:val="52B05402"/>
    <w:rsid w:val="52B1623B"/>
    <w:rsid w:val="52B20439"/>
    <w:rsid w:val="52B23CBC"/>
    <w:rsid w:val="52B256B5"/>
    <w:rsid w:val="52B265AC"/>
    <w:rsid w:val="52B35EBB"/>
    <w:rsid w:val="52B37FC4"/>
    <w:rsid w:val="52B471BF"/>
    <w:rsid w:val="52B513BE"/>
    <w:rsid w:val="52B51631"/>
    <w:rsid w:val="52B6200C"/>
    <w:rsid w:val="52B626C2"/>
    <w:rsid w:val="52B66E3F"/>
    <w:rsid w:val="52B70144"/>
    <w:rsid w:val="52B72342"/>
    <w:rsid w:val="52B93647"/>
    <w:rsid w:val="52BA32C7"/>
    <w:rsid w:val="52BA4AFD"/>
    <w:rsid w:val="52BB0D49"/>
    <w:rsid w:val="52BB6B4A"/>
    <w:rsid w:val="52BC67CA"/>
    <w:rsid w:val="52BD204D"/>
    <w:rsid w:val="52BD6C15"/>
    <w:rsid w:val="52BE1CCD"/>
    <w:rsid w:val="52BE5550"/>
    <w:rsid w:val="52BE7ACF"/>
    <w:rsid w:val="52BF774F"/>
    <w:rsid w:val="52C00A54"/>
    <w:rsid w:val="52C00D2C"/>
    <w:rsid w:val="52C164D5"/>
    <w:rsid w:val="52C206D3"/>
    <w:rsid w:val="52C2246A"/>
    <w:rsid w:val="52C23F57"/>
    <w:rsid w:val="52C319D8"/>
    <w:rsid w:val="52C33C07"/>
    <w:rsid w:val="52C4745A"/>
    <w:rsid w:val="52C51658"/>
    <w:rsid w:val="52C54EDB"/>
    <w:rsid w:val="52C670DA"/>
    <w:rsid w:val="52C703DE"/>
    <w:rsid w:val="52C764D4"/>
    <w:rsid w:val="52C80AAA"/>
    <w:rsid w:val="52C825DD"/>
    <w:rsid w:val="52C85E60"/>
    <w:rsid w:val="52C87073"/>
    <w:rsid w:val="52C92AF8"/>
    <w:rsid w:val="52CA1363"/>
    <w:rsid w:val="52CA226C"/>
    <w:rsid w:val="52CB0C33"/>
    <w:rsid w:val="52CC055D"/>
    <w:rsid w:val="52CC0FE3"/>
    <w:rsid w:val="52CC1B65"/>
    <w:rsid w:val="52CC4866"/>
    <w:rsid w:val="52CD22E8"/>
    <w:rsid w:val="52CD2703"/>
    <w:rsid w:val="52CE44E6"/>
    <w:rsid w:val="52CF57EB"/>
    <w:rsid w:val="52CF79E9"/>
    <w:rsid w:val="52D0481B"/>
    <w:rsid w:val="52D2096E"/>
    <w:rsid w:val="52D2676F"/>
    <w:rsid w:val="52D341F1"/>
    <w:rsid w:val="52D3730D"/>
    <w:rsid w:val="52D41C73"/>
    <w:rsid w:val="52D518F2"/>
    <w:rsid w:val="52D576F4"/>
    <w:rsid w:val="52D61424"/>
    <w:rsid w:val="52D615E9"/>
    <w:rsid w:val="52D62BF7"/>
    <w:rsid w:val="52D65176"/>
    <w:rsid w:val="52D71FC3"/>
    <w:rsid w:val="52D72187"/>
    <w:rsid w:val="52D902F9"/>
    <w:rsid w:val="52D93700"/>
    <w:rsid w:val="52D93B7C"/>
    <w:rsid w:val="52DA15FD"/>
    <w:rsid w:val="52DB37FC"/>
    <w:rsid w:val="52DB4C79"/>
    <w:rsid w:val="52DB707F"/>
    <w:rsid w:val="52DC127D"/>
    <w:rsid w:val="52DC4B00"/>
    <w:rsid w:val="52DE0004"/>
    <w:rsid w:val="52DE4780"/>
    <w:rsid w:val="52DE792F"/>
    <w:rsid w:val="52DF2202"/>
    <w:rsid w:val="52E03507"/>
    <w:rsid w:val="52E07C83"/>
    <w:rsid w:val="52E10F88"/>
    <w:rsid w:val="52E15705"/>
    <w:rsid w:val="52E3448B"/>
    <w:rsid w:val="52E41F0D"/>
    <w:rsid w:val="52E4399A"/>
    <w:rsid w:val="52E5410B"/>
    <w:rsid w:val="52E54539"/>
    <w:rsid w:val="52E61B8D"/>
    <w:rsid w:val="52E65410"/>
    <w:rsid w:val="52E6760E"/>
    <w:rsid w:val="52E72E92"/>
    <w:rsid w:val="52E75090"/>
    <w:rsid w:val="52E76EBB"/>
    <w:rsid w:val="52E77591"/>
    <w:rsid w:val="52E82B11"/>
    <w:rsid w:val="52E96395"/>
    <w:rsid w:val="52EA3E16"/>
    <w:rsid w:val="52EA6014"/>
    <w:rsid w:val="52EB0768"/>
    <w:rsid w:val="52EB1898"/>
    <w:rsid w:val="52EB3A96"/>
    <w:rsid w:val="52EC7319"/>
    <w:rsid w:val="52ED4D9B"/>
    <w:rsid w:val="52EE029E"/>
    <w:rsid w:val="52EE281C"/>
    <w:rsid w:val="52EE369A"/>
    <w:rsid w:val="52EE5798"/>
    <w:rsid w:val="52EF249C"/>
    <w:rsid w:val="52EF3DF8"/>
    <w:rsid w:val="52EF5D1F"/>
    <w:rsid w:val="52F031A2"/>
    <w:rsid w:val="52F037A1"/>
    <w:rsid w:val="52F047D2"/>
    <w:rsid w:val="52F07F1E"/>
    <w:rsid w:val="52F11223"/>
    <w:rsid w:val="52F26CA4"/>
    <w:rsid w:val="52F36AAE"/>
    <w:rsid w:val="52F46924"/>
    <w:rsid w:val="52F57C29"/>
    <w:rsid w:val="52F60FC2"/>
    <w:rsid w:val="52F656AA"/>
    <w:rsid w:val="52F7312C"/>
    <w:rsid w:val="52F80BAD"/>
    <w:rsid w:val="52F92CDD"/>
    <w:rsid w:val="52FA40B1"/>
    <w:rsid w:val="52FB1B32"/>
    <w:rsid w:val="52FB4C31"/>
    <w:rsid w:val="52FC57CF"/>
    <w:rsid w:val="52FD5035"/>
    <w:rsid w:val="52FE6D48"/>
    <w:rsid w:val="53005FBA"/>
    <w:rsid w:val="530214BD"/>
    <w:rsid w:val="53036F3E"/>
    <w:rsid w:val="53042F77"/>
    <w:rsid w:val="530449C0"/>
    <w:rsid w:val="53052442"/>
    <w:rsid w:val="530524D1"/>
    <w:rsid w:val="53061FB1"/>
    <w:rsid w:val="5307508F"/>
    <w:rsid w:val="53075C2D"/>
    <w:rsid w:val="530968C9"/>
    <w:rsid w:val="530C12BE"/>
    <w:rsid w:val="530C784E"/>
    <w:rsid w:val="530E2D51"/>
    <w:rsid w:val="530E598A"/>
    <w:rsid w:val="530F4056"/>
    <w:rsid w:val="53101AD7"/>
    <w:rsid w:val="53106254"/>
    <w:rsid w:val="53113CD6"/>
    <w:rsid w:val="53117559"/>
    <w:rsid w:val="53121757"/>
    <w:rsid w:val="53124FDB"/>
    <w:rsid w:val="531254ED"/>
    <w:rsid w:val="531371D9"/>
    <w:rsid w:val="531404DE"/>
    <w:rsid w:val="53144C5A"/>
    <w:rsid w:val="53144E64"/>
    <w:rsid w:val="53147604"/>
    <w:rsid w:val="531526DC"/>
    <w:rsid w:val="53155F5F"/>
    <w:rsid w:val="53157440"/>
    <w:rsid w:val="531609B9"/>
    <w:rsid w:val="531639E1"/>
    <w:rsid w:val="53171462"/>
    <w:rsid w:val="531910E2"/>
    <w:rsid w:val="53192C95"/>
    <w:rsid w:val="53194965"/>
    <w:rsid w:val="531A366F"/>
    <w:rsid w:val="531A6B64"/>
    <w:rsid w:val="531B420E"/>
    <w:rsid w:val="531B7E68"/>
    <w:rsid w:val="531C2067"/>
    <w:rsid w:val="531C4DAC"/>
    <w:rsid w:val="531E0DED"/>
    <w:rsid w:val="531E3C37"/>
    <w:rsid w:val="531F0A6D"/>
    <w:rsid w:val="531F2FEB"/>
    <w:rsid w:val="531F686F"/>
    <w:rsid w:val="531F6EC4"/>
    <w:rsid w:val="532064EF"/>
    <w:rsid w:val="532076DA"/>
    <w:rsid w:val="53211D72"/>
    <w:rsid w:val="532219F2"/>
    <w:rsid w:val="532272D6"/>
    <w:rsid w:val="532277F3"/>
    <w:rsid w:val="532317F1"/>
    <w:rsid w:val="532319B6"/>
    <w:rsid w:val="53235275"/>
    <w:rsid w:val="53236894"/>
    <w:rsid w:val="53236DB5"/>
    <w:rsid w:val="53237473"/>
    <w:rsid w:val="53242CF6"/>
    <w:rsid w:val="53250778"/>
    <w:rsid w:val="53252976"/>
    <w:rsid w:val="532603F8"/>
    <w:rsid w:val="532661FA"/>
    <w:rsid w:val="532716FD"/>
    <w:rsid w:val="53285A20"/>
    <w:rsid w:val="5328717E"/>
    <w:rsid w:val="5329137C"/>
    <w:rsid w:val="53294C00"/>
    <w:rsid w:val="532A2681"/>
    <w:rsid w:val="532A6DFE"/>
    <w:rsid w:val="532B4880"/>
    <w:rsid w:val="532C5B84"/>
    <w:rsid w:val="532C75F3"/>
    <w:rsid w:val="532F3286"/>
    <w:rsid w:val="532F32A1"/>
    <w:rsid w:val="532F6B09"/>
    <w:rsid w:val="53310EBC"/>
    <w:rsid w:val="5331200C"/>
    <w:rsid w:val="53320D06"/>
    <w:rsid w:val="53327A8E"/>
    <w:rsid w:val="5333550F"/>
    <w:rsid w:val="53336043"/>
    <w:rsid w:val="53342F91"/>
    <w:rsid w:val="53366494"/>
    <w:rsid w:val="53370692"/>
    <w:rsid w:val="53373F15"/>
    <w:rsid w:val="53376114"/>
    <w:rsid w:val="5338150F"/>
    <w:rsid w:val="53383B95"/>
    <w:rsid w:val="533920AE"/>
    <w:rsid w:val="53397419"/>
    <w:rsid w:val="533A4E9A"/>
    <w:rsid w:val="533A7098"/>
    <w:rsid w:val="533B3627"/>
    <w:rsid w:val="533B37EB"/>
    <w:rsid w:val="533B4B1A"/>
    <w:rsid w:val="533C039D"/>
    <w:rsid w:val="533C25EA"/>
    <w:rsid w:val="533D5E1F"/>
    <w:rsid w:val="533E38A0"/>
    <w:rsid w:val="533E5A9F"/>
    <w:rsid w:val="533F1322"/>
    <w:rsid w:val="533F6118"/>
    <w:rsid w:val="533F6DA3"/>
    <w:rsid w:val="53400FA2"/>
    <w:rsid w:val="53403178"/>
    <w:rsid w:val="53404825"/>
    <w:rsid w:val="53416A23"/>
    <w:rsid w:val="534244A5"/>
    <w:rsid w:val="5342670B"/>
    <w:rsid w:val="53431F26"/>
    <w:rsid w:val="534357AA"/>
    <w:rsid w:val="5344322B"/>
    <w:rsid w:val="53447A23"/>
    <w:rsid w:val="53450CAD"/>
    <w:rsid w:val="53452EE6"/>
    <w:rsid w:val="53462EAB"/>
    <w:rsid w:val="5346672E"/>
    <w:rsid w:val="5347445F"/>
    <w:rsid w:val="53474F61"/>
    <w:rsid w:val="53481C31"/>
    <w:rsid w:val="53493E30"/>
    <w:rsid w:val="534A18B1"/>
    <w:rsid w:val="534A673B"/>
    <w:rsid w:val="534B2BB6"/>
    <w:rsid w:val="534C0852"/>
    <w:rsid w:val="534D122D"/>
    <w:rsid w:val="534D60B9"/>
    <w:rsid w:val="534D7664"/>
    <w:rsid w:val="534E02B7"/>
    <w:rsid w:val="534E1DCB"/>
    <w:rsid w:val="534E3B3B"/>
    <w:rsid w:val="534E5B0B"/>
    <w:rsid w:val="534F15BC"/>
    <w:rsid w:val="534F296A"/>
    <w:rsid w:val="534F37BA"/>
    <w:rsid w:val="534F57A0"/>
    <w:rsid w:val="5350123C"/>
    <w:rsid w:val="53516CBE"/>
    <w:rsid w:val="53522541"/>
    <w:rsid w:val="5352473F"/>
    <w:rsid w:val="535248BD"/>
    <w:rsid w:val="53537FC2"/>
    <w:rsid w:val="53545A44"/>
    <w:rsid w:val="53547C42"/>
    <w:rsid w:val="535534C5"/>
    <w:rsid w:val="53560F47"/>
    <w:rsid w:val="53570BC7"/>
    <w:rsid w:val="53586648"/>
    <w:rsid w:val="5359168B"/>
    <w:rsid w:val="535940CA"/>
    <w:rsid w:val="535A1B4B"/>
    <w:rsid w:val="535A53CF"/>
    <w:rsid w:val="535C08D2"/>
    <w:rsid w:val="535C1400"/>
    <w:rsid w:val="535D4B57"/>
    <w:rsid w:val="535D6353"/>
    <w:rsid w:val="535D7F7D"/>
    <w:rsid w:val="535E3DD5"/>
    <w:rsid w:val="535F1857"/>
    <w:rsid w:val="535F6294"/>
    <w:rsid w:val="536072D8"/>
    <w:rsid w:val="53614D5A"/>
    <w:rsid w:val="5361780D"/>
    <w:rsid w:val="536179D1"/>
    <w:rsid w:val="5363025D"/>
    <w:rsid w:val="53641AE9"/>
    <w:rsid w:val="53660DB0"/>
    <w:rsid w:val="536611E0"/>
    <w:rsid w:val="53673A3C"/>
    <w:rsid w:val="53676C63"/>
    <w:rsid w:val="53682217"/>
    <w:rsid w:val="536A66F2"/>
    <w:rsid w:val="536A7BE8"/>
    <w:rsid w:val="536B2AC5"/>
    <w:rsid w:val="536B319B"/>
    <w:rsid w:val="536B5669"/>
    <w:rsid w:val="536C30EB"/>
    <w:rsid w:val="536D0B6C"/>
    <w:rsid w:val="536E13A9"/>
    <w:rsid w:val="536E65EE"/>
    <w:rsid w:val="536F406F"/>
    <w:rsid w:val="53714FF4"/>
    <w:rsid w:val="53726DDE"/>
    <w:rsid w:val="537304F7"/>
    <w:rsid w:val="53745F79"/>
    <w:rsid w:val="53756B51"/>
    <w:rsid w:val="5376147C"/>
    <w:rsid w:val="53772781"/>
    <w:rsid w:val="53776EFD"/>
    <w:rsid w:val="53777F05"/>
    <w:rsid w:val="53780202"/>
    <w:rsid w:val="5378497F"/>
    <w:rsid w:val="53786204"/>
    <w:rsid w:val="53786C46"/>
    <w:rsid w:val="53792400"/>
    <w:rsid w:val="53795978"/>
    <w:rsid w:val="53795C84"/>
    <w:rsid w:val="537A201C"/>
    <w:rsid w:val="537A3705"/>
    <w:rsid w:val="537A50EC"/>
    <w:rsid w:val="537B1187"/>
    <w:rsid w:val="537C3385"/>
    <w:rsid w:val="537C3595"/>
    <w:rsid w:val="537D0E07"/>
    <w:rsid w:val="537D468A"/>
    <w:rsid w:val="537E210B"/>
    <w:rsid w:val="537E6888"/>
    <w:rsid w:val="537F5871"/>
    <w:rsid w:val="537F6A81"/>
    <w:rsid w:val="537F7B8D"/>
    <w:rsid w:val="53801D8B"/>
    <w:rsid w:val="5380560E"/>
    <w:rsid w:val="5380624C"/>
    <w:rsid w:val="53813946"/>
    <w:rsid w:val="5381780D"/>
    <w:rsid w:val="53820B12"/>
    <w:rsid w:val="5382461A"/>
    <w:rsid w:val="53832D10"/>
    <w:rsid w:val="53836593"/>
    <w:rsid w:val="53840D3D"/>
    <w:rsid w:val="53844015"/>
    <w:rsid w:val="53856213"/>
    <w:rsid w:val="53862E55"/>
    <w:rsid w:val="53867518"/>
    <w:rsid w:val="53870D4D"/>
    <w:rsid w:val="53884C19"/>
    <w:rsid w:val="53887198"/>
    <w:rsid w:val="5389049C"/>
    <w:rsid w:val="5389269B"/>
    <w:rsid w:val="538A5F1E"/>
    <w:rsid w:val="538B39A0"/>
    <w:rsid w:val="538B5B9E"/>
    <w:rsid w:val="538B66AA"/>
    <w:rsid w:val="538C1421"/>
    <w:rsid w:val="538C361F"/>
    <w:rsid w:val="538C7248"/>
    <w:rsid w:val="538D10A1"/>
    <w:rsid w:val="538E4924"/>
    <w:rsid w:val="538F23A6"/>
    <w:rsid w:val="538F45A4"/>
    <w:rsid w:val="538F7E27"/>
    <w:rsid w:val="53902026"/>
    <w:rsid w:val="5391332A"/>
    <w:rsid w:val="53932FAA"/>
    <w:rsid w:val="5393682D"/>
    <w:rsid w:val="53940A2C"/>
    <w:rsid w:val="53951D31"/>
    <w:rsid w:val="539564AD"/>
    <w:rsid w:val="53966B08"/>
    <w:rsid w:val="539677B2"/>
    <w:rsid w:val="5397181B"/>
    <w:rsid w:val="539719B0"/>
    <w:rsid w:val="53975234"/>
    <w:rsid w:val="53980081"/>
    <w:rsid w:val="539816D1"/>
    <w:rsid w:val="53982CB5"/>
    <w:rsid w:val="539A61B8"/>
    <w:rsid w:val="539B03B7"/>
    <w:rsid w:val="539B3C3A"/>
    <w:rsid w:val="539C16BB"/>
    <w:rsid w:val="539C2D37"/>
    <w:rsid w:val="539C5E38"/>
    <w:rsid w:val="539D713D"/>
    <w:rsid w:val="539E133B"/>
    <w:rsid w:val="539E4E4F"/>
    <w:rsid w:val="539F2640"/>
    <w:rsid w:val="53A022C0"/>
    <w:rsid w:val="53A039CC"/>
    <w:rsid w:val="53A0483E"/>
    <w:rsid w:val="53A1505A"/>
    <w:rsid w:val="53A304DF"/>
    <w:rsid w:val="53A31046"/>
    <w:rsid w:val="53A53C8D"/>
    <w:rsid w:val="53A53E42"/>
    <w:rsid w:val="53A541AD"/>
    <w:rsid w:val="53A546CE"/>
    <w:rsid w:val="53A6376C"/>
    <w:rsid w:val="53A641C9"/>
    <w:rsid w:val="53A71C4B"/>
    <w:rsid w:val="53A77A4C"/>
    <w:rsid w:val="53A82F50"/>
    <w:rsid w:val="53A876CC"/>
    <w:rsid w:val="53A909D1"/>
    <w:rsid w:val="53AA2BCF"/>
    <w:rsid w:val="53AA6453"/>
    <w:rsid w:val="53AB3ED4"/>
    <w:rsid w:val="53AC60D2"/>
    <w:rsid w:val="53AD3B54"/>
    <w:rsid w:val="53AD703B"/>
    <w:rsid w:val="53AD73D7"/>
    <w:rsid w:val="53AE4E59"/>
    <w:rsid w:val="53AF28DA"/>
    <w:rsid w:val="53B01CF2"/>
    <w:rsid w:val="53B01EB6"/>
    <w:rsid w:val="53B04AD9"/>
    <w:rsid w:val="53B15DDD"/>
    <w:rsid w:val="53B2385F"/>
    <w:rsid w:val="53B27FDC"/>
    <w:rsid w:val="53B33FCE"/>
    <w:rsid w:val="53B35A5D"/>
    <w:rsid w:val="53B37216"/>
    <w:rsid w:val="53B434DF"/>
    <w:rsid w:val="53B46D62"/>
    <w:rsid w:val="53B547E4"/>
    <w:rsid w:val="53B62265"/>
    <w:rsid w:val="53B669E2"/>
    <w:rsid w:val="53B74464"/>
    <w:rsid w:val="53B77CE7"/>
    <w:rsid w:val="53B81EE5"/>
    <w:rsid w:val="53B85768"/>
    <w:rsid w:val="53B87967"/>
    <w:rsid w:val="53B931EA"/>
    <w:rsid w:val="53B953E8"/>
    <w:rsid w:val="53BA0BD7"/>
    <w:rsid w:val="53BA0C6B"/>
    <w:rsid w:val="53BB15B1"/>
    <w:rsid w:val="53BB2150"/>
    <w:rsid w:val="53BB4387"/>
    <w:rsid w:val="53BC416F"/>
    <w:rsid w:val="53BC636D"/>
    <w:rsid w:val="53BD1BF0"/>
    <w:rsid w:val="53BD388D"/>
    <w:rsid w:val="53BD3DEE"/>
    <w:rsid w:val="53BE1870"/>
    <w:rsid w:val="53BE40A3"/>
    <w:rsid w:val="53BF50F3"/>
    <w:rsid w:val="53BF72F1"/>
    <w:rsid w:val="53C02B75"/>
    <w:rsid w:val="53C04D73"/>
    <w:rsid w:val="53C127F5"/>
    <w:rsid w:val="53C303BB"/>
    <w:rsid w:val="53C37CE4"/>
    <w:rsid w:val="53C402D2"/>
    <w:rsid w:val="53C46FFC"/>
    <w:rsid w:val="53C50E71"/>
    <w:rsid w:val="53C54A7E"/>
    <w:rsid w:val="53C725AE"/>
    <w:rsid w:val="53C7314D"/>
    <w:rsid w:val="53C77F81"/>
    <w:rsid w:val="53C94501"/>
    <w:rsid w:val="53CB5A7A"/>
    <w:rsid w:val="53CB5C3E"/>
    <w:rsid w:val="53CB6987"/>
    <w:rsid w:val="53CC4409"/>
    <w:rsid w:val="53CC6619"/>
    <w:rsid w:val="53CD1E8A"/>
    <w:rsid w:val="53CE790C"/>
    <w:rsid w:val="53CE7B91"/>
    <w:rsid w:val="53CF538E"/>
    <w:rsid w:val="53D12B98"/>
    <w:rsid w:val="53D26312"/>
    <w:rsid w:val="53D33222"/>
    <w:rsid w:val="53D41815"/>
    <w:rsid w:val="53D43DC1"/>
    <w:rsid w:val="53D65ED8"/>
    <w:rsid w:val="53D7279A"/>
    <w:rsid w:val="53D8021B"/>
    <w:rsid w:val="53D85C9D"/>
    <w:rsid w:val="53D87451"/>
    <w:rsid w:val="53D97FF0"/>
    <w:rsid w:val="53DA11A0"/>
    <w:rsid w:val="53DB4A23"/>
    <w:rsid w:val="53DC24A5"/>
    <w:rsid w:val="53DD2AE1"/>
    <w:rsid w:val="53DE62D7"/>
    <w:rsid w:val="53DE6B63"/>
    <w:rsid w:val="53DF342A"/>
    <w:rsid w:val="53DF5F6C"/>
    <w:rsid w:val="53E00EAB"/>
    <w:rsid w:val="53E143AE"/>
    <w:rsid w:val="53E21E30"/>
    <w:rsid w:val="53E265AD"/>
    <w:rsid w:val="53E33EC5"/>
    <w:rsid w:val="53E3402E"/>
    <w:rsid w:val="53E45333"/>
    <w:rsid w:val="53E478AF"/>
    <w:rsid w:val="53E50E28"/>
    <w:rsid w:val="53E53180"/>
    <w:rsid w:val="53E60836"/>
    <w:rsid w:val="53E72A34"/>
    <w:rsid w:val="53E762B8"/>
    <w:rsid w:val="53E804B6"/>
    <w:rsid w:val="53E93ADE"/>
    <w:rsid w:val="53E95F37"/>
    <w:rsid w:val="53EA39B9"/>
    <w:rsid w:val="53EB143A"/>
    <w:rsid w:val="53EB521C"/>
    <w:rsid w:val="53EC0FD5"/>
    <w:rsid w:val="53EC6EBC"/>
    <w:rsid w:val="53ED493E"/>
    <w:rsid w:val="53EE23BF"/>
    <w:rsid w:val="53EE5C42"/>
    <w:rsid w:val="53EE7631"/>
    <w:rsid w:val="53EE7B52"/>
    <w:rsid w:val="53F01145"/>
    <w:rsid w:val="53F058C2"/>
    <w:rsid w:val="53F16BC7"/>
    <w:rsid w:val="53F21C60"/>
    <w:rsid w:val="53F229C4"/>
    <w:rsid w:val="53F24649"/>
    <w:rsid w:val="53F26847"/>
    <w:rsid w:val="53F320CA"/>
    <w:rsid w:val="53F342C8"/>
    <w:rsid w:val="53F577CC"/>
    <w:rsid w:val="53F6304F"/>
    <w:rsid w:val="53F6524D"/>
    <w:rsid w:val="53F654B5"/>
    <w:rsid w:val="53F70AD0"/>
    <w:rsid w:val="53F80750"/>
    <w:rsid w:val="53F91A55"/>
    <w:rsid w:val="53F975CD"/>
    <w:rsid w:val="53FB16D5"/>
    <w:rsid w:val="53FB3291"/>
    <w:rsid w:val="53FB37B2"/>
    <w:rsid w:val="53FB4F58"/>
    <w:rsid w:val="53FC1FC4"/>
    <w:rsid w:val="53FC232F"/>
    <w:rsid w:val="53FC7156"/>
    <w:rsid w:val="53FD045B"/>
    <w:rsid w:val="53FD1061"/>
    <w:rsid w:val="53FD2283"/>
    <w:rsid w:val="53FE2659"/>
    <w:rsid w:val="53FE2C5D"/>
    <w:rsid w:val="53FE5EDD"/>
    <w:rsid w:val="53FF00DB"/>
    <w:rsid w:val="53FF395E"/>
    <w:rsid w:val="540013E0"/>
    <w:rsid w:val="540041D6"/>
    <w:rsid w:val="5401574F"/>
    <w:rsid w:val="54016E61"/>
    <w:rsid w:val="5401711E"/>
    <w:rsid w:val="54021060"/>
    <w:rsid w:val="540262EE"/>
    <w:rsid w:val="54047DE6"/>
    <w:rsid w:val="54051FE4"/>
    <w:rsid w:val="54063E08"/>
    <w:rsid w:val="5407197E"/>
    <w:rsid w:val="54071B43"/>
    <w:rsid w:val="540754E7"/>
    <w:rsid w:val="54082F69"/>
    <w:rsid w:val="540867EC"/>
    <w:rsid w:val="540909EB"/>
    <w:rsid w:val="5409426E"/>
    <w:rsid w:val="54095C24"/>
    <w:rsid w:val="5409646C"/>
    <w:rsid w:val="540B4280"/>
    <w:rsid w:val="540B47A1"/>
    <w:rsid w:val="540B7771"/>
    <w:rsid w:val="540C73F1"/>
    <w:rsid w:val="540D2C74"/>
    <w:rsid w:val="540D4E72"/>
    <w:rsid w:val="540E06F6"/>
    <w:rsid w:val="540E28F4"/>
    <w:rsid w:val="540F0375"/>
    <w:rsid w:val="540F6177"/>
    <w:rsid w:val="54105DF7"/>
    <w:rsid w:val="54111402"/>
    <w:rsid w:val="5411167A"/>
    <w:rsid w:val="541170FC"/>
    <w:rsid w:val="541212FA"/>
    <w:rsid w:val="54124B7D"/>
    <w:rsid w:val="54136D7C"/>
    <w:rsid w:val="54140080"/>
    <w:rsid w:val="541461DF"/>
    <w:rsid w:val="54155B02"/>
    <w:rsid w:val="54163583"/>
    <w:rsid w:val="541648CE"/>
    <w:rsid w:val="54167D00"/>
    <w:rsid w:val="54171005"/>
    <w:rsid w:val="54175631"/>
    <w:rsid w:val="54175782"/>
    <w:rsid w:val="54183203"/>
    <w:rsid w:val="54186A87"/>
    <w:rsid w:val="54187D2B"/>
    <w:rsid w:val="54190C85"/>
    <w:rsid w:val="541969E6"/>
    <w:rsid w:val="54196BAA"/>
    <w:rsid w:val="541A0123"/>
    <w:rsid w:val="541A5E66"/>
    <w:rsid w:val="541A6706"/>
    <w:rsid w:val="541B4188"/>
    <w:rsid w:val="541B7A0B"/>
    <w:rsid w:val="541C1C0A"/>
    <w:rsid w:val="541C548D"/>
    <w:rsid w:val="541D2F0E"/>
    <w:rsid w:val="541D768B"/>
    <w:rsid w:val="541E2C15"/>
    <w:rsid w:val="541E2DD9"/>
    <w:rsid w:val="541E510D"/>
    <w:rsid w:val="541F6411"/>
    <w:rsid w:val="54203E93"/>
    <w:rsid w:val="54211915"/>
    <w:rsid w:val="54216091"/>
    <w:rsid w:val="54221594"/>
    <w:rsid w:val="54234E18"/>
    <w:rsid w:val="542362A5"/>
    <w:rsid w:val="5423646A"/>
    <w:rsid w:val="54242899"/>
    <w:rsid w:val="54244A97"/>
    <w:rsid w:val="5425031B"/>
    <w:rsid w:val="54252519"/>
    <w:rsid w:val="542603BD"/>
    <w:rsid w:val="54260581"/>
    <w:rsid w:val="5427381E"/>
    <w:rsid w:val="54281936"/>
    <w:rsid w:val="54290122"/>
    <w:rsid w:val="542947A2"/>
    <w:rsid w:val="54296D21"/>
    <w:rsid w:val="542A2224"/>
    <w:rsid w:val="542B7CA6"/>
    <w:rsid w:val="542C409C"/>
    <w:rsid w:val="542C5727"/>
    <w:rsid w:val="542D31A9"/>
    <w:rsid w:val="542E6703"/>
    <w:rsid w:val="542F66AC"/>
    <w:rsid w:val="542F70DE"/>
    <w:rsid w:val="54300ECB"/>
    <w:rsid w:val="5430412D"/>
    <w:rsid w:val="543079D2"/>
    <w:rsid w:val="54311BAF"/>
    <w:rsid w:val="54327630"/>
    <w:rsid w:val="54331D94"/>
    <w:rsid w:val="54331F58"/>
    <w:rsid w:val="54342932"/>
    <w:rsid w:val="543437E8"/>
    <w:rsid w:val="5435330D"/>
    <w:rsid w:val="54354E9B"/>
    <w:rsid w:val="54363A17"/>
    <w:rsid w:val="54366037"/>
    <w:rsid w:val="5438153A"/>
    <w:rsid w:val="54385FC3"/>
    <w:rsid w:val="543B24BE"/>
    <w:rsid w:val="543C0AB5"/>
    <w:rsid w:val="543C7F40"/>
    <w:rsid w:val="543E21F2"/>
    <w:rsid w:val="543F2D91"/>
    <w:rsid w:val="54406707"/>
    <w:rsid w:val="54406946"/>
    <w:rsid w:val="54411E49"/>
    <w:rsid w:val="54414145"/>
    <w:rsid w:val="54414309"/>
    <w:rsid w:val="544143C8"/>
    <w:rsid w:val="54417C4B"/>
    <w:rsid w:val="544256CC"/>
    <w:rsid w:val="54436421"/>
    <w:rsid w:val="5444625D"/>
    <w:rsid w:val="5445084F"/>
    <w:rsid w:val="54456651"/>
    <w:rsid w:val="544640D3"/>
    <w:rsid w:val="544748A8"/>
    <w:rsid w:val="544818ED"/>
    <w:rsid w:val="544875D6"/>
    <w:rsid w:val="54492AD9"/>
    <w:rsid w:val="54497256"/>
    <w:rsid w:val="544A055A"/>
    <w:rsid w:val="544B2759"/>
    <w:rsid w:val="544B3A05"/>
    <w:rsid w:val="544B3BC9"/>
    <w:rsid w:val="544B7B6F"/>
    <w:rsid w:val="544C3A5E"/>
    <w:rsid w:val="544D14DF"/>
    <w:rsid w:val="544D2C2B"/>
    <w:rsid w:val="544D5C5C"/>
    <w:rsid w:val="544E5B1C"/>
    <w:rsid w:val="54506BE0"/>
    <w:rsid w:val="54510997"/>
    <w:rsid w:val="5451451C"/>
    <w:rsid w:val="545207D2"/>
    <w:rsid w:val="545220E4"/>
    <w:rsid w:val="54525967"/>
    <w:rsid w:val="54530D3D"/>
    <w:rsid w:val="545333E8"/>
    <w:rsid w:val="54537B65"/>
    <w:rsid w:val="54540E6A"/>
    <w:rsid w:val="545455E7"/>
    <w:rsid w:val="54553068"/>
    <w:rsid w:val="545532C4"/>
    <w:rsid w:val="54560AEA"/>
    <w:rsid w:val="54563E63"/>
    <w:rsid w:val="5456436D"/>
    <w:rsid w:val="54587870"/>
    <w:rsid w:val="545974F0"/>
    <w:rsid w:val="545A2D73"/>
    <w:rsid w:val="545A4F71"/>
    <w:rsid w:val="545A6B19"/>
    <w:rsid w:val="545B0648"/>
    <w:rsid w:val="545B76B8"/>
    <w:rsid w:val="545C6276"/>
    <w:rsid w:val="545D0A6C"/>
    <w:rsid w:val="545D5EF6"/>
    <w:rsid w:val="545E3978"/>
    <w:rsid w:val="54604111"/>
    <w:rsid w:val="54604C7D"/>
    <w:rsid w:val="54606E7B"/>
    <w:rsid w:val="54610180"/>
    <w:rsid w:val="546126FE"/>
    <w:rsid w:val="546136CF"/>
    <w:rsid w:val="546142C1"/>
    <w:rsid w:val="5462237E"/>
    <w:rsid w:val="54624C9B"/>
    <w:rsid w:val="54625C01"/>
    <w:rsid w:val="5463583A"/>
    <w:rsid w:val="54653303"/>
    <w:rsid w:val="54656B86"/>
    <w:rsid w:val="54656DB3"/>
    <w:rsid w:val="54667B16"/>
    <w:rsid w:val="54672089"/>
    <w:rsid w:val="54676806"/>
    <w:rsid w:val="5468108F"/>
    <w:rsid w:val="54684287"/>
    <w:rsid w:val="54691D09"/>
    <w:rsid w:val="546A2443"/>
    <w:rsid w:val="546A778A"/>
    <w:rsid w:val="546B0A8F"/>
    <w:rsid w:val="546B31A6"/>
    <w:rsid w:val="546D3F92"/>
    <w:rsid w:val="546E5C98"/>
    <w:rsid w:val="546E6190"/>
    <w:rsid w:val="546F3C12"/>
    <w:rsid w:val="546F6062"/>
    <w:rsid w:val="54701694"/>
    <w:rsid w:val="54704F17"/>
    <w:rsid w:val="54713E32"/>
    <w:rsid w:val="54714874"/>
    <w:rsid w:val="54717115"/>
    <w:rsid w:val="5472078A"/>
    <w:rsid w:val="5472094E"/>
    <w:rsid w:val="54723AC7"/>
    <w:rsid w:val="54724B97"/>
    <w:rsid w:val="5473009A"/>
    <w:rsid w:val="54741D03"/>
    <w:rsid w:val="5475139F"/>
    <w:rsid w:val="547528A1"/>
    <w:rsid w:val="54766E20"/>
    <w:rsid w:val="547748A2"/>
    <w:rsid w:val="54782323"/>
    <w:rsid w:val="547849B9"/>
    <w:rsid w:val="547A32A8"/>
    <w:rsid w:val="547B0D29"/>
    <w:rsid w:val="547B54A6"/>
    <w:rsid w:val="547C2F28"/>
    <w:rsid w:val="547D09A9"/>
    <w:rsid w:val="547D0BAA"/>
    <w:rsid w:val="547E1CAE"/>
    <w:rsid w:val="547E642B"/>
    <w:rsid w:val="547F2325"/>
    <w:rsid w:val="547F3EAC"/>
    <w:rsid w:val="547F7730"/>
    <w:rsid w:val="548051B1"/>
    <w:rsid w:val="54812C33"/>
    <w:rsid w:val="5481389E"/>
    <w:rsid w:val="54824E31"/>
    <w:rsid w:val="54836136"/>
    <w:rsid w:val="54843BB7"/>
    <w:rsid w:val="54851639"/>
    <w:rsid w:val="54865F37"/>
    <w:rsid w:val="548825BE"/>
    <w:rsid w:val="54886D3A"/>
    <w:rsid w:val="548947BC"/>
    <w:rsid w:val="548A223D"/>
    <w:rsid w:val="548A25BF"/>
    <w:rsid w:val="548A7CBF"/>
    <w:rsid w:val="548B3542"/>
    <w:rsid w:val="548C0FC4"/>
    <w:rsid w:val="548D0C44"/>
    <w:rsid w:val="548D226F"/>
    <w:rsid w:val="548D6A45"/>
    <w:rsid w:val="548D7640"/>
    <w:rsid w:val="548E0A81"/>
    <w:rsid w:val="549079CA"/>
    <w:rsid w:val="5491544C"/>
    <w:rsid w:val="5492094F"/>
    <w:rsid w:val="549363D0"/>
    <w:rsid w:val="549518D3"/>
    <w:rsid w:val="54974DD6"/>
    <w:rsid w:val="54982858"/>
    <w:rsid w:val="549A0AF6"/>
    <w:rsid w:val="549A5D5B"/>
    <w:rsid w:val="549A5EE9"/>
    <w:rsid w:val="549A60AE"/>
    <w:rsid w:val="549B46E1"/>
    <w:rsid w:val="549C125E"/>
    <w:rsid w:val="549C7626"/>
    <w:rsid w:val="54A23691"/>
    <w:rsid w:val="54A30BE9"/>
    <w:rsid w:val="54A34230"/>
    <w:rsid w:val="54A4666B"/>
    <w:rsid w:val="54A5650C"/>
    <w:rsid w:val="54A72E72"/>
    <w:rsid w:val="54A775EF"/>
    <w:rsid w:val="54A778C0"/>
    <w:rsid w:val="54A85071"/>
    <w:rsid w:val="54A92AF2"/>
    <w:rsid w:val="54A96376"/>
    <w:rsid w:val="54AA0574"/>
    <w:rsid w:val="54AA5FF5"/>
    <w:rsid w:val="54AA6EBE"/>
    <w:rsid w:val="54AB1879"/>
    <w:rsid w:val="54AB3A77"/>
    <w:rsid w:val="54AC14F8"/>
    <w:rsid w:val="54AC72FA"/>
    <w:rsid w:val="54AD6F7A"/>
    <w:rsid w:val="54AE27FD"/>
    <w:rsid w:val="54AF027F"/>
    <w:rsid w:val="54AF247D"/>
    <w:rsid w:val="54AF5068"/>
    <w:rsid w:val="54B13782"/>
    <w:rsid w:val="54B15980"/>
    <w:rsid w:val="54B167A5"/>
    <w:rsid w:val="54B26C85"/>
    <w:rsid w:val="54B27D1E"/>
    <w:rsid w:val="54B27EE3"/>
    <w:rsid w:val="54B30E83"/>
    <w:rsid w:val="54B4145C"/>
    <w:rsid w:val="54B42188"/>
    <w:rsid w:val="54B46905"/>
    <w:rsid w:val="54B54386"/>
    <w:rsid w:val="54B57C0A"/>
    <w:rsid w:val="54B61E08"/>
    <w:rsid w:val="54B6568B"/>
    <w:rsid w:val="54B7310D"/>
    <w:rsid w:val="54B80B8E"/>
    <w:rsid w:val="54B8169C"/>
    <w:rsid w:val="54B82797"/>
    <w:rsid w:val="54B92D8D"/>
    <w:rsid w:val="54BA0063"/>
    <w:rsid w:val="54BA080E"/>
    <w:rsid w:val="54BA4091"/>
    <w:rsid w:val="54BA7621"/>
    <w:rsid w:val="54BB1B13"/>
    <w:rsid w:val="54BB6290"/>
    <w:rsid w:val="54BC6C04"/>
    <w:rsid w:val="54BD75DE"/>
    <w:rsid w:val="54BE7214"/>
    <w:rsid w:val="54BF0519"/>
    <w:rsid w:val="54BF0B57"/>
    <w:rsid w:val="54C02717"/>
    <w:rsid w:val="54C05F9B"/>
    <w:rsid w:val="54C12C6E"/>
    <w:rsid w:val="54C2149E"/>
    <w:rsid w:val="54C25C1B"/>
    <w:rsid w:val="54C26276"/>
    <w:rsid w:val="54C341E7"/>
    <w:rsid w:val="54C343AC"/>
    <w:rsid w:val="54C449A1"/>
    <w:rsid w:val="54C620A2"/>
    <w:rsid w:val="54C67EA4"/>
    <w:rsid w:val="54C75926"/>
    <w:rsid w:val="54C77062"/>
    <w:rsid w:val="54C87878"/>
    <w:rsid w:val="54C90E29"/>
    <w:rsid w:val="54C91DFE"/>
    <w:rsid w:val="54CA432C"/>
    <w:rsid w:val="54CA68AA"/>
    <w:rsid w:val="54CB1B54"/>
    <w:rsid w:val="54CB1DAD"/>
    <w:rsid w:val="54CB652A"/>
    <w:rsid w:val="54CC3FAC"/>
    <w:rsid w:val="54CD52B0"/>
    <w:rsid w:val="54CE74AF"/>
    <w:rsid w:val="54CF07B4"/>
    <w:rsid w:val="54CF6D6B"/>
    <w:rsid w:val="54D06235"/>
    <w:rsid w:val="54D10433"/>
    <w:rsid w:val="54D21738"/>
    <w:rsid w:val="54D25EB5"/>
    <w:rsid w:val="54D33936"/>
    <w:rsid w:val="54D35D47"/>
    <w:rsid w:val="54D371BA"/>
    <w:rsid w:val="54D413B8"/>
    <w:rsid w:val="54D44C3B"/>
    <w:rsid w:val="54D56E3A"/>
    <w:rsid w:val="54D6013E"/>
    <w:rsid w:val="54D61FB2"/>
    <w:rsid w:val="54D74791"/>
    <w:rsid w:val="54D74E67"/>
    <w:rsid w:val="54D83641"/>
    <w:rsid w:val="54D910C3"/>
    <w:rsid w:val="54D95840"/>
    <w:rsid w:val="54DA0D43"/>
    <w:rsid w:val="54DB45C6"/>
    <w:rsid w:val="54DC2048"/>
    <w:rsid w:val="54DC4246"/>
    <w:rsid w:val="54DD7595"/>
    <w:rsid w:val="54DE0134"/>
    <w:rsid w:val="54DE554B"/>
    <w:rsid w:val="54DF2FCC"/>
    <w:rsid w:val="54DF51CB"/>
    <w:rsid w:val="54E00A4E"/>
    <w:rsid w:val="54E02C4C"/>
    <w:rsid w:val="54E1224C"/>
    <w:rsid w:val="54E164CF"/>
    <w:rsid w:val="54E22DEA"/>
    <w:rsid w:val="54E2614F"/>
    <w:rsid w:val="54E33989"/>
    <w:rsid w:val="54E33BD1"/>
    <w:rsid w:val="54E41652"/>
    <w:rsid w:val="54E64B55"/>
    <w:rsid w:val="54E65AA0"/>
    <w:rsid w:val="54E75E5A"/>
    <w:rsid w:val="54E762B6"/>
    <w:rsid w:val="54E80059"/>
    <w:rsid w:val="54E86E55"/>
    <w:rsid w:val="54E9135D"/>
    <w:rsid w:val="54E979F3"/>
    <w:rsid w:val="54EA03CE"/>
    <w:rsid w:val="54EA6DDF"/>
    <w:rsid w:val="54EB0FDD"/>
    <w:rsid w:val="54EB4860"/>
    <w:rsid w:val="54EC22E2"/>
    <w:rsid w:val="54ED44E0"/>
    <w:rsid w:val="54EE57E5"/>
    <w:rsid w:val="54EF3267"/>
    <w:rsid w:val="54F20968"/>
    <w:rsid w:val="54F22D84"/>
    <w:rsid w:val="54F241EB"/>
    <w:rsid w:val="54F26714"/>
    <w:rsid w:val="54F324F8"/>
    <w:rsid w:val="54F363EA"/>
    <w:rsid w:val="54F62BF2"/>
    <w:rsid w:val="54F72943"/>
    <w:rsid w:val="54F73313"/>
    <w:rsid w:val="54F80955"/>
    <w:rsid w:val="54F860F5"/>
    <w:rsid w:val="54F93B76"/>
    <w:rsid w:val="54FA4A5B"/>
    <w:rsid w:val="54FB4AFB"/>
    <w:rsid w:val="54FB7079"/>
    <w:rsid w:val="54FC257C"/>
    <w:rsid w:val="54FC5FD4"/>
    <w:rsid w:val="54FC6198"/>
    <w:rsid w:val="54FD7FFE"/>
    <w:rsid w:val="54FE5A7F"/>
    <w:rsid w:val="54FE6FDD"/>
    <w:rsid w:val="54FF02B0"/>
    <w:rsid w:val="55011829"/>
    <w:rsid w:val="550240DE"/>
    <w:rsid w:val="55024486"/>
    <w:rsid w:val="55032DA2"/>
    <w:rsid w:val="55032FC6"/>
    <w:rsid w:val="55033331"/>
    <w:rsid w:val="5505540A"/>
    <w:rsid w:val="55062E8C"/>
    <w:rsid w:val="550652BB"/>
    <w:rsid w:val="55076432"/>
    <w:rsid w:val="550979AB"/>
    <w:rsid w:val="550A1892"/>
    <w:rsid w:val="550B5550"/>
    <w:rsid w:val="550C1C87"/>
    <w:rsid w:val="550C4D95"/>
    <w:rsid w:val="550D249D"/>
    <w:rsid w:val="550D609A"/>
    <w:rsid w:val="550E303B"/>
    <w:rsid w:val="550E3B1C"/>
    <w:rsid w:val="550F159D"/>
    <w:rsid w:val="550F5D1A"/>
    <w:rsid w:val="550F7EF4"/>
    <w:rsid w:val="5510379B"/>
    <w:rsid w:val="551045B4"/>
    <w:rsid w:val="5511121D"/>
    <w:rsid w:val="55114AA0"/>
    <w:rsid w:val="55115959"/>
    <w:rsid w:val="5511639A"/>
    <w:rsid w:val="55125282"/>
    <w:rsid w:val="55126C9E"/>
    <w:rsid w:val="551321A2"/>
    <w:rsid w:val="551366CC"/>
    <w:rsid w:val="55145A25"/>
    <w:rsid w:val="55170BA8"/>
    <w:rsid w:val="551769A9"/>
    <w:rsid w:val="55186629"/>
    <w:rsid w:val="5519123C"/>
    <w:rsid w:val="55191EAD"/>
    <w:rsid w:val="551A1B2C"/>
    <w:rsid w:val="551B4A12"/>
    <w:rsid w:val="551B53B0"/>
    <w:rsid w:val="551B75AE"/>
    <w:rsid w:val="551C08B3"/>
    <w:rsid w:val="551C5030"/>
    <w:rsid w:val="551C55B1"/>
    <w:rsid w:val="551E0533"/>
    <w:rsid w:val="551E1403"/>
    <w:rsid w:val="551E1E45"/>
    <w:rsid w:val="551E3DB6"/>
    <w:rsid w:val="551F0B77"/>
    <w:rsid w:val="551F76C9"/>
    <w:rsid w:val="552000A3"/>
    <w:rsid w:val="55203A36"/>
    <w:rsid w:val="552114B7"/>
    <w:rsid w:val="55214D3B"/>
    <w:rsid w:val="552221BA"/>
    <w:rsid w:val="5523023E"/>
    <w:rsid w:val="55245CBF"/>
    <w:rsid w:val="5525126D"/>
    <w:rsid w:val="552611C2"/>
    <w:rsid w:val="552733C1"/>
    <w:rsid w:val="55276C44"/>
    <w:rsid w:val="55280E42"/>
    <w:rsid w:val="55292147"/>
    <w:rsid w:val="552B564A"/>
    <w:rsid w:val="552C10A0"/>
    <w:rsid w:val="552C30CC"/>
    <w:rsid w:val="552C446C"/>
    <w:rsid w:val="552C52CA"/>
    <w:rsid w:val="552D2D4B"/>
    <w:rsid w:val="552D79CE"/>
    <w:rsid w:val="552E2E34"/>
    <w:rsid w:val="552E31B7"/>
    <w:rsid w:val="552E65CF"/>
    <w:rsid w:val="552F4050"/>
    <w:rsid w:val="552F624E"/>
    <w:rsid w:val="55301AD2"/>
    <w:rsid w:val="55303CD0"/>
    <w:rsid w:val="55324FD5"/>
    <w:rsid w:val="553271D3"/>
    <w:rsid w:val="553304D8"/>
    <w:rsid w:val="55334C55"/>
    <w:rsid w:val="553426D6"/>
    <w:rsid w:val="55350158"/>
    <w:rsid w:val="553539DB"/>
    <w:rsid w:val="55365BD9"/>
    <w:rsid w:val="5537365B"/>
    <w:rsid w:val="55376EDE"/>
    <w:rsid w:val="553774BF"/>
    <w:rsid w:val="553810DC"/>
    <w:rsid w:val="55384960"/>
    <w:rsid w:val="553923E1"/>
    <w:rsid w:val="55396B5E"/>
    <w:rsid w:val="553A3615"/>
    <w:rsid w:val="553A45E0"/>
    <w:rsid w:val="553A7E63"/>
    <w:rsid w:val="553B4B8E"/>
    <w:rsid w:val="553B58E4"/>
    <w:rsid w:val="553B6208"/>
    <w:rsid w:val="553C3366"/>
    <w:rsid w:val="553C572D"/>
    <w:rsid w:val="553C7AE3"/>
    <w:rsid w:val="553D0DE7"/>
    <w:rsid w:val="553E2FE6"/>
    <w:rsid w:val="553E6AE1"/>
    <w:rsid w:val="553F0A67"/>
    <w:rsid w:val="553F42EB"/>
    <w:rsid w:val="553F7680"/>
    <w:rsid w:val="55401D6C"/>
    <w:rsid w:val="554064E9"/>
    <w:rsid w:val="55413F6A"/>
    <w:rsid w:val="554177EE"/>
    <w:rsid w:val="5542526F"/>
    <w:rsid w:val="55432CF1"/>
    <w:rsid w:val="55434EEF"/>
    <w:rsid w:val="55442D10"/>
    <w:rsid w:val="55442ED5"/>
    <w:rsid w:val="55464289"/>
    <w:rsid w:val="5546444E"/>
    <w:rsid w:val="55486082"/>
    <w:rsid w:val="55487179"/>
    <w:rsid w:val="55490D50"/>
    <w:rsid w:val="55491426"/>
    <w:rsid w:val="554A067A"/>
    <w:rsid w:val="554C1057"/>
    <w:rsid w:val="554C3600"/>
    <w:rsid w:val="554C7D7D"/>
    <w:rsid w:val="554E25D0"/>
    <w:rsid w:val="554E3280"/>
    <w:rsid w:val="554E6B03"/>
    <w:rsid w:val="554F4585"/>
    <w:rsid w:val="55502006"/>
    <w:rsid w:val="55506783"/>
    <w:rsid w:val="555170A7"/>
    <w:rsid w:val="55517A88"/>
    <w:rsid w:val="55521C86"/>
    <w:rsid w:val="5552550A"/>
    <w:rsid w:val="55532F8B"/>
    <w:rsid w:val="55537708"/>
    <w:rsid w:val="555467FF"/>
    <w:rsid w:val="5556068C"/>
    <w:rsid w:val="55563F10"/>
    <w:rsid w:val="5557610E"/>
    <w:rsid w:val="555812F1"/>
    <w:rsid w:val="55583378"/>
    <w:rsid w:val="55583B90"/>
    <w:rsid w:val="55587413"/>
    <w:rsid w:val="55592260"/>
    <w:rsid w:val="55592936"/>
    <w:rsid w:val="55594E94"/>
    <w:rsid w:val="555A7093"/>
    <w:rsid w:val="555B0397"/>
    <w:rsid w:val="555C4981"/>
    <w:rsid w:val="555C5E19"/>
    <w:rsid w:val="555D56E4"/>
    <w:rsid w:val="555E00A0"/>
    <w:rsid w:val="555E131C"/>
    <w:rsid w:val="555F6A99"/>
    <w:rsid w:val="556077FC"/>
    <w:rsid w:val="55627D22"/>
    <w:rsid w:val="5563174F"/>
    <w:rsid w:val="556357A4"/>
    <w:rsid w:val="556422EE"/>
    <w:rsid w:val="55653A2B"/>
    <w:rsid w:val="55654D48"/>
    <w:rsid w:val="556641AA"/>
    <w:rsid w:val="55664241"/>
    <w:rsid w:val="55674DDF"/>
    <w:rsid w:val="55674F5D"/>
    <w:rsid w:val="556757E9"/>
    <w:rsid w:val="55683FFB"/>
    <w:rsid w:val="556876AD"/>
    <w:rsid w:val="556935BA"/>
    <w:rsid w:val="556A2BB0"/>
    <w:rsid w:val="556A70BB"/>
    <w:rsid w:val="556B0632"/>
    <w:rsid w:val="556C0634"/>
    <w:rsid w:val="556C60B3"/>
    <w:rsid w:val="556D11D3"/>
    <w:rsid w:val="556D7BFC"/>
    <w:rsid w:val="556E15B6"/>
    <w:rsid w:val="556F2587"/>
    <w:rsid w:val="55703126"/>
    <w:rsid w:val="5572469F"/>
    <w:rsid w:val="557257AC"/>
    <w:rsid w:val="55727FBD"/>
    <w:rsid w:val="557312C2"/>
    <w:rsid w:val="557434C0"/>
    <w:rsid w:val="55750F41"/>
    <w:rsid w:val="557547C5"/>
    <w:rsid w:val="55762246"/>
    <w:rsid w:val="55774444"/>
    <w:rsid w:val="557762B7"/>
    <w:rsid w:val="55777CC8"/>
    <w:rsid w:val="55785749"/>
    <w:rsid w:val="557931CB"/>
    <w:rsid w:val="55797948"/>
    <w:rsid w:val="557A53C9"/>
    <w:rsid w:val="557B3584"/>
    <w:rsid w:val="557B66CE"/>
    <w:rsid w:val="557C414F"/>
    <w:rsid w:val="557C634E"/>
    <w:rsid w:val="557E1851"/>
    <w:rsid w:val="557F50D4"/>
    <w:rsid w:val="557F6076"/>
    <w:rsid w:val="557F72D2"/>
    <w:rsid w:val="55802B56"/>
    <w:rsid w:val="55804D54"/>
    <w:rsid w:val="558077B3"/>
    <w:rsid w:val="558105D7"/>
    <w:rsid w:val="558127D5"/>
    <w:rsid w:val="55820D2C"/>
    <w:rsid w:val="558318CB"/>
    <w:rsid w:val="55835CD9"/>
    <w:rsid w:val="5584155C"/>
    <w:rsid w:val="558420CD"/>
    <w:rsid w:val="55846FDD"/>
    <w:rsid w:val="55850A94"/>
    <w:rsid w:val="558511DC"/>
    <w:rsid w:val="558624E1"/>
    <w:rsid w:val="5586381E"/>
    <w:rsid w:val="558639E2"/>
    <w:rsid w:val="558746DF"/>
    <w:rsid w:val="5587536D"/>
    <w:rsid w:val="55882160"/>
    <w:rsid w:val="55893465"/>
    <w:rsid w:val="55895AFA"/>
    <w:rsid w:val="558A0EE7"/>
    <w:rsid w:val="558B30E5"/>
    <w:rsid w:val="558B6968"/>
    <w:rsid w:val="558C0B67"/>
    <w:rsid w:val="558D1E6B"/>
    <w:rsid w:val="558E1B65"/>
    <w:rsid w:val="558E406A"/>
    <w:rsid w:val="558F1AEB"/>
    <w:rsid w:val="55902DF0"/>
    <w:rsid w:val="5590756D"/>
    <w:rsid w:val="55910872"/>
    <w:rsid w:val="55922A70"/>
    <w:rsid w:val="559262F3"/>
    <w:rsid w:val="559304F1"/>
    <w:rsid w:val="55933792"/>
    <w:rsid w:val="55933D75"/>
    <w:rsid w:val="559424C5"/>
    <w:rsid w:val="5594267A"/>
    <w:rsid w:val="559439F4"/>
    <w:rsid w:val="55951476"/>
    <w:rsid w:val="55966EF8"/>
    <w:rsid w:val="55974979"/>
    <w:rsid w:val="55977EAB"/>
    <w:rsid w:val="55986733"/>
    <w:rsid w:val="55995C7E"/>
    <w:rsid w:val="559B174B"/>
    <w:rsid w:val="559B299D"/>
    <w:rsid w:val="559C3F16"/>
    <w:rsid w:val="559C40DA"/>
    <w:rsid w:val="559C4684"/>
    <w:rsid w:val="559D2106"/>
    <w:rsid w:val="559D6882"/>
    <w:rsid w:val="559E7B87"/>
    <w:rsid w:val="559F1D86"/>
    <w:rsid w:val="559F61F2"/>
    <w:rsid w:val="55A07807"/>
    <w:rsid w:val="55A162DB"/>
    <w:rsid w:val="55A175A6"/>
    <w:rsid w:val="55A1776B"/>
    <w:rsid w:val="55A22D0A"/>
    <w:rsid w:val="55A25F60"/>
    <w:rsid w:val="55A2658D"/>
    <w:rsid w:val="55A3078C"/>
    <w:rsid w:val="55A41882"/>
    <w:rsid w:val="55A41A91"/>
    <w:rsid w:val="55A4620D"/>
    <w:rsid w:val="55A53C8F"/>
    <w:rsid w:val="55A61710"/>
    <w:rsid w:val="55A80497"/>
    <w:rsid w:val="55A92695"/>
    <w:rsid w:val="55A94F13"/>
    <w:rsid w:val="55A95F18"/>
    <w:rsid w:val="55AA0117"/>
    <w:rsid w:val="55AA58ED"/>
    <w:rsid w:val="55AA648C"/>
    <w:rsid w:val="55AA6650"/>
    <w:rsid w:val="55AB5B98"/>
    <w:rsid w:val="55AC109B"/>
    <w:rsid w:val="55AC361A"/>
    <w:rsid w:val="55AC6E9D"/>
    <w:rsid w:val="55AD491E"/>
    <w:rsid w:val="55AD6B1D"/>
    <w:rsid w:val="55AE459E"/>
    <w:rsid w:val="55AF0E23"/>
    <w:rsid w:val="55AF14F9"/>
    <w:rsid w:val="55AF2020"/>
    <w:rsid w:val="55B058A3"/>
    <w:rsid w:val="55B07AA1"/>
    <w:rsid w:val="55B13095"/>
    <w:rsid w:val="55B15523"/>
    <w:rsid w:val="55B172C9"/>
    <w:rsid w:val="55B20DA6"/>
    <w:rsid w:val="55B23DF8"/>
    <w:rsid w:val="55B347D2"/>
    <w:rsid w:val="55B442A9"/>
    <w:rsid w:val="55B53F29"/>
    <w:rsid w:val="55B55F10"/>
    <w:rsid w:val="55B619AB"/>
    <w:rsid w:val="55B6522E"/>
    <w:rsid w:val="55B72CB0"/>
    <w:rsid w:val="55B7742C"/>
    <w:rsid w:val="55B8083D"/>
    <w:rsid w:val="55B84EAE"/>
    <w:rsid w:val="55B915A0"/>
    <w:rsid w:val="55B9292F"/>
    <w:rsid w:val="55B961B3"/>
    <w:rsid w:val="55BA03B1"/>
    <w:rsid w:val="55BA3C34"/>
    <w:rsid w:val="55BB16B6"/>
    <w:rsid w:val="55BB2B19"/>
    <w:rsid w:val="55BB5E32"/>
    <w:rsid w:val="55BC36B8"/>
    <w:rsid w:val="55BC7137"/>
    <w:rsid w:val="55BE263A"/>
    <w:rsid w:val="55BE4C30"/>
    <w:rsid w:val="55BF4839"/>
    <w:rsid w:val="55BF794C"/>
    <w:rsid w:val="55C022BA"/>
    <w:rsid w:val="55C05B3D"/>
    <w:rsid w:val="55C135BF"/>
    <w:rsid w:val="55C21041"/>
    <w:rsid w:val="55C44544"/>
    <w:rsid w:val="55C51FC5"/>
    <w:rsid w:val="55C523D8"/>
    <w:rsid w:val="55C73951"/>
    <w:rsid w:val="55C754C8"/>
    <w:rsid w:val="55C76FE7"/>
    <w:rsid w:val="55C82F4A"/>
    <w:rsid w:val="55C909CB"/>
    <w:rsid w:val="55C94ECA"/>
    <w:rsid w:val="55CA644D"/>
    <w:rsid w:val="55CB3ECF"/>
    <w:rsid w:val="55CB6607"/>
    <w:rsid w:val="55CC73D2"/>
    <w:rsid w:val="55CD4B0F"/>
    <w:rsid w:val="55CD4E53"/>
    <w:rsid w:val="55CE0CF4"/>
    <w:rsid w:val="55CE28D5"/>
    <w:rsid w:val="55CE3D63"/>
    <w:rsid w:val="55D03AAD"/>
    <w:rsid w:val="55D13859"/>
    <w:rsid w:val="55D212DB"/>
    <w:rsid w:val="55D36D5C"/>
    <w:rsid w:val="55D447DE"/>
    <w:rsid w:val="55D45164"/>
    <w:rsid w:val="55D55D03"/>
    <w:rsid w:val="55D944E9"/>
    <w:rsid w:val="55DB4169"/>
    <w:rsid w:val="55DB79EC"/>
    <w:rsid w:val="55DC72ED"/>
    <w:rsid w:val="55DD2EEF"/>
    <w:rsid w:val="55E03E74"/>
    <w:rsid w:val="55E118F5"/>
    <w:rsid w:val="55E16072"/>
    <w:rsid w:val="55E23AF4"/>
    <w:rsid w:val="55E27377"/>
    <w:rsid w:val="55E2789E"/>
    <w:rsid w:val="55E31575"/>
    <w:rsid w:val="55E40E17"/>
    <w:rsid w:val="55E4287A"/>
    <w:rsid w:val="55E46FF7"/>
    <w:rsid w:val="55E65D7D"/>
    <w:rsid w:val="55E67F7B"/>
    <w:rsid w:val="55E72D6A"/>
    <w:rsid w:val="55E90F00"/>
    <w:rsid w:val="55E96D02"/>
    <w:rsid w:val="55EB1088"/>
    <w:rsid w:val="55EB4403"/>
    <w:rsid w:val="55EB5A20"/>
    <w:rsid w:val="55EC1E85"/>
    <w:rsid w:val="55EC5708"/>
    <w:rsid w:val="55ED318A"/>
    <w:rsid w:val="55ED715E"/>
    <w:rsid w:val="55ED7906"/>
    <w:rsid w:val="55EE0C0B"/>
    <w:rsid w:val="55EE5388"/>
    <w:rsid w:val="55EF10B1"/>
    <w:rsid w:val="55EF2E09"/>
    <w:rsid w:val="55F0088B"/>
    <w:rsid w:val="55F01C4F"/>
    <w:rsid w:val="55F0410E"/>
    <w:rsid w:val="55F1262A"/>
    <w:rsid w:val="55F1630D"/>
    <w:rsid w:val="55F31810"/>
    <w:rsid w:val="55F33D67"/>
    <w:rsid w:val="55F42B14"/>
    <w:rsid w:val="55F440EC"/>
    <w:rsid w:val="55F44741"/>
    <w:rsid w:val="55F47291"/>
    <w:rsid w:val="55F50161"/>
    <w:rsid w:val="55F50596"/>
    <w:rsid w:val="55F54D13"/>
    <w:rsid w:val="55F73A99"/>
    <w:rsid w:val="55F76859"/>
    <w:rsid w:val="55F8151B"/>
    <w:rsid w:val="55F84E9E"/>
    <w:rsid w:val="55F85C97"/>
    <w:rsid w:val="55F93719"/>
    <w:rsid w:val="55FA4A1E"/>
    <w:rsid w:val="55FB20AD"/>
    <w:rsid w:val="55FB249F"/>
    <w:rsid w:val="55FB7373"/>
    <w:rsid w:val="55FC4663"/>
    <w:rsid w:val="55FC469E"/>
    <w:rsid w:val="55FD211F"/>
    <w:rsid w:val="55FD3FDF"/>
    <w:rsid w:val="55FD59A2"/>
    <w:rsid w:val="55FD7BA1"/>
    <w:rsid w:val="55FE5622"/>
    <w:rsid w:val="560143A9"/>
    <w:rsid w:val="560165A7"/>
    <w:rsid w:val="56021E2A"/>
    <w:rsid w:val="56026CB7"/>
    <w:rsid w:val="56037691"/>
    <w:rsid w:val="56037855"/>
    <w:rsid w:val="560378AC"/>
    <w:rsid w:val="5604532D"/>
    <w:rsid w:val="5604752C"/>
    <w:rsid w:val="56052DAF"/>
    <w:rsid w:val="56054FAD"/>
    <w:rsid w:val="560704B0"/>
    <w:rsid w:val="56072347"/>
    <w:rsid w:val="56076719"/>
    <w:rsid w:val="560939B3"/>
    <w:rsid w:val="56097237"/>
    <w:rsid w:val="560A1435"/>
    <w:rsid w:val="560B273A"/>
    <w:rsid w:val="560C01BB"/>
    <w:rsid w:val="560C6576"/>
    <w:rsid w:val="560D23B9"/>
    <w:rsid w:val="560D5C3D"/>
    <w:rsid w:val="560E7E3B"/>
    <w:rsid w:val="561064EB"/>
    <w:rsid w:val="56110DC0"/>
    <w:rsid w:val="561225E1"/>
    <w:rsid w:val="56137B46"/>
    <w:rsid w:val="56141D44"/>
    <w:rsid w:val="561455C8"/>
    <w:rsid w:val="56151416"/>
    <w:rsid w:val="56153049"/>
    <w:rsid w:val="56155247"/>
    <w:rsid w:val="561577C6"/>
    <w:rsid w:val="56160ACB"/>
    <w:rsid w:val="5616545C"/>
    <w:rsid w:val="5617074A"/>
    <w:rsid w:val="5617654C"/>
    <w:rsid w:val="561769D4"/>
    <w:rsid w:val="56183FCE"/>
    <w:rsid w:val="56191A4F"/>
    <w:rsid w:val="561A16CF"/>
    <w:rsid w:val="561A74D1"/>
    <w:rsid w:val="561B14C6"/>
    <w:rsid w:val="561B4F52"/>
    <w:rsid w:val="561C29D4"/>
    <w:rsid w:val="561C3B8D"/>
    <w:rsid w:val="561D0456"/>
    <w:rsid w:val="561D2654"/>
    <w:rsid w:val="561D2C04"/>
    <w:rsid w:val="561F13DA"/>
    <w:rsid w:val="561F417C"/>
    <w:rsid w:val="561F5B57"/>
    <w:rsid w:val="56204B57"/>
    <w:rsid w:val="56205CFE"/>
    <w:rsid w:val="56206E5C"/>
    <w:rsid w:val="562148DD"/>
    <w:rsid w:val="56215531"/>
    <w:rsid w:val="562156F5"/>
    <w:rsid w:val="5622235F"/>
    <w:rsid w:val="562260D0"/>
    <w:rsid w:val="56226ADC"/>
    <w:rsid w:val="5623032F"/>
    <w:rsid w:val="56237DE0"/>
    <w:rsid w:val="56243888"/>
    <w:rsid w:val="56250D86"/>
    <w:rsid w:val="56252770"/>
    <w:rsid w:val="56257A60"/>
    <w:rsid w:val="56261760"/>
    <w:rsid w:val="5627287C"/>
    <w:rsid w:val="56284268"/>
    <w:rsid w:val="56291CEA"/>
    <w:rsid w:val="56293878"/>
    <w:rsid w:val="562A45DB"/>
    <w:rsid w:val="562A7AE8"/>
    <w:rsid w:val="562B51ED"/>
    <w:rsid w:val="562D06F0"/>
    <w:rsid w:val="562E6171"/>
    <w:rsid w:val="56300645"/>
    <w:rsid w:val="56311020"/>
    <w:rsid w:val="563111E4"/>
    <w:rsid w:val="563325F9"/>
    <w:rsid w:val="56333137"/>
    <w:rsid w:val="563332FB"/>
    <w:rsid w:val="56355AFC"/>
    <w:rsid w:val="56360FFF"/>
    <w:rsid w:val="5638698C"/>
    <w:rsid w:val="563A1319"/>
    <w:rsid w:val="563B5487"/>
    <w:rsid w:val="563D201C"/>
    <w:rsid w:val="563E2BBB"/>
    <w:rsid w:val="563F7711"/>
    <w:rsid w:val="56405192"/>
    <w:rsid w:val="56412C14"/>
    <w:rsid w:val="56417390"/>
    <w:rsid w:val="56424E12"/>
    <w:rsid w:val="5642624B"/>
    <w:rsid w:val="56426E9F"/>
    <w:rsid w:val="56432893"/>
    <w:rsid w:val="56436117"/>
    <w:rsid w:val="56436C26"/>
    <w:rsid w:val="56443B98"/>
    <w:rsid w:val="56450363"/>
    <w:rsid w:val="56455D97"/>
    <w:rsid w:val="56463818"/>
    <w:rsid w:val="5646709B"/>
    <w:rsid w:val="5647129A"/>
    <w:rsid w:val="564718DC"/>
    <w:rsid w:val="56490020"/>
    <w:rsid w:val="5649479D"/>
    <w:rsid w:val="564A221E"/>
    <w:rsid w:val="564A382F"/>
    <w:rsid w:val="564A5AA2"/>
    <w:rsid w:val="564B4592"/>
    <w:rsid w:val="564C4F6C"/>
    <w:rsid w:val="564C5721"/>
    <w:rsid w:val="564D0C25"/>
    <w:rsid w:val="564D31A3"/>
    <w:rsid w:val="564D6793"/>
    <w:rsid w:val="564D6A26"/>
    <w:rsid w:val="564E64E5"/>
    <w:rsid w:val="564E7084"/>
    <w:rsid w:val="564F1F29"/>
    <w:rsid w:val="564F4128"/>
    <w:rsid w:val="56501BA9"/>
    <w:rsid w:val="56510A85"/>
    <w:rsid w:val="5651115B"/>
    <w:rsid w:val="565114C6"/>
    <w:rsid w:val="5651762B"/>
    <w:rsid w:val="56521B76"/>
    <w:rsid w:val="56522EAE"/>
    <w:rsid w:val="565250AC"/>
    <w:rsid w:val="565276E9"/>
    <w:rsid w:val="56530930"/>
    <w:rsid w:val="56532B2E"/>
    <w:rsid w:val="565405AF"/>
    <w:rsid w:val="565432B3"/>
    <w:rsid w:val="56553E33"/>
    <w:rsid w:val="56556031"/>
    <w:rsid w:val="56571534"/>
    <w:rsid w:val="56582839"/>
    <w:rsid w:val="565902BA"/>
    <w:rsid w:val="56594A37"/>
    <w:rsid w:val="565A5D3C"/>
    <w:rsid w:val="565A731E"/>
    <w:rsid w:val="565B7F3A"/>
    <w:rsid w:val="565D1435"/>
    <w:rsid w:val="565D6CC1"/>
    <w:rsid w:val="565E4C06"/>
    <w:rsid w:val="565F6940"/>
    <w:rsid w:val="56603262"/>
    <w:rsid w:val="566043C2"/>
    <w:rsid w:val="56607C45"/>
    <w:rsid w:val="56611E44"/>
    <w:rsid w:val="56623148"/>
    <w:rsid w:val="56625664"/>
    <w:rsid w:val="566278C5"/>
    <w:rsid w:val="56630BCA"/>
    <w:rsid w:val="56642DC8"/>
    <w:rsid w:val="56646DA2"/>
    <w:rsid w:val="5665084A"/>
    <w:rsid w:val="566540CD"/>
    <w:rsid w:val="566775D0"/>
    <w:rsid w:val="56685052"/>
    <w:rsid w:val="56687250"/>
    <w:rsid w:val="56692432"/>
    <w:rsid w:val="5669600B"/>
    <w:rsid w:val="566A0555"/>
    <w:rsid w:val="566A2753"/>
    <w:rsid w:val="566B01D5"/>
    <w:rsid w:val="566B4385"/>
    <w:rsid w:val="566B5FD6"/>
    <w:rsid w:val="566C3A58"/>
    <w:rsid w:val="566C5C56"/>
    <w:rsid w:val="566E49DC"/>
    <w:rsid w:val="566E6F5B"/>
    <w:rsid w:val="566F245E"/>
    <w:rsid w:val="5670465C"/>
    <w:rsid w:val="5670538B"/>
    <w:rsid w:val="56715961"/>
    <w:rsid w:val="567233E3"/>
    <w:rsid w:val="56727B5F"/>
    <w:rsid w:val="567426CC"/>
    <w:rsid w:val="56754367"/>
    <w:rsid w:val="56761DE9"/>
    <w:rsid w:val="567649A8"/>
    <w:rsid w:val="56766566"/>
    <w:rsid w:val="56773FE7"/>
    <w:rsid w:val="5677786A"/>
    <w:rsid w:val="567852EC"/>
    <w:rsid w:val="56792D6E"/>
    <w:rsid w:val="567968FB"/>
    <w:rsid w:val="56796ABF"/>
    <w:rsid w:val="567974EA"/>
    <w:rsid w:val="567A07EF"/>
    <w:rsid w:val="567A7499"/>
    <w:rsid w:val="567B1855"/>
    <w:rsid w:val="567B1F2B"/>
    <w:rsid w:val="567B29ED"/>
    <w:rsid w:val="567B6271"/>
    <w:rsid w:val="567C046F"/>
    <w:rsid w:val="567C0A12"/>
    <w:rsid w:val="567C0AA8"/>
    <w:rsid w:val="567C0FC9"/>
    <w:rsid w:val="567E13F4"/>
    <w:rsid w:val="567F4C77"/>
    <w:rsid w:val="567F58CA"/>
    <w:rsid w:val="567F6E75"/>
    <w:rsid w:val="568026F8"/>
    <w:rsid w:val="568036C9"/>
    <w:rsid w:val="568048F7"/>
    <w:rsid w:val="56824C41"/>
    <w:rsid w:val="56825BFB"/>
    <w:rsid w:val="56827DFA"/>
    <w:rsid w:val="568357E0"/>
    <w:rsid w:val="5683587B"/>
    <w:rsid w:val="5684637F"/>
    <w:rsid w:val="568578F8"/>
    <w:rsid w:val="56862083"/>
    <w:rsid w:val="56877B05"/>
    <w:rsid w:val="56885586"/>
    <w:rsid w:val="56897785"/>
    <w:rsid w:val="568A2DC4"/>
    <w:rsid w:val="568A3285"/>
    <w:rsid w:val="568A5206"/>
    <w:rsid w:val="568B3B27"/>
    <w:rsid w:val="568B5430"/>
    <w:rsid w:val="568B5757"/>
    <w:rsid w:val="568B650B"/>
    <w:rsid w:val="568C3F8D"/>
    <w:rsid w:val="568E7490"/>
    <w:rsid w:val="568F59BA"/>
    <w:rsid w:val="568F6454"/>
    <w:rsid w:val="568F6618"/>
    <w:rsid w:val="56910414"/>
    <w:rsid w:val="56917B91"/>
    <w:rsid w:val="56925E96"/>
    <w:rsid w:val="56933917"/>
    <w:rsid w:val="56941399"/>
    <w:rsid w:val="56956E1A"/>
    <w:rsid w:val="5696489C"/>
    <w:rsid w:val="56986138"/>
    <w:rsid w:val="569956F7"/>
    <w:rsid w:val="56995821"/>
    <w:rsid w:val="56995ED8"/>
    <w:rsid w:val="569B0D24"/>
    <w:rsid w:val="569C67A5"/>
    <w:rsid w:val="569C7FF0"/>
    <w:rsid w:val="569D4227"/>
    <w:rsid w:val="569E1CA8"/>
    <w:rsid w:val="569F2107"/>
    <w:rsid w:val="569F51AC"/>
    <w:rsid w:val="56A106AF"/>
    <w:rsid w:val="56A30CA4"/>
    <w:rsid w:val="56A31759"/>
    <w:rsid w:val="56A33BB2"/>
    <w:rsid w:val="56A41633"/>
    <w:rsid w:val="56A570B5"/>
    <w:rsid w:val="56A60E36"/>
    <w:rsid w:val="56A75E3B"/>
    <w:rsid w:val="56A80039"/>
    <w:rsid w:val="56A838BD"/>
    <w:rsid w:val="56A86C06"/>
    <w:rsid w:val="56A95ABB"/>
    <w:rsid w:val="56AA353D"/>
    <w:rsid w:val="56AA6DC0"/>
    <w:rsid w:val="56AB4841"/>
    <w:rsid w:val="56AC6A40"/>
    <w:rsid w:val="56AD44C1"/>
    <w:rsid w:val="56AD7D44"/>
    <w:rsid w:val="56AE5057"/>
    <w:rsid w:val="56AE57C6"/>
    <w:rsid w:val="56AF79C4"/>
    <w:rsid w:val="56B04A8B"/>
    <w:rsid w:val="56B05446"/>
    <w:rsid w:val="56B12EC7"/>
    <w:rsid w:val="56B1674B"/>
    <w:rsid w:val="56B17B49"/>
    <w:rsid w:val="56B206E7"/>
    <w:rsid w:val="56B22A9C"/>
    <w:rsid w:val="56B363CB"/>
    <w:rsid w:val="56B37D51"/>
    <w:rsid w:val="56B43E4C"/>
    <w:rsid w:val="56B518CE"/>
    <w:rsid w:val="56B527FF"/>
    <w:rsid w:val="56B55151"/>
    <w:rsid w:val="56B61C6F"/>
    <w:rsid w:val="56B61E25"/>
    <w:rsid w:val="56B62BD2"/>
    <w:rsid w:val="56B6734F"/>
    <w:rsid w:val="56B70654"/>
    <w:rsid w:val="56B71599"/>
    <w:rsid w:val="56B73D78"/>
    <w:rsid w:val="56B802D4"/>
    <w:rsid w:val="56B93B57"/>
    <w:rsid w:val="56BA15D9"/>
    <w:rsid w:val="56BA37D7"/>
    <w:rsid w:val="56BA5E8F"/>
    <w:rsid w:val="56BB1258"/>
    <w:rsid w:val="56BB705A"/>
    <w:rsid w:val="56BC4ADC"/>
    <w:rsid w:val="56BC7408"/>
    <w:rsid w:val="56BD475C"/>
    <w:rsid w:val="56BE5A60"/>
    <w:rsid w:val="56BE7FDF"/>
    <w:rsid w:val="56BF7C5F"/>
    <w:rsid w:val="56C00F63"/>
    <w:rsid w:val="56C13162"/>
    <w:rsid w:val="56C134B9"/>
    <w:rsid w:val="56C169E5"/>
    <w:rsid w:val="56C31EE8"/>
    <w:rsid w:val="56C440E6"/>
    <w:rsid w:val="56C51B68"/>
    <w:rsid w:val="56C53F2C"/>
    <w:rsid w:val="56C5444C"/>
    <w:rsid w:val="56C708EE"/>
    <w:rsid w:val="56C9056E"/>
    <w:rsid w:val="56C90DDF"/>
    <w:rsid w:val="56C93DF1"/>
    <w:rsid w:val="56CA251D"/>
    <w:rsid w:val="56CB72F5"/>
    <w:rsid w:val="56CC14F3"/>
    <w:rsid w:val="56CC3A96"/>
    <w:rsid w:val="56CC4D76"/>
    <w:rsid w:val="56CD10B7"/>
    <w:rsid w:val="56CD27F8"/>
    <w:rsid w:val="56CD6F74"/>
    <w:rsid w:val="56CE3AA9"/>
    <w:rsid w:val="56CE49F6"/>
    <w:rsid w:val="56CF59E9"/>
    <w:rsid w:val="56CF7EF9"/>
    <w:rsid w:val="56D0597B"/>
    <w:rsid w:val="56D0674C"/>
    <w:rsid w:val="56D133FC"/>
    <w:rsid w:val="56D20E7E"/>
    <w:rsid w:val="56D26C7F"/>
    <w:rsid w:val="56D27B8C"/>
    <w:rsid w:val="56D36553"/>
    <w:rsid w:val="56D368FF"/>
    <w:rsid w:val="56D36DDF"/>
    <w:rsid w:val="56D44381"/>
    <w:rsid w:val="56D51C18"/>
    <w:rsid w:val="56D51DDC"/>
    <w:rsid w:val="56D63107"/>
    <w:rsid w:val="56D70B89"/>
    <w:rsid w:val="56D75305"/>
    <w:rsid w:val="56D82D87"/>
    <w:rsid w:val="56D8660A"/>
    <w:rsid w:val="56D90809"/>
    <w:rsid w:val="56D952A8"/>
    <w:rsid w:val="56DA16A7"/>
    <w:rsid w:val="56DA1B0D"/>
    <w:rsid w:val="56DA5E47"/>
    <w:rsid w:val="56DA628A"/>
    <w:rsid w:val="56DB3D0C"/>
    <w:rsid w:val="56DB758F"/>
    <w:rsid w:val="56DC178D"/>
    <w:rsid w:val="56DC5010"/>
    <w:rsid w:val="56DD2A92"/>
    <w:rsid w:val="56DD7F5E"/>
    <w:rsid w:val="56DE0514"/>
    <w:rsid w:val="56DE4C90"/>
    <w:rsid w:val="56DF14D7"/>
    <w:rsid w:val="56DF5F95"/>
    <w:rsid w:val="56E03A17"/>
    <w:rsid w:val="56E0419E"/>
    <w:rsid w:val="56E11407"/>
    <w:rsid w:val="56E15C15"/>
    <w:rsid w:val="56E20D30"/>
    <w:rsid w:val="56E237B3"/>
    <w:rsid w:val="56E27849"/>
    <w:rsid w:val="56E3499B"/>
    <w:rsid w:val="56E37DCE"/>
    <w:rsid w:val="56E4241D"/>
    <w:rsid w:val="56E458CB"/>
    <w:rsid w:val="56E46B9A"/>
    <w:rsid w:val="56E5461B"/>
    <w:rsid w:val="56E55F8D"/>
    <w:rsid w:val="56E62340"/>
    <w:rsid w:val="56E65920"/>
    <w:rsid w:val="56E66E44"/>
    <w:rsid w:val="56E7781E"/>
    <w:rsid w:val="56E77B1E"/>
    <w:rsid w:val="56E803BD"/>
    <w:rsid w:val="56E878F7"/>
    <w:rsid w:val="56E90D97"/>
    <w:rsid w:val="56E968A5"/>
    <w:rsid w:val="56EA6524"/>
    <w:rsid w:val="56EB3FA6"/>
    <w:rsid w:val="56EC7829"/>
    <w:rsid w:val="56ED13B1"/>
    <w:rsid w:val="56EE4427"/>
    <w:rsid w:val="56F0042E"/>
    <w:rsid w:val="56F05B65"/>
    <w:rsid w:val="56F12ACC"/>
    <w:rsid w:val="56F16703"/>
    <w:rsid w:val="56F34C36"/>
    <w:rsid w:val="56F37AB8"/>
    <w:rsid w:val="56F62932"/>
    <w:rsid w:val="56F65BBA"/>
    <w:rsid w:val="56F7363C"/>
    <w:rsid w:val="56F810BD"/>
    <w:rsid w:val="56FB2042"/>
    <w:rsid w:val="56FB5DFE"/>
    <w:rsid w:val="56FC6617"/>
    <w:rsid w:val="56FD5545"/>
    <w:rsid w:val="56FD6E02"/>
    <w:rsid w:val="56FE35BF"/>
    <w:rsid w:val="56FE7F16"/>
    <w:rsid w:val="56FF57CA"/>
    <w:rsid w:val="570021F2"/>
    <w:rsid w:val="57013F4B"/>
    <w:rsid w:val="570219CD"/>
    <w:rsid w:val="57034145"/>
    <w:rsid w:val="57034309"/>
    <w:rsid w:val="57044ED0"/>
    <w:rsid w:val="570556BE"/>
    <w:rsid w:val="570603D3"/>
    <w:rsid w:val="57075E55"/>
    <w:rsid w:val="57081358"/>
    <w:rsid w:val="570A0D4E"/>
    <w:rsid w:val="570A0F13"/>
    <w:rsid w:val="570C1274"/>
    <w:rsid w:val="570C248C"/>
    <w:rsid w:val="570D302A"/>
    <w:rsid w:val="570D35E1"/>
    <w:rsid w:val="570D57DF"/>
    <w:rsid w:val="570E1063"/>
    <w:rsid w:val="570F0CE3"/>
    <w:rsid w:val="57101FE7"/>
    <w:rsid w:val="571141E6"/>
    <w:rsid w:val="571164F6"/>
    <w:rsid w:val="57117A69"/>
    <w:rsid w:val="57121C67"/>
    <w:rsid w:val="571254EA"/>
    <w:rsid w:val="57132F6C"/>
    <w:rsid w:val="571376E9"/>
    <w:rsid w:val="57137F1B"/>
    <w:rsid w:val="571409EE"/>
    <w:rsid w:val="5714516A"/>
    <w:rsid w:val="57163EF1"/>
    <w:rsid w:val="57171972"/>
    <w:rsid w:val="571760EF"/>
    <w:rsid w:val="57183B71"/>
    <w:rsid w:val="571873F4"/>
    <w:rsid w:val="571915F2"/>
    <w:rsid w:val="57193C9E"/>
    <w:rsid w:val="571A389C"/>
    <w:rsid w:val="571C2577"/>
    <w:rsid w:val="571C25CE"/>
    <w:rsid w:val="571C2784"/>
    <w:rsid w:val="571C5DFA"/>
    <w:rsid w:val="571D7FF8"/>
    <w:rsid w:val="571E12FD"/>
    <w:rsid w:val="571F6D7F"/>
    <w:rsid w:val="57204800"/>
    <w:rsid w:val="57211AA7"/>
    <w:rsid w:val="572121A9"/>
    <w:rsid w:val="57212282"/>
    <w:rsid w:val="57214480"/>
    <w:rsid w:val="57221F02"/>
    <w:rsid w:val="57235785"/>
    <w:rsid w:val="57237983"/>
    <w:rsid w:val="572529A2"/>
    <w:rsid w:val="57252E86"/>
    <w:rsid w:val="57266709"/>
    <w:rsid w:val="57271C0D"/>
    <w:rsid w:val="5727418B"/>
    <w:rsid w:val="57276214"/>
    <w:rsid w:val="57283E0B"/>
    <w:rsid w:val="57286DB3"/>
    <w:rsid w:val="57295110"/>
    <w:rsid w:val="572A0ECA"/>
    <w:rsid w:val="572A2B91"/>
    <w:rsid w:val="572B3928"/>
    <w:rsid w:val="572B4D8F"/>
    <w:rsid w:val="572C2811"/>
    <w:rsid w:val="572C6094"/>
    <w:rsid w:val="572E1597"/>
    <w:rsid w:val="572E3B80"/>
    <w:rsid w:val="572F3796"/>
    <w:rsid w:val="572F7019"/>
    <w:rsid w:val="5731251C"/>
    <w:rsid w:val="57316C99"/>
    <w:rsid w:val="57337211"/>
    <w:rsid w:val="573434A1"/>
    <w:rsid w:val="57347C1D"/>
    <w:rsid w:val="573669A4"/>
    <w:rsid w:val="57370BA2"/>
    <w:rsid w:val="57374425"/>
    <w:rsid w:val="573828A1"/>
    <w:rsid w:val="57391B27"/>
    <w:rsid w:val="57396626"/>
    <w:rsid w:val="57397928"/>
    <w:rsid w:val="573A49B9"/>
    <w:rsid w:val="573A4E20"/>
    <w:rsid w:val="573A53AA"/>
    <w:rsid w:val="573B5393"/>
    <w:rsid w:val="573D632F"/>
    <w:rsid w:val="573D6AD0"/>
    <w:rsid w:val="573E06D1"/>
    <w:rsid w:val="573E3DB0"/>
    <w:rsid w:val="573E5FAE"/>
    <w:rsid w:val="573F1832"/>
    <w:rsid w:val="573F3A30"/>
    <w:rsid w:val="573F72B3"/>
    <w:rsid w:val="57400A23"/>
    <w:rsid w:val="57404D35"/>
    <w:rsid w:val="574127B6"/>
    <w:rsid w:val="57416F33"/>
    <w:rsid w:val="57432436"/>
    <w:rsid w:val="57435CBA"/>
    <w:rsid w:val="574436DA"/>
    <w:rsid w:val="5744373B"/>
    <w:rsid w:val="574511BD"/>
    <w:rsid w:val="57455939"/>
    <w:rsid w:val="574633BB"/>
    <w:rsid w:val="57470E3C"/>
    <w:rsid w:val="574803C1"/>
    <w:rsid w:val="574808E2"/>
    <w:rsid w:val="574868BE"/>
    <w:rsid w:val="57486F2E"/>
    <w:rsid w:val="57497744"/>
    <w:rsid w:val="574A5644"/>
    <w:rsid w:val="574C0B47"/>
    <w:rsid w:val="574C1A20"/>
    <w:rsid w:val="574D2D46"/>
    <w:rsid w:val="574E404B"/>
    <w:rsid w:val="574F6249"/>
    <w:rsid w:val="57503CCA"/>
    <w:rsid w:val="5750754E"/>
    <w:rsid w:val="575171CD"/>
    <w:rsid w:val="57517B92"/>
    <w:rsid w:val="57522A51"/>
    <w:rsid w:val="575267EE"/>
    <w:rsid w:val="575326D1"/>
    <w:rsid w:val="57536629"/>
    <w:rsid w:val="57540152"/>
    <w:rsid w:val="575539D5"/>
    <w:rsid w:val="57554542"/>
    <w:rsid w:val="57554DCE"/>
    <w:rsid w:val="575612E0"/>
    <w:rsid w:val="57561457"/>
    <w:rsid w:val="57563655"/>
    <w:rsid w:val="57576ED8"/>
    <w:rsid w:val="575823DC"/>
    <w:rsid w:val="57586B58"/>
    <w:rsid w:val="57593233"/>
    <w:rsid w:val="57597E5D"/>
    <w:rsid w:val="575A3F96"/>
    <w:rsid w:val="575B3360"/>
    <w:rsid w:val="575C0DE2"/>
    <w:rsid w:val="575D5EE9"/>
    <w:rsid w:val="575D6863"/>
    <w:rsid w:val="575E68C3"/>
    <w:rsid w:val="575F1D66"/>
    <w:rsid w:val="575F7B33"/>
    <w:rsid w:val="576077E8"/>
    <w:rsid w:val="5761173E"/>
    <w:rsid w:val="5761526A"/>
    <w:rsid w:val="57621579"/>
    <w:rsid w:val="57622CEB"/>
    <w:rsid w:val="57631674"/>
    <w:rsid w:val="57632AF2"/>
    <w:rsid w:val="57636ED5"/>
    <w:rsid w:val="576461EE"/>
    <w:rsid w:val="57646494"/>
    <w:rsid w:val="57653C70"/>
    <w:rsid w:val="57664C0A"/>
    <w:rsid w:val="576757A8"/>
    <w:rsid w:val="57677173"/>
    <w:rsid w:val="57684BF4"/>
    <w:rsid w:val="57692676"/>
    <w:rsid w:val="57696EE6"/>
    <w:rsid w:val="576C35FB"/>
    <w:rsid w:val="576D19D8"/>
    <w:rsid w:val="576E2576"/>
    <w:rsid w:val="576E6AFE"/>
    <w:rsid w:val="576F457F"/>
    <w:rsid w:val="57707A82"/>
    <w:rsid w:val="57720D87"/>
    <w:rsid w:val="57721191"/>
    <w:rsid w:val="577214FD"/>
    <w:rsid w:val="57722F85"/>
    <w:rsid w:val="57736809"/>
    <w:rsid w:val="57746489"/>
    <w:rsid w:val="57753F0A"/>
    <w:rsid w:val="577606F8"/>
    <w:rsid w:val="577608BD"/>
    <w:rsid w:val="5776198C"/>
    <w:rsid w:val="57771297"/>
    <w:rsid w:val="5777520F"/>
    <w:rsid w:val="5777740D"/>
    <w:rsid w:val="57780712"/>
    <w:rsid w:val="57782C90"/>
    <w:rsid w:val="57792910"/>
    <w:rsid w:val="57796194"/>
    <w:rsid w:val="577A33AF"/>
    <w:rsid w:val="577A3C15"/>
    <w:rsid w:val="577B1697"/>
    <w:rsid w:val="577B3D89"/>
    <w:rsid w:val="577B5E13"/>
    <w:rsid w:val="577C035B"/>
    <w:rsid w:val="577C4928"/>
    <w:rsid w:val="577D4B9A"/>
    <w:rsid w:val="577D5302"/>
    <w:rsid w:val="577E6A3F"/>
    <w:rsid w:val="577F23BE"/>
    <w:rsid w:val="577F481A"/>
    <w:rsid w:val="57807FB8"/>
    <w:rsid w:val="57810B57"/>
    <w:rsid w:val="578176F0"/>
    <w:rsid w:val="57821021"/>
    <w:rsid w:val="5782579E"/>
    <w:rsid w:val="57833220"/>
    <w:rsid w:val="57840CA1"/>
    <w:rsid w:val="578641A4"/>
    <w:rsid w:val="57867A28"/>
    <w:rsid w:val="57871C26"/>
    <w:rsid w:val="57874D86"/>
    <w:rsid w:val="57885129"/>
    <w:rsid w:val="57885924"/>
    <w:rsid w:val="578876A8"/>
    <w:rsid w:val="578909AC"/>
    <w:rsid w:val="578962FF"/>
    <w:rsid w:val="578A062C"/>
    <w:rsid w:val="578A642E"/>
    <w:rsid w:val="578A6E9D"/>
    <w:rsid w:val="578B3EAF"/>
    <w:rsid w:val="578B469D"/>
    <w:rsid w:val="578B60AE"/>
    <w:rsid w:val="578B7877"/>
    <w:rsid w:val="578C0FB5"/>
    <w:rsid w:val="578C3B2F"/>
    <w:rsid w:val="578D73B3"/>
    <w:rsid w:val="578E7032"/>
    <w:rsid w:val="578F2F08"/>
    <w:rsid w:val="578F4AB4"/>
    <w:rsid w:val="578F5F96"/>
    <w:rsid w:val="57902535"/>
    <w:rsid w:val="57903AA7"/>
    <w:rsid w:val="57905DB9"/>
    <w:rsid w:val="5791383A"/>
    <w:rsid w:val="57917FB7"/>
    <w:rsid w:val="579212BC"/>
    <w:rsid w:val="57925A39"/>
    <w:rsid w:val="579569BD"/>
    <w:rsid w:val="57967CD6"/>
    <w:rsid w:val="57975744"/>
    <w:rsid w:val="579831C5"/>
    <w:rsid w:val="57987942"/>
    <w:rsid w:val="57990C47"/>
    <w:rsid w:val="57991C29"/>
    <w:rsid w:val="579953C3"/>
    <w:rsid w:val="579A2E45"/>
    <w:rsid w:val="579A66C8"/>
    <w:rsid w:val="579B3D40"/>
    <w:rsid w:val="579B414A"/>
    <w:rsid w:val="579C1BCB"/>
    <w:rsid w:val="579C6348"/>
    <w:rsid w:val="579D3DCA"/>
    <w:rsid w:val="579D764D"/>
    <w:rsid w:val="579E184B"/>
    <w:rsid w:val="579E765B"/>
    <w:rsid w:val="579F2B50"/>
    <w:rsid w:val="579F6C1A"/>
    <w:rsid w:val="579F72CD"/>
    <w:rsid w:val="57A005D2"/>
    <w:rsid w:val="57A0742D"/>
    <w:rsid w:val="57A10251"/>
    <w:rsid w:val="57A16053"/>
    <w:rsid w:val="57A17F6F"/>
    <w:rsid w:val="57A20B0E"/>
    <w:rsid w:val="57A23AD5"/>
    <w:rsid w:val="57A25CD3"/>
    <w:rsid w:val="57A31556"/>
    <w:rsid w:val="57A316AD"/>
    <w:rsid w:val="57A411D6"/>
    <w:rsid w:val="57A567BF"/>
    <w:rsid w:val="57A56C58"/>
    <w:rsid w:val="57A624DB"/>
    <w:rsid w:val="57A6419E"/>
    <w:rsid w:val="57A64363"/>
    <w:rsid w:val="57A7215B"/>
    <w:rsid w:val="57A77F5C"/>
    <w:rsid w:val="57A8345F"/>
    <w:rsid w:val="57A859DE"/>
    <w:rsid w:val="57A9565E"/>
    <w:rsid w:val="57AA30DF"/>
    <w:rsid w:val="57AA6963"/>
    <w:rsid w:val="57AB43E4"/>
    <w:rsid w:val="57AB782F"/>
    <w:rsid w:val="57AC1E66"/>
    <w:rsid w:val="57AC65E2"/>
    <w:rsid w:val="57AD15AC"/>
    <w:rsid w:val="57AD78E7"/>
    <w:rsid w:val="57AE1241"/>
    <w:rsid w:val="57AE1946"/>
    <w:rsid w:val="57AE1AE6"/>
    <w:rsid w:val="57AE5369"/>
    <w:rsid w:val="57AF0129"/>
    <w:rsid w:val="57AF2DEA"/>
    <w:rsid w:val="57B0086C"/>
    <w:rsid w:val="57B03084"/>
    <w:rsid w:val="57B12A6A"/>
    <w:rsid w:val="57B13C22"/>
    <w:rsid w:val="57B162ED"/>
    <w:rsid w:val="57B204EC"/>
    <w:rsid w:val="57B23D6F"/>
    <w:rsid w:val="57B317F1"/>
    <w:rsid w:val="57B439EF"/>
    <w:rsid w:val="57B51470"/>
    <w:rsid w:val="57B54CF4"/>
    <w:rsid w:val="57B62775"/>
    <w:rsid w:val="57B66EF2"/>
    <w:rsid w:val="57B701F7"/>
    <w:rsid w:val="57B72A76"/>
    <w:rsid w:val="57B74973"/>
    <w:rsid w:val="57B823F5"/>
    <w:rsid w:val="57B936FA"/>
    <w:rsid w:val="57BA337A"/>
    <w:rsid w:val="57BB4980"/>
    <w:rsid w:val="57BB4B36"/>
    <w:rsid w:val="57BB4CEC"/>
    <w:rsid w:val="57BB5619"/>
    <w:rsid w:val="57BC34FD"/>
    <w:rsid w:val="57BC467E"/>
    <w:rsid w:val="57BC687D"/>
    <w:rsid w:val="57BD2100"/>
    <w:rsid w:val="57BD42FE"/>
    <w:rsid w:val="57BE7B82"/>
    <w:rsid w:val="57BF34B4"/>
    <w:rsid w:val="57BF5603"/>
    <w:rsid w:val="57C1754D"/>
    <w:rsid w:val="57C24009"/>
    <w:rsid w:val="57C31664"/>
    <w:rsid w:val="57C31A8B"/>
    <w:rsid w:val="57C3426C"/>
    <w:rsid w:val="57C42203"/>
    <w:rsid w:val="57C4750C"/>
    <w:rsid w:val="57C54F8E"/>
    <w:rsid w:val="57C62A10"/>
    <w:rsid w:val="57C70491"/>
    <w:rsid w:val="57C84EB9"/>
    <w:rsid w:val="57C85F13"/>
    <w:rsid w:val="57C93994"/>
    <w:rsid w:val="57C9767E"/>
    <w:rsid w:val="57CB6E97"/>
    <w:rsid w:val="57CC4919"/>
    <w:rsid w:val="57CD0385"/>
    <w:rsid w:val="57CD239A"/>
    <w:rsid w:val="57CE1F93"/>
    <w:rsid w:val="57CF1AC2"/>
    <w:rsid w:val="57D0331F"/>
    <w:rsid w:val="57D10DA1"/>
    <w:rsid w:val="57D245B4"/>
    <w:rsid w:val="57D26822"/>
    <w:rsid w:val="57D35153"/>
    <w:rsid w:val="57D45CF1"/>
    <w:rsid w:val="57D670A6"/>
    <w:rsid w:val="57D72CAA"/>
    <w:rsid w:val="57D8072B"/>
    <w:rsid w:val="57D807E3"/>
    <w:rsid w:val="57D815CF"/>
    <w:rsid w:val="57D83FAF"/>
    <w:rsid w:val="57D904B8"/>
    <w:rsid w:val="57D909D8"/>
    <w:rsid w:val="57D911BD"/>
    <w:rsid w:val="57D961AD"/>
    <w:rsid w:val="57DA16B0"/>
    <w:rsid w:val="57DA1D5C"/>
    <w:rsid w:val="57DA74B2"/>
    <w:rsid w:val="57DB28FB"/>
    <w:rsid w:val="57DB4F33"/>
    <w:rsid w:val="57DB5A29"/>
    <w:rsid w:val="57DC3861"/>
    <w:rsid w:val="57DC4BB3"/>
    <w:rsid w:val="57DD0436"/>
    <w:rsid w:val="57DD2635"/>
    <w:rsid w:val="57DD4A12"/>
    <w:rsid w:val="57DF5B38"/>
    <w:rsid w:val="57E035B9"/>
    <w:rsid w:val="57E06965"/>
    <w:rsid w:val="57E07844"/>
    <w:rsid w:val="57E16E3D"/>
    <w:rsid w:val="57E17504"/>
    <w:rsid w:val="57E26ABC"/>
    <w:rsid w:val="57E30C41"/>
    <w:rsid w:val="57E4161C"/>
    <w:rsid w:val="57E41FC0"/>
    <w:rsid w:val="57E60D46"/>
    <w:rsid w:val="57E654C3"/>
    <w:rsid w:val="57E738F8"/>
    <w:rsid w:val="57E767C7"/>
    <w:rsid w:val="57E809C6"/>
    <w:rsid w:val="57E8410D"/>
    <w:rsid w:val="57E84249"/>
    <w:rsid w:val="57E95805"/>
    <w:rsid w:val="57EB194A"/>
    <w:rsid w:val="57EB6DC4"/>
    <w:rsid w:val="57EC73CC"/>
    <w:rsid w:val="57EC7962"/>
    <w:rsid w:val="57ED4E4E"/>
    <w:rsid w:val="57EE28CF"/>
    <w:rsid w:val="57EE6152"/>
    <w:rsid w:val="57EF0351"/>
    <w:rsid w:val="57EF3BD4"/>
    <w:rsid w:val="57F01655"/>
    <w:rsid w:val="57F02454"/>
    <w:rsid w:val="57F05DD2"/>
    <w:rsid w:val="57F112D5"/>
    <w:rsid w:val="57F26D57"/>
    <w:rsid w:val="57F34730"/>
    <w:rsid w:val="57F347D8"/>
    <w:rsid w:val="57F4005C"/>
    <w:rsid w:val="57F535F0"/>
    <w:rsid w:val="57F55ADD"/>
    <w:rsid w:val="57F5658A"/>
    <w:rsid w:val="57F57CDB"/>
    <w:rsid w:val="57F6575D"/>
    <w:rsid w:val="57F657DD"/>
    <w:rsid w:val="57F66683"/>
    <w:rsid w:val="57F70FE0"/>
    <w:rsid w:val="57F741A4"/>
    <w:rsid w:val="57F77222"/>
    <w:rsid w:val="57F8095F"/>
    <w:rsid w:val="57F87BFC"/>
    <w:rsid w:val="57F966E2"/>
    <w:rsid w:val="57FA1ED8"/>
    <w:rsid w:val="57FB1BE5"/>
    <w:rsid w:val="57FB5468"/>
    <w:rsid w:val="57FC2EEA"/>
    <w:rsid w:val="57FD50E8"/>
    <w:rsid w:val="57FE2B69"/>
    <w:rsid w:val="57FE63ED"/>
    <w:rsid w:val="57FF3E6E"/>
    <w:rsid w:val="57FF5568"/>
    <w:rsid w:val="580018F0"/>
    <w:rsid w:val="58005F43"/>
    <w:rsid w:val="58016AE1"/>
    <w:rsid w:val="58017371"/>
    <w:rsid w:val="58024DF3"/>
    <w:rsid w:val="58032874"/>
    <w:rsid w:val="58036FF1"/>
    <w:rsid w:val="58040170"/>
    <w:rsid w:val="58040BF9"/>
    <w:rsid w:val="58044A73"/>
    <w:rsid w:val="58053F6E"/>
    <w:rsid w:val="58055D78"/>
    <w:rsid w:val="580637F9"/>
    <w:rsid w:val="580660F5"/>
    <w:rsid w:val="58067F76"/>
    <w:rsid w:val="580759F7"/>
    <w:rsid w:val="58085E8A"/>
    <w:rsid w:val="58086CFC"/>
    <w:rsid w:val="58090EFA"/>
    <w:rsid w:val="5809477E"/>
    <w:rsid w:val="5809697C"/>
    <w:rsid w:val="580A43FE"/>
    <w:rsid w:val="580A59C7"/>
    <w:rsid w:val="580B1E7F"/>
    <w:rsid w:val="580C5702"/>
    <w:rsid w:val="580D3184"/>
    <w:rsid w:val="580D5382"/>
    <w:rsid w:val="580E2E04"/>
    <w:rsid w:val="580F6687"/>
    <w:rsid w:val="58104109"/>
    <w:rsid w:val="58106307"/>
    <w:rsid w:val="5811240B"/>
    <w:rsid w:val="58113D88"/>
    <w:rsid w:val="5811760C"/>
    <w:rsid w:val="5812180A"/>
    <w:rsid w:val="58132B0F"/>
    <w:rsid w:val="58133B49"/>
    <w:rsid w:val="581346E7"/>
    <w:rsid w:val="58134E48"/>
    <w:rsid w:val="5813728B"/>
    <w:rsid w:val="58140590"/>
    <w:rsid w:val="5814115E"/>
    <w:rsid w:val="58144D0D"/>
    <w:rsid w:val="5815278F"/>
    <w:rsid w:val="58163A93"/>
    <w:rsid w:val="581667FF"/>
    <w:rsid w:val="58170670"/>
    <w:rsid w:val="58171515"/>
    <w:rsid w:val="5817252A"/>
    <w:rsid w:val="58194A18"/>
    <w:rsid w:val="581A6C16"/>
    <w:rsid w:val="581C2119"/>
    <w:rsid w:val="581C599D"/>
    <w:rsid w:val="581D3408"/>
    <w:rsid w:val="581E0EA0"/>
    <w:rsid w:val="581E3FA7"/>
    <w:rsid w:val="581F309E"/>
    <w:rsid w:val="581F4981"/>
    <w:rsid w:val="58200B20"/>
    <w:rsid w:val="582043A3"/>
    <w:rsid w:val="58205495"/>
    <w:rsid w:val="58205520"/>
    <w:rsid w:val="58214023"/>
    <w:rsid w:val="58214F74"/>
    <w:rsid w:val="58215EFA"/>
    <w:rsid w:val="58216C5D"/>
    <w:rsid w:val="58226A99"/>
    <w:rsid w:val="58230012"/>
    <w:rsid w:val="58235328"/>
    <w:rsid w:val="58237526"/>
    <w:rsid w:val="58242DA9"/>
    <w:rsid w:val="58244FA7"/>
    <w:rsid w:val="5825082B"/>
    <w:rsid w:val="5825174F"/>
    <w:rsid w:val="582662AC"/>
    <w:rsid w:val="58273D2E"/>
    <w:rsid w:val="582817AF"/>
    <w:rsid w:val="58290EFA"/>
    <w:rsid w:val="58294CB2"/>
    <w:rsid w:val="582A2734"/>
    <w:rsid w:val="582A4DDF"/>
    <w:rsid w:val="582C415B"/>
    <w:rsid w:val="582C5C37"/>
    <w:rsid w:val="582C651D"/>
    <w:rsid w:val="582D36B9"/>
    <w:rsid w:val="582E113A"/>
    <w:rsid w:val="582F0470"/>
    <w:rsid w:val="58312587"/>
    <w:rsid w:val="58323126"/>
    <w:rsid w:val="58327B40"/>
    <w:rsid w:val="583355C2"/>
    <w:rsid w:val="58343043"/>
    <w:rsid w:val="5834469F"/>
    <w:rsid w:val="58373FC8"/>
    <w:rsid w:val="583A4F4D"/>
    <w:rsid w:val="583E3953"/>
    <w:rsid w:val="583E71D6"/>
    <w:rsid w:val="583F13D4"/>
    <w:rsid w:val="583F4C58"/>
    <w:rsid w:val="583F7EB4"/>
    <w:rsid w:val="58407472"/>
    <w:rsid w:val="584077DE"/>
    <w:rsid w:val="58407993"/>
    <w:rsid w:val="5841015B"/>
    <w:rsid w:val="58416076"/>
    <w:rsid w:val="58425BDC"/>
    <w:rsid w:val="58427DDB"/>
    <w:rsid w:val="5843585C"/>
    <w:rsid w:val="5844018D"/>
    <w:rsid w:val="584410E0"/>
    <w:rsid w:val="58456B61"/>
    <w:rsid w:val="584645E3"/>
    <w:rsid w:val="584667E1"/>
    <w:rsid w:val="58472064"/>
    <w:rsid w:val="58477D83"/>
    <w:rsid w:val="58481CE4"/>
    <w:rsid w:val="58487AE6"/>
    <w:rsid w:val="58495567"/>
    <w:rsid w:val="584A2FE9"/>
    <w:rsid w:val="584A50FF"/>
    <w:rsid w:val="584B2C69"/>
    <w:rsid w:val="584B4D97"/>
    <w:rsid w:val="584C06EA"/>
    <w:rsid w:val="584C3F6D"/>
    <w:rsid w:val="584D19EF"/>
    <w:rsid w:val="584E7471"/>
    <w:rsid w:val="584E7A4D"/>
    <w:rsid w:val="584F4EF2"/>
    <w:rsid w:val="58500FC6"/>
    <w:rsid w:val="585103F5"/>
    <w:rsid w:val="585119A0"/>
    <w:rsid w:val="58514B72"/>
    <w:rsid w:val="5852253F"/>
    <w:rsid w:val="585225F3"/>
    <w:rsid w:val="58525E77"/>
    <w:rsid w:val="58530075"/>
    <w:rsid w:val="585338F8"/>
    <w:rsid w:val="5854137A"/>
    <w:rsid w:val="58553578"/>
    <w:rsid w:val="58560FFA"/>
    <w:rsid w:val="585844FD"/>
    <w:rsid w:val="58587D80"/>
    <w:rsid w:val="58595802"/>
    <w:rsid w:val="58597148"/>
    <w:rsid w:val="585A3283"/>
    <w:rsid w:val="585B1260"/>
    <w:rsid w:val="585C0985"/>
    <w:rsid w:val="585D4208"/>
    <w:rsid w:val="585E353C"/>
    <w:rsid w:val="585E3E88"/>
    <w:rsid w:val="585F1909"/>
    <w:rsid w:val="585F770B"/>
    <w:rsid w:val="586048F0"/>
    <w:rsid w:val="5860518C"/>
    <w:rsid w:val="5860738B"/>
    <w:rsid w:val="58614E0C"/>
    <w:rsid w:val="58626111"/>
    <w:rsid w:val="58633B93"/>
    <w:rsid w:val="58641614"/>
    <w:rsid w:val="58650145"/>
    <w:rsid w:val="58653812"/>
    <w:rsid w:val="58664B17"/>
    <w:rsid w:val="5868001A"/>
    <w:rsid w:val="58682C37"/>
    <w:rsid w:val="58684797"/>
    <w:rsid w:val="586937D5"/>
    <w:rsid w:val="58695A9C"/>
    <w:rsid w:val="586A05AE"/>
    <w:rsid w:val="586B5009"/>
    <w:rsid w:val="586C319D"/>
    <w:rsid w:val="586C66E9"/>
    <w:rsid w:val="586C6A21"/>
    <w:rsid w:val="586D0C1F"/>
    <w:rsid w:val="586D44A2"/>
    <w:rsid w:val="586E1F24"/>
    <w:rsid w:val="586E66A0"/>
    <w:rsid w:val="586F4122"/>
    <w:rsid w:val="586F79A5"/>
    <w:rsid w:val="58701BA4"/>
    <w:rsid w:val="58710F7D"/>
    <w:rsid w:val="58722B28"/>
    <w:rsid w:val="587305AA"/>
    <w:rsid w:val="587326BB"/>
    <w:rsid w:val="587363AB"/>
    <w:rsid w:val="587518AF"/>
    <w:rsid w:val="587547D2"/>
    <w:rsid w:val="5876152E"/>
    <w:rsid w:val="587651AC"/>
    <w:rsid w:val="58767330"/>
    <w:rsid w:val="58775D4B"/>
    <w:rsid w:val="58782833"/>
    <w:rsid w:val="58782BD5"/>
    <w:rsid w:val="58786725"/>
    <w:rsid w:val="587902B5"/>
    <w:rsid w:val="58791C73"/>
    <w:rsid w:val="587A5D36"/>
    <w:rsid w:val="587A7F35"/>
    <w:rsid w:val="587B083D"/>
    <w:rsid w:val="587B1239"/>
    <w:rsid w:val="587C13DB"/>
    <w:rsid w:val="587C6CBB"/>
    <w:rsid w:val="587D473C"/>
    <w:rsid w:val="587E21BE"/>
    <w:rsid w:val="587E4ED6"/>
    <w:rsid w:val="587F27ED"/>
    <w:rsid w:val="587F43BC"/>
    <w:rsid w:val="587F51E0"/>
    <w:rsid w:val="587F729D"/>
    <w:rsid w:val="587F7C40"/>
    <w:rsid w:val="58801E3E"/>
    <w:rsid w:val="588056C1"/>
    <w:rsid w:val="588178BF"/>
    <w:rsid w:val="58832DC3"/>
    <w:rsid w:val="58836646"/>
    <w:rsid w:val="58840844"/>
    <w:rsid w:val="588440C7"/>
    <w:rsid w:val="5884755E"/>
    <w:rsid w:val="588502C1"/>
    <w:rsid w:val="58851B49"/>
    <w:rsid w:val="58863D47"/>
    <w:rsid w:val="588653B2"/>
    <w:rsid w:val="588658D3"/>
    <w:rsid w:val="588717C9"/>
    <w:rsid w:val="588743D1"/>
    <w:rsid w:val="5887504C"/>
    <w:rsid w:val="5887701A"/>
    <w:rsid w:val="58882ACE"/>
    <w:rsid w:val="588836A3"/>
    <w:rsid w:val="5888724A"/>
    <w:rsid w:val="5889054F"/>
    <w:rsid w:val="58893338"/>
    <w:rsid w:val="588A01CF"/>
    <w:rsid w:val="588A274D"/>
    <w:rsid w:val="588A3951"/>
    <w:rsid w:val="588B3A52"/>
    <w:rsid w:val="588D58A4"/>
    <w:rsid w:val="588D6F55"/>
    <w:rsid w:val="589110F9"/>
    <w:rsid w:val="589233DD"/>
    <w:rsid w:val="589368E0"/>
    <w:rsid w:val="58953BEB"/>
    <w:rsid w:val="5895766E"/>
    <w:rsid w:val="589645C5"/>
    <w:rsid w:val="589668C2"/>
    <w:rsid w:val="58967865"/>
    <w:rsid w:val="58975164"/>
    <w:rsid w:val="58985B3E"/>
    <w:rsid w:val="589907E9"/>
    <w:rsid w:val="589966DD"/>
    <w:rsid w:val="589A626B"/>
    <w:rsid w:val="589B7C55"/>
    <w:rsid w:val="589C07F4"/>
    <w:rsid w:val="589C176E"/>
    <w:rsid w:val="589D1F31"/>
    <w:rsid w:val="589D71F0"/>
    <w:rsid w:val="589E1D6D"/>
    <w:rsid w:val="589E4C71"/>
    <w:rsid w:val="589F26F3"/>
    <w:rsid w:val="589F34AA"/>
    <w:rsid w:val="58A145D5"/>
    <w:rsid w:val="58A23677"/>
    <w:rsid w:val="58A36161"/>
    <w:rsid w:val="58A46B7A"/>
    <w:rsid w:val="58A600B4"/>
    <w:rsid w:val="58A6207E"/>
    <w:rsid w:val="58A65901"/>
    <w:rsid w:val="58A67A66"/>
    <w:rsid w:val="58A70C52"/>
    <w:rsid w:val="58A73382"/>
    <w:rsid w:val="58A77AFF"/>
    <w:rsid w:val="58A85581"/>
    <w:rsid w:val="58A92390"/>
    <w:rsid w:val="58AA0A84"/>
    <w:rsid w:val="58AA6505"/>
    <w:rsid w:val="58AB3F87"/>
    <w:rsid w:val="58AB44A7"/>
    <w:rsid w:val="58AC1A08"/>
    <w:rsid w:val="58AC780A"/>
    <w:rsid w:val="58AD528C"/>
    <w:rsid w:val="58AE2D0D"/>
    <w:rsid w:val="58AE4F0C"/>
    <w:rsid w:val="58AF078F"/>
    <w:rsid w:val="58AF661E"/>
    <w:rsid w:val="58AF6F99"/>
    <w:rsid w:val="58B0040F"/>
    <w:rsid w:val="58B23912"/>
    <w:rsid w:val="58B247DE"/>
    <w:rsid w:val="58B27195"/>
    <w:rsid w:val="58B31393"/>
    <w:rsid w:val="58B32FF0"/>
    <w:rsid w:val="58B34C17"/>
    <w:rsid w:val="58B42698"/>
    <w:rsid w:val="58B46E15"/>
    <w:rsid w:val="58B5011A"/>
    <w:rsid w:val="58B54896"/>
    <w:rsid w:val="58B60898"/>
    <w:rsid w:val="58B63BA2"/>
    <w:rsid w:val="58B74741"/>
    <w:rsid w:val="58B77D99"/>
    <w:rsid w:val="58B8109E"/>
    <w:rsid w:val="58B8581B"/>
    <w:rsid w:val="58B96B20"/>
    <w:rsid w:val="58BA0D1E"/>
    <w:rsid w:val="58BA45A1"/>
    <w:rsid w:val="58BB7DD1"/>
    <w:rsid w:val="58BC07AC"/>
    <w:rsid w:val="58BC0970"/>
    <w:rsid w:val="58BC7AA4"/>
    <w:rsid w:val="58BD1CA3"/>
    <w:rsid w:val="58BE2FA8"/>
    <w:rsid w:val="58BE710D"/>
    <w:rsid w:val="58BE7724"/>
    <w:rsid w:val="58BF0A29"/>
    <w:rsid w:val="58BF28C3"/>
    <w:rsid w:val="58BF2A88"/>
    <w:rsid w:val="58C03462"/>
    <w:rsid w:val="58C064AB"/>
    <w:rsid w:val="58C106A9"/>
    <w:rsid w:val="58C219AE"/>
    <w:rsid w:val="58C249DB"/>
    <w:rsid w:val="58C33BAC"/>
    <w:rsid w:val="58C3742F"/>
    <w:rsid w:val="58C470AF"/>
    <w:rsid w:val="58C56AF2"/>
    <w:rsid w:val="58C603B4"/>
    <w:rsid w:val="58C75E36"/>
    <w:rsid w:val="58C91339"/>
    <w:rsid w:val="58CA6DBA"/>
    <w:rsid w:val="58CB6A3A"/>
    <w:rsid w:val="58CF09EC"/>
    <w:rsid w:val="58CF26AC"/>
    <w:rsid w:val="58CF63B2"/>
    <w:rsid w:val="58D06745"/>
    <w:rsid w:val="58D06F50"/>
    <w:rsid w:val="58D10943"/>
    <w:rsid w:val="58D141C7"/>
    <w:rsid w:val="58D178D4"/>
    <w:rsid w:val="58D21C48"/>
    <w:rsid w:val="58D263C5"/>
    <w:rsid w:val="58D31068"/>
    <w:rsid w:val="58D376CA"/>
    <w:rsid w:val="58D5734A"/>
    <w:rsid w:val="58D64DCB"/>
    <w:rsid w:val="58D802CE"/>
    <w:rsid w:val="58D83B51"/>
    <w:rsid w:val="58D915D3"/>
    <w:rsid w:val="58D95D50"/>
    <w:rsid w:val="58D968EA"/>
    <w:rsid w:val="58DB1253"/>
    <w:rsid w:val="58DB4AD6"/>
    <w:rsid w:val="58DB73AF"/>
    <w:rsid w:val="58DC1E7B"/>
    <w:rsid w:val="58DC2558"/>
    <w:rsid w:val="58DC7D89"/>
    <w:rsid w:val="58DD389F"/>
    <w:rsid w:val="58DD7FD9"/>
    <w:rsid w:val="58DF1B90"/>
    <w:rsid w:val="58DF34DC"/>
    <w:rsid w:val="58DF56DB"/>
    <w:rsid w:val="58E00F5E"/>
    <w:rsid w:val="58E0114E"/>
    <w:rsid w:val="58E014BA"/>
    <w:rsid w:val="58E10BDE"/>
    <w:rsid w:val="58E169DF"/>
    <w:rsid w:val="58E24B57"/>
    <w:rsid w:val="58E2665F"/>
    <w:rsid w:val="58E34992"/>
    <w:rsid w:val="58E37964"/>
    <w:rsid w:val="58E40E6F"/>
    <w:rsid w:val="58E52E67"/>
    <w:rsid w:val="58E608E9"/>
    <w:rsid w:val="58E65065"/>
    <w:rsid w:val="58E701E7"/>
    <w:rsid w:val="58E80569"/>
    <w:rsid w:val="58E83DEC"/>
    <w:rsid w:val="58E91760"/>
    <w:rsid w:val="58E95FEA"/>
    <w:rsid w:val="58EB0B99"/>
    <w:rsid w:val="58EB14ED"/>
    <w:rsid w:val="58EB2E9D"/>
    <w:rsid w:val="58EB4D70"/>
    <w:rsid w:val="58EC6F6F"/>
    <w:rsid w:val="58ED0274"/>
    <w:rsid w:val="58ED49F0"/>
    <w:rsid w:val="58EE3776"/>
    <w:rsid w:val="58EF598F"/>
    <w:rsid w:val="58F022C7"/>
    <w:rsid w:val="58F037C1"/>
    <w:rsid w:val="58F05975"/>
    <w:rsid w:val="58F246FB"/>
    <w:rsid w:val="58F3217D"/>
    <w:rsid w:val="58F55680"/>
    <w:rsid w:val="58F70B83"/>
    <w:rsid w:val="58F73CD6"/>
    <w:rsid w:val="58F846B0"/>
    <w:rsid w:val="58F86605"/>
    <w:rsid w:val="58FA5C29"/>
    <w:rsid w:val="58FB500B"/>
    <w:rsid w:val="58FB698C"/>
    <w:rsid w:val="58FB7589"/>
    <w:rsid w:val="58FB7C62"/>
    <w:rsid w:val="58FC2A8C"/>
    <w:rsid w:val="58FC4439"/>
    <w:rsid w:val="58FD7F05"/>
    <w:rsid w:val="58FE08DF"/>
    <w:rsid w:val="58FE5F8F"/>
    <w:rsid w:val="58FF3A11"/>
    <w:rsid w:val="58FF660A"/>
    <w:rsid w:val="59001493"/>
    <w:rsid w:val="590133D1"/>
    <w:rsid w:val="59020E1C"/>
    <w:rsid w:val="59032417"/>
    <w:rsid w:val="590522A7"/>
    <w:rsid w:val="5905624B"/>
    <w:rsid w:val="59070E1D"/>
    <w:rsid w:val="5908019E"/>
    <w:rsid w:val="5908689F"/>
    <w:rsid w:val="59094320"/>
    <w:rsid w:val="590A1717"/>
    <w:rsid w:val="590B0C51"/>
    <w:rsid w:val="590B6DDC"/>
    <w:rsid w:val="590C382F"/>
    <w:rsid w:val="590C52A5"/>
    <w:rsid w:val="590D65AA"/>
    <w:rsid w:val="590E4F6C"/>
    <w:rsid w:val="590F5B0B"/>
    <w:rsid w:val="590F622A"/>
    <w:rsid w:val="59114FB0"/>
    <w:rsid w:val="59122A32"/>
    <w:rsid w:val="591326B2"/>
    <w:rsid w:val="59134C30"/>
    <w:rsid w:val="59140133"/>
    <w:rsid w:val="59145F35"/>
    <w:rsid w:val="59161438"/>
    <w:rsid w:val="59164BBB"/>
    <w:rsid w:val="591730EE"/>
    <w:rsid w:val="591744DE"/>
    <w:rsid w:val="59186B39"/>
    <w:rsid w:val="59190E40"/>
    <w:rsid w:val="591A203C"/>
    <w:rsid w:val="591A5BE0"/>
    <w:rsid w:val="591A7E3E"/>
    <w:rsid w:val="591B3341"/>
    <w:rsid w:val="591B7ABE"/>
    <w:rsid w:val="591C731D"/>
    <w:rsid w:val="591D2FC1"/>
    <w:rsid w:val="591D6844"/>
    <w:rsid w:val="591E0A43"/>
    <w:rsid w:val="591E42C6"/>
    <w:rsid w:val="591F1D47"/>
    <w:rsid w:val="592014A1"/>
    <w:rsid w:val="59203F46"/>
    <w:rsid w:val="592077C9"/>
    <w:rsid w:val="59222CCC"/>
    <w:rsid w:val="5923074E"/>
    <w:rsid w:val="592340EB"/>
    <w:rsid w:val="59234ECA"/>
    <w:rsid w:val="5924294C"/>
    <w:rsid w:val="592503CD"/>
    <w:rsid w:val="592738D0"/>
    <w:rsid w:val="59275DC1"/>
    <w:rsid w:val="592762E1"/>
    <w:rsid w:val="59276802"/>
    <w:rsid w:val="59277154"/>
    <w:rsid w:val="5927777C"/>
    <w:rsid w:val="59281352"/>
    <w:rsid w:val="59292657"/>
    <w:rsid w:val="59294AF3"/>
    <w:rsid w:val="592A00D8"/>
    <w:rsid w:val="592B226D"/>
    <w:rsid w:val="592B22D7"/>
    <w:rsid w:val="592C35DC"/>
    <w:rsid w:val="592C57DA"/>
    <w:rsid w:val="592C7D58"/>
    <w:rsid w:val="592D105D"/>
    <w:rsid w:val="592D325B"/>
    <w:rsid w:val="592F4560"/>
    <w:rsid w:val="592F675E"/>
    <w:rsid w:val="593254E5"/>
    <w:rsid w:val="5932703B"/>
    <w:rsid w:val="59337A15"/>
    <w:rsid w:val="59346469"/>
    <w:rsid w:val="59350668"/>
    <w:rsid w:val="593516B6"/>
    <w:rsid w:val="5935215E"/>
    <w:rsid w:val="59353EEB"/>
    <w:rsid w:val="593773EE"/>
    <w:rsid w:val="593815EC"/>
    <w:rsid w:val="593947E3"/>
    <w:rsid w:val="5939706E"/>
    <w:rsid w:val="593A0373"/>
    <w:rsid w:val="593B5D5C"/>
    <w:rsid w:val="593C68FB"/>
    <w:rsid w:val="593C7FF3"/>
    <w:rsid w:val="593D5A74"/>
    <w:rsid w:val="593D72D5"/>
    <w:rsid w:val="593E34F6"/>
    <w:rsid w:val="593E46F9"/>
    <w:rsid w:val="593F0F77"/>
    <w:rsid w:val="594015B1"/>
    <w:rsid w:val="5940227C"/>
    <w:rsid w:val="59412E3E"/>
    <w:rsid w:val="59417CFE"/>
    <w:rsid w:val="5942577F"/>
    <w:rsid w:val="59433201"/>
    <w:rsid w:val="59433CDD"/>
    <w:rsid w:val="59440C82"/>
    <w:rsid w:val="5944285A"/>
    <w:rsid w:val="594453FF"/>
    <w:rsid w:val="59464185"/>
    <w:rsid w:val="594726BA"/>
    <w:rsid w:val="59473E05"/>
    <w:rsid w:val="59487688"/>
    <w:rsid w:val="5949510A"/>
    <w:rsid w:val="594B060D"/>
    <w:rsid w:val="594B1686"/>
    <w:rsid w:val="594B280B"/>
    <w:rsid w:val="594C028D"/>
    <w:rsid w:val="594C3B10"/>
    <w:rsid w:val="594C608F"/>
    <w:rsid w:val="594D1592"/>
    <w:rsid w:val="594E7013"/>
    <w:rsid w:val="594F433C"/>
    <w:rsid w:val="59502516"/>
    <w:rsid w:val="59504EDB"/>
    <w:rsid w:val="59506C93"/>
    <w:rsid w:val="59514715"/>
    <w:rsid w:val="59525A19"/>
    <w:rsid w:val="595303DC"/>
    <w:rsid w:val="5953349B"/>
    <w:rsid w:val="59534CCC"/>
    <w:rsid w:val="595379CD"/>
    <w:rsid w:val="5954056B"/>
    <w:rsid w:val="59540F1D"/>
    <w:rsid w:val="5954428A"/>
    <w:rsid w:val="59545699"/>
    <w:rsid w:val="5955311B"/>
    <w:rsid w:val="59560B9C"/>
    <w:rsid w:val="59561AE4"/>
    <w:rsid w:val="59564420"/>
    <w:rsid w:val="595A2E26"/>
    <w:rsid w:val="595A479B"/>
    <w:rsid w:val="595B08A7"/>
    <w:rsid w:val="595C5ED8"/>
    <w:rsid w:val="595C6329"/>
    <w:rsid w:val="595D3DAB"/>
    <w:rsid w:val="595E182C"/>
    <w:rsid w:val="595F09CA"/>
    <w:rsid w:val="596013A4"/>
    <w:rsid w:val="59604D2F"/>
    <w:rsid w:val="59611F42"/>
    <w:rsid w:val="596127B1"/>
    <w:rsid w:val="596179CA"/>
    <w:rsid w:val="596272F3"/>
    <w:rsid w:val="59635CB4"/>
    <w:rsid w:val="59654A34"/>
    <w:rsid w:val="59654BF9"/>
    <w:rsid w:val="59655912"/>
    <w:rsid w:val="59656C38"/>
    <w:rsid w:val="596646BA"/>
    <w:rsid w:val="59687BBD"/>
    <w:rsid w:val="5969563F"/>
    <w:rsid w:val="596A30C0"/>
    <w:rsid w:val="596D4045"/>
    <w:rsid w:val="596E1AC6"/>
    <w:rsid w:val="596F42F4"/>
    <w:rsid w:val="59701AD0"/>
    <w:rsid w:val="59704FCA"/>
    <w:rsid w:val="597204CD"/>
    <w:rsid w:val="59723D50"/>
    <w:rsid w:val="597317D1"/>
    <w:rsid w:val="59735F4E"/>
    <w:rsid w:val="59736FAA"/>
    <w:rsid w:val="597437C3"/>
    <w:rsid w:val="597439D0"/>
    <w:rsid w:val="59747253"/>
    <w:rsid w:val="59754CD5"/>
    <w:rsid w:val="59762756"/>
    <w:rsid w:val="59770B6A"/>
    <w:rsid w:val="5978263A"/>
    <w:rsid w:val="59785C59"/>
    <w:rsid w:val="597936DB"/>
    <w:rsid w:val="597A3BB3"/>
    <w:rsid w:val="597B29CA"/>
    <w:rsid w:val="597B335B"/>
    <w:rsid w:val="597B6BDE"/>
    <w:rsid w:val="597C465F"/>
    <w:rsid w:val="597C685E"/>
    <w:rsid w:val="597D7FC8"/>
    <w:rsid w:val="597E1D61"/>
    <w:rsid w:val="597E7B62"/>
    <w:rsid w:val="597F55E4"/>
    <w:rsid w:val="59803066"/>
    <w:rsid w:val="59812CE5"/>
    <w:rsid w:val="59826569"/>
    <w:rsid w:val="59833FEA"/>
    <w:rsid w:val="59843C6A"/>
    <w:rsid w:val="598474ED"/>
    <w:rsid w:val="598541D6"/>
    <w:rsid w:val="598629F0"/>
    <w:rsid w:val="5986716D"/>
    <w:rsid w:val="598732F0"/>
    <w:rsid w:val="59874BEF"/>
    <w:rsid w:val="5987558A"/>
    <w:rsid w:val="59885EF4"/>
    <w:rsid w:val="598900F2"/>
    <w:rsid w:val="59893975"/>
    <w:rsid w:val="598A5B73"/>
    <w:rsid w:val="598B2199"/>
    <w:rsid w:val="598B35F5"/>
    <w:rsid w:val="598B6E78"/>
    <w:rsid w:val="598C197E"/>
    <w:rsid w:val="598D5E93"/>
    <w:rsid w:val="598E457A"/>
    <w:rsid w:val="598E5973"/>
    <w:rsid w:val="598E5CDE"/>
    <w:rsid w:val="598F1FFB"/>
    <w:rsid w:val="598F587E"/>
    <w:rsid w:val="599042AB"/>
    <w:rsid w:val="59907A7D"/>
    <w:rsid w:val="59910D81"/>
    <w:rsid w:val="599154FE"/>
    <w:rsid w:val="599259E9"/>
    <w:rsid w:val="59926803"/>
    <w:rsid w:val="599363C3"/>
    <w:rsid w:val="59943F04"/>
    <w:rsid w:val="59951986"/>
    <w:rsid w:val="59957788"/>
    <w:rsid w:val="59965209"/>
    <w:rsid w:val="59972C8B"/>
    <w:rsid w:val="5998290B"/>
    <w:rsid w:val="5999038C"/>
    <w:rsid w:val="59993190"/>
    <w:rsid w:val="599A3D2F"/>
    <w:rsid w:val="599A5E0E"/>
    <w:rsid w:val="599B1691"/>
    <w:rsid w:val="599C0670"/>
    <w:rsid w:val="599C1311"/>
    <w:rsid w:val="599C5861"/>
    <w:rsid w:val="599D5C82"/>
    <w:rsid w:val="599E4814"/>
    <w:rsid w:val="599F5B19"/>
    <w:rsid w:val="59A0359A"/>
    <w:rsid w:val="59A07D17"/>
    <w:rsid w:val="59A07F5E"/>
    <w:rsid w:val="59A10AFD"/>
    <w:rsid w:val="59A1101C"/>
    <w:rsid w:val="59A15799"/>
    <w:rsid w:val="59A26A9D"/>
    <w:rsid w:val="59A31EB1"/>
    <w:rsid w:val="59A3451F"/>
    <w:rsid w:val="59A4671D"/>
    <w:rsid w:val="59A654A4"/>
    <w:rsid w:val="59A72F25"/>
    <w:rsid w:val="59A75542"/>
    <w:rsid w:val="59A776A2"/>
    <w:rsid w:val="59A85123"/>
    <w:rsid w:val="59A92BA5"/>
    <w:rsid w:val="59A93F65"/>
    <w:rsid w:val="59A96428"/>
    <w:rsid w:val="59AA781E"/>
    <w:rsid w:val="59AB192B"/>
    <w:rsid w:val="59AB19CA"/>
    <w:rsid w:val="59AC73AD"/>
    <w:rsid w:val="59AD15AB"/>
    <w:rsid w:val="59AD702D"/>
    <w:rsid w:val="59AE28B0"/>
    <w:rsid w:val="59AE4AAE"/>
    <w:rsid w:val="59AF2530"/>
    <w:rsid w:val="59B05DB3"/>
    <w:rsid w:val="59B07FB1"/>
    <w:rsid w:val="59B13835"/>
    <w:rsid w:val="59B14E01"/>
    <w:rsid w:val="59B14FC6"/>
    <w:rsid w:val="59B212B6"/>
    <w:rsid w:val="59B23E12"/>
    <w:rsid w:val="59B30F36"/>
    <w:rsid w:val="59B36D38"/>
    <w:rsid w:val="59B447B9"/>
    <w:rsid w:val="59B469B8"/>
    <w:rsid w:val="59B470DD"/>
    <w:rsid w:val="59B57CBC"/>
    <w:rsid w:val="59B60492"/>
    <w:rsid w:val="59B7793C"/>
    <w:rsid w:val="59B80C41"/>
    <w:rsid w:val="59B9276E"/>
    <w:rsid w:val="59B92E3F"/>
    <w:rsid w:val="59BA3148"/>
    <w:rsid w:val="59BA4144"/>
    <w:rsid w:val="59BA435D"/>
    <w:rsid w:val="59BA46C8"/>
    <w:rsid w:val="59BB3CE7"/>
    <w:rsid w:val="59BC3DC4"/>
    <w:rsid w:val="59BF1A10"/>
    <w:rsid w:val="59C0439F"/>
    <w:rsid w:val="59C07D51"/>
    <w:rsid w:val="59C13ACF"/>
    <w:rsid w:val="59C21551"/>
    <w:rsid w:val="59C36FD2"/>
    <w:rsid w:val="59C524D5"/>
    <w:rsid w:val="59C604DE"/>
    <w:rsid w:val="59C60694"/>
    <w:rsid w:val="59C63F80"/>
    <w:rsid w:val="59C67F57"/>
    <w:rsid w:val="59C77A9D"/>
    <w:rsid w:val="59C8345A"/>
    <w:rsid w:val="59C862A2"/>
    <w:rsid w:val="59C9625C"/>
    <w:rsid w:val="59CE2DE5"/>
    <w:rsid w:val="59CF2E66"/>
    <w:rsid w:val="59D062E8"/>
    <w:rsid w:val="59D13D69"/>
    <w:rsid w:val="59D217EB"/>
    <w:rsid w:val="59D3726C"/>
    <w:rsid w:val="59D44CEE"/>
    <w:rsid w:val="59D525E5"/>
    <w:rsid w:val="59D555CE"/>
    <w:rsid w:val="59D56ED0"/>
    <w:rsid w:val="59D57095"/>
    <w:rsid w:val="59D63A74"/>
    <w:rsid w:val="59D67C33"/>
    <w:rsid w:val="59D70DF6"/>
    <w:rsid w:val="59D75C73"/>
    <w:rsid w:val="59D811AC"/>
    <w:rsid w:val="59D86F77"/>
    <w:rsid w:val="59D91176"/>
    <w:rsid w:val="59DA32C4"/>
    <w:rsid w:val="59DB3E62"/>
    <w:rsid w:val="59DB7EFC"/>
    <w:rsid w:val="59DD53DB"/>
    <w:rsid w:val="59DD7B7C"/>
    <w:rsid w:val="59DE0E81"/>
    <w:rsid w:val="59DE5F7A"/>
    <w:rsid w:val="59DF6902"/>
    <w:rsid w:val="59DF6954"/>
    <w:rsid w:val="59E00B01"/>
    <w:rsid w:val="59E11E05"/>
    <w:rsid w:val="59E16582"/>
    <w:rsid w:val="59E24AD2"/>
    <w:rsid w:val="59E27887"/>
    <w:rsid w:val="59E31446"/>
    <w:rsid w:val="59E31A85"/>
    <w:rsid w:val="59E35308"/>
    <w:rsid w:val="59E40FD4"/>
    <w:rsid w:val="59E41FE5"/>
    <w:rsid w:val="59E42D8A"/>
    <w:rsid w:val="59E446EB"/>
    <w:rsid w:val="59E44A57"/>
    <w:rsid w:val="59E5080C"/>
    <w:rsid w:val="59E52A0A"/>
    <w:rsid w:val="59E53268"/>
    <w:rsid w:val="59E54F88"/>
    <w:rsid w:val="59E6048B"/>
    <w:rsid w:val="59E630B3"/>
    <w:rsid w:val="59E6355E"/>
    <w:rsid w:val="59E73D0F"/>
    <w:rsid w:val="59E75F0D"/>
    <w:rsid w:val="59E85675"/>
    <w:rsid w:val="59E91410"/>
    <w:rsid w:val="59EA6BEE"/>
    <w:rsid w:val="59EA6E92"/>
    <w:rsid w:val="59EB4913"/>
    <w:rsid w:val="59EB778D"/>
    <w:rsid w:val="59EC0196"/>
    <w:rsid w:val="59EC2395"/>
    <w:rsid w:val="59ED0ECA"/>
    <w:rsid w:val="59ED369A"/>
    <w:rsid w:val="59ED5C18"/>
    <w:rsid w:val="59EE111B"/>
    <w:rsid w:val="59EE18A4"/>
    <w:rsid w:val="59EF2443"/>
    <w:rsid w:val="59EF3319"/>
    <w:rsid w:val="59EF5441"/>
    <w:rsid w:val="59EF6B9D"/>
    <w:rsid w:val="59F02FE1"/>
    <w:rsid w:val="59F24396"/>
    <w:rsid w:val="59F26EC9"/>
    <w:rsid w:val="59F31D20"/>
    <w:rsid w:val="59F45AD3"/>
    <w:rsid w:val="59F477A1"/>
    <w:rsid w:val="59F54E4E"/>
    <w:rsid w:val="59F55223"/>
    <w:rsid w:val="59F55A72"/>
    <w:rsid w:val="59F564AD"/>
    <w:rsid w:val="59F62CA4"/>
    <w:rsid w:val="59F67A26"/>
    <w:rsid w:val="59F73FA9"/>
    <w:rsid w:val="59F91D02"/>
    <w:rsid w:val="59F974AC"/>
    <w:rsid w:val="59FA16AA"/>
    <w:rsid w:val="59FA28A1"/>
    <w:rsid w:val="59FB712C"/>
    <w:rsid w:val="59FC4BAE"/>
    <w:rsid w:val="59FD00B1"/>
    <w:rsid w:val="59FD262F"/>
    <w:rsid w:val="59FE5B32"/>
    <w:rsid w:val="59FF13B5"/>
    <w:rsid w:val="59FF35B4"/>
    <w:rsid w:val="5A001035"/>
    <w:rsid w:val="5A006E37"/>
    <w:rsid w:val="5A020049"/>
    <w:rsid w:val="5A02233A"/>
    <w:rsid w:val="5A024538"/>
    <w:rsid w:val="5A037476"/>
    <w:rsid w:val="5A037DBC"/>
    <w:rsid w:val="5A047A3B"/>
    <w:rsid w:val="5A050D40"/>
    <w:rsid w:val="5A0554BD"/>
    <w:rsid w:val="5A062F3F"/>
    <w:rsid w:val="5A063515"/>
    <w:rsid w:val="5A0667C2"/>
    <w:rsid w:val="5A0709C0"/>
    <w:rsid w:val="5A074243"/>
    <w:rsid w:val="5A0957F1"/>
    <w:rsid w:val="5A097746"/>
    <w:rsid w:val="5A0A1945"/>
    <w:rsid w:val="5A0A61CB"/>
    <w:rsid w:val="5A0B2C4A"/>
    <w:rsid w:val="5A0C4E48"/>
    <w:rsid w:val="5A0D28C9"/>
    <w:rsid w:val="5A0D614D"/>
    <w:rsid w:val="5A0E034B"/>
    <w:rsid w:val="5A0E0CBD"/>
    <w:rsid w:val="5A0F1650"/>
    <w:rsid w:val="5A0F1A20"/>
    <w:rsid w:val="5A0F5DCC"/>
    <w:rsid w:val="5A103441"/>
    <w:rsid w:val="5A1112D0"/>
    <w:rsid w:val="5A114B53"/>
    <w:rsid w:val="5A126D51"/>
    <w:rsid w:val="5A1347D3"/>
    <w:rsid w:val="5A1534DC"/>
    <w:rsid w:val="5A167004"/>
    <w:rsid w:val="5A170C5A"/>
    <w:rsid w:val="5A176A5C"/>
    <w:rsid w:val="5A18057C"/>
    <w:rsid w:val="5A1844DE"/>
    <w:rsid w:val="5A1866DC"/>
    <w:rsid w:val="5A19111B"/>
    <w:rsid w:val="5A19415E"/>
    <w:rsid w:val="5A1A79E1"/>
    <w:rsid w:val="5A1B5462"/>
    <w:rsid w:val="5A1B7661"/>
    <w:rsid w:val="5A1C3233"/>
    <w:rsid w:val="5A1D0965"/>
    <w:rsid w:val="5A1D167E"/>
    <w:rsid w:val="5A1D2B64"/>
    <w:rsid w:val="5A1D63E7"/>
    <w:rsid w:val="5A1E47AC"/>
    <w:rsid w:val="5A1F18EA"/>
    <w:rsid w:val="5A1F56FD"/>
    <w:rsid w:val="5A1F5EE9"/>
    <w:rsid w:val="5A203AE8"/>
    <w:rsid w:val="5A206A87"/>
    <w:rsid w:val="5A21156A"/>
    <w:rsid w:val="5A217BE1"/>
    <w:rsid w:val="5A22286F"/>
    <w:rsid w:val="5A226FEB"/>
    <w:rsid w:val="5A2302F0"/>
    <w:rsid w:val="5A2413B5"/>
    <w:rsid w:val="5A262AF2"/>
    <w:rsid w:val="5A28406B"/>
    <w:rsid w:val="5A28422F"/>
    <w:rsid w:val="5A284778"/>
    <w:rsid w:val="5A2B56FD"/>
    <w:rsid w:val="5A2C6D21"/>
    <w:rsid w:val="5A2C76FB"/>
    <w:rsid w:val="5A2F55FE"/>
    <w:rsid w:val="5A31541D"/>
    <w:rsid w:val="5A344EA3"/>
    <w:rsid w:val="5A355A42"/>
    <w:rsid w:val="5A35600C"/>
    <w:rsid w:val="5A363A8E"/>
    <w:rsid w:val="5A390534"/>
    <w:rsid w:val="5A3906F8"/>
    <w:rsid w:val="5A392494"/>
    <w:rsid w:val="5A3C1C76"/>
    <w:rsid w:val="5A3C31EA"/>
    <w:rsid w:val="5A3C3419"/>
    <w:rsid w:val="5A3D3D89"/>
    <w:rsid w:val="5A3D6C9C"/>
    <w:rsid w:val="5A3E219F"/>
    <w:rsid w:val="5A3E3E25"/>
    <w:rsid w:val="5A3E4763"/>
    <w:rsid w:val="5A3E691C"/>
    <w:rsid w:val="5A3F7C21"/>
    <w:rsid w:val="5A401E1F"/>
    <w:rsid w:val="5A405EA0"/>
    <w:rsid w:val="5A4178A0"/>
    <w:rsid w:val="5A420BA5"/>
    <w:rsid w:val="5A42157E"/>
    <w:rsid w:val="5A436627"/>
    <w:rsid w:val="5A440825"/>
    <w:rsid w:val="5A440B56"/>
    <w:rsid w:val="5A4440A8"/>
    <w:rsid w:val="5A451531"/>
    <w:rsid w:val="5A4562A7"/>
    <w:rsid w:val="5A4675AB"/>
    <w:rsid w:val="5A4717AA"/>
    <w:rsid w:val="5A47502D"/>
    <w:rsid w:val="5A494CAD"/>
    <w:rsid w:val="5A4A272E"/>
    <w:rsid w:val="5A4A559B"/>
    <w:rsid w:val="5A4A5760"/>
    <w:rsid w:val="5A4A5FB2"/>
    <w:rsid w:val="5A4B01B0"/>
    <w:rsid w:val="5A4B0A38"/>
    <w:rsid w:val="5A4B34F1"/>
    <w:rsid w:val="5A4B3A33"/>
    <w:rsid w:val="5A4B3D7D"/>
    <w:rsid w:val="5A4C5C31"/>
    <w:rsid w:val="5A4D36B3"/>
    <w:rsid w:val="5A4D6F36"/>
    <w:rsid w:val="5A4E0252"/>
    <w:rsid w:val="5A4E49B8"/>
    <w:rsid w:val="5A4E6BB6"/>
    <w:rsid w:val="5A4F2439"/>
    <w:rsid w:val="5A5020B9"/>
    <w:rsid w:val="5A507EBB"/>
    <w:rsid w:val="5A51593C"/>
    <w:rsid w:val="5A516DA2"/>
    <w:rsid w:val="5A517B3B"/>
    <w:rsid w:val="5A522F08"/>
    <w:rsid w:val="5A5233BE"/>
    <w:rsid w:val="5A5255BC"/>
    <w:rsid w:val="5A530E40"/>
    <w:rsid w:val="5A540ABF"/>
    <w:rsid w:val="5A544645"/>
    <w:rsid w:val="5A554343"/>
    <w:rsid w:val="5A563FC2"/>
    <w:rsid w:val="5A5659FA"/>
    <w:rsid w:val="5A567846"/>
    <w:rsid w:val="5A5752C7"/>
    <w:rsid w:val="5A577EFE"/>
    <w:rsid w:val="5A582D49"/>
    <w:rsid w:val="5A582FE6"/>
    <w:rsid w:val="5A5874C6"/>
    <w:rsid w:val="5A5907CA"/>
    <w:rsid w:val="5A594F47"/>
    <w:rsid w:val="5A5A124E"/>
    <w:rsid w:val="5A5A624C"/>
    <w:rsid w:val="5A5B044A"/>
    <w:rsid w:val="5A5B3CCD"/>
    <w:rsid w:val="5A5C5ECC"/>
    <w:rsid w:val="5A5E13CF"/>
    <w:rsid w:val="5A5F26D4"/>
    <w:rsid w:val="5A5F6E50"/>
    <w:rsid w:val="5A600155"/>
    <w:rsid w:val="5A6048D2"/>
    <w:rsid w:val="5A615BD7"/>
    <w:rsid w:val="5A6310DA"/>
    <w:rsid w:val="5A6373D1"/>
    <w:rsid w:val="5A637F6F"/>
    <w:rsid w:val="5A6432D8"/>
    <w:rsid w:val="5A6545DD"/>
    <w:rsid w:val="5A6715C3"/>
    <w:rsid w:val="5A671CDE"/>
    <w:rsid w:val="5A677AE0"/>
    <w:rsid w:val="5A6837C4"/>
    <w:rsid w:val="5A685562"/>
    <w:rsid w:val="5A692FE3"/>
    <w:rsid w:val="5A697A69"/>
    <w:rsid w:val="5A6E1669"/>
    <w:rsid w:val="5A6E1867"/>
    <w:rsid w:val="5A6E4EEC"/>
    <w:rsid w:val="5A6F70EB"/>
    <w:rsid w:val="5A704B6C"/>
    <w:rsid w:val="5A7124E5"/>
    <w:rsid w:val="5A715E71"/>
    <w:rsid w:val="5A72006F"/>
    <w:rsid w:val="5A7238F3"/>
    <w:rsid w:val="5A735AF1"/>
    <w:rsid w:val="5A750FF4"/>
    <w:rsid w:val="5A754877"/>
    <w:rsid w:val="5A762C88"/>
    <w:rsid w:val="5A762E3E"/>
    <w:rsid w:val="5A766A76"/>
    <w:rsid w:val="5A772767"/>
    <w:rsid w:val="5A7744F7"/>
    <w:rsid w:val="5A777D7A"/>
    <w:rsid w:val="5A781F79"/>
    <w:rsid w:val="5A7929C6"/>
    <w:rsid w:val="5A79327D"/>
    <w:rsid w:val="5A7A0CFF"/>
    <w:rsid w:val="5A7B2EFD"/>
    <w:rsid w:val="5A7B6781"/>
    <w:rsid w:val="5A7C097F"/>
    <w:rsid w:val="5A7C1DA4"/>
    <w:rsid w:val="5A7C4202"/>
    <w:rsid w:val="5A7D1C84"/>
    <w:rsid w:val="5A7D277F"/>
    <w:rsid w:val="5A7E1904"/>
    <w:rsid w:val="5A7F5187"/>
    <w:rsid w:val="5A7F7385"/>
    <w:rsid w:val="5A812888"/>
    <w:rsid w:val="5A815E0F"/>
    <w:rsid w:val="5A82030A"/>
    <w:rsid w:val="5A82610B"/>
    <w:rsid w:val="5A835D8B"/>
    <w:rsid w:val="5A84160F"/>
    <w:rsid w:val="5A84380D"/>
    <w:rsid w:val="5A845986"/>
    <w:rsid w:val="5A845B3B"/>
    <w:rsid w:val="5A84657D"/>
    <w:rsid w:val="5A866D10"/>
    <w:rsid w:val="5A87203E"/>
    <w:rsid w:val="5A882213"/>
    <w:rsid w:val="5A885A96"/>
    <w:rsid w:val="5A893057"/>
    <w:rsid w:val="5A8A0F99"/>
    <w:rsid w:val="5A8C626D"/>
    <w:rsid w:val="5A8D1F1E"/>
    <w:rsid w:val="5A8E77E6"/>
    <w:rsid w:val="5A8F0385"/>
    <w:rsid w:val="5A8F5421"/>
    <w:rsid w:val="5A900F23"/>
    <w:rsid w:val="5A902EA3"/>
    <w:rsid w:val="5A910924"/>
    <w:rsid w:val="5A9118FE"/>
    <w:rsid w:val="5A932E77"/>
    <w:rsid w:val="5A933E27"/>
    <w:rsid w:val="5A9418A9"/>
    <w:rsid w:val="5A943A15"/>
    <w:rsid w:val="5A9545B4"/>
    <w:rsid w:val="5A964DAC"/>
    <w:rsid w:val="5A9802AF"/>
    <w:rsid w:val="5A995D31"/>
    <w:rsid w:val="5A9A4363"/>
    <w:rsid w:val="5A9B1234"/>
    <w:rsid w:val="5A9C6CB5"/>
    <w:rsid w:val="5A9D28FB"/>
    <w:rsid w:val="5A9E21B8"/>
    <w:rsid w:val="5A9F7C3A"/>
    <w:rsid w:val="5AA219DE"/>
    <w:rsid w:val="5AA21EFE"/>
    <w:rsid w:val="5AA26640"/>
    <w:rsid w:val="5AA31152"/>
    <w:rsid w:val="5AA31EC3"/>
    <w:rsid w:val="5AA340C2"/>
    <w:rsid w:val="5AA36B2A"/>
    <w:rsid w:val="5AA41B43"/>
    <w:rsid w:val="5AA553C6"/>
    <w:rsid w:val="5AA56967"/>
    <w:rsid w:val="5AA575C5"/>
    <w:rsid w:val="5AA60907"/>
    <w:rsid w:val="5AA708CA"/>
    <w:rsid w:val="5AA7161B"/>
    <w:rsid w:val="5AA83DCD"/>
    <w:rsid w:val="5AA9184E"/>
    <w:rsid w:val="5AA9356E"/>
    <w:rsid w:val="5AA95FCB"/>
    <w:rsid w:val="5AAA72D0"/>
    <w:rsid w:val="5AAB14CE"/>
    <w:rsid w:val="5AAB4D51"/>
    <w:rsid w:val="5AAD49D1"/>
    <w:rsid w:val="5AAE2453"/>
    <w:rsid w:val="5AAE6DC3"/>
    <w:rsid w:val="5AB0141B"/>
    <w:rsid w:val="5AB05956"/>
    <w:rsid w:val="5AB10EDB"/>
    <w:rsid w:val="5AB133D7"/>
    <w:rsid w:val="5AB1392F"/>
    <w:rsid w:val="5AB20E59"/>
    <w:rsid w:val="5AB21A7A"/>
    <w:rsid w:val="5AB230A3"/>
    <w:rsid w:val="5AB246DC"/>
    <w:rsid w:val="5AB3215E"/>
    <w:rsid w:val="5AB42E2E"/>
    <w:rsid w:val="5AB43B91"/>
    <w:rsid w:val="5AB4435C"/>
    <w:rsid w:val="5AB47BDF"/>
    <w:rsid w:val="5AB47DD2"/>
    <w:rsid w:val="5AB70B64"/>
    <w:rsid w:val="5AB72D62"/>
    <w:rsid w:val="5AB81CD6"/>
    <w:rsid w:val="5AB94067"/>
    <w:rsid w:val="5ABA3CE7"/>
    <w:rsid w:val="5ABB05D6"/>
    <w:rsid w:val="5ABB1768"/>
    <w:rsid w:val="5ABB756A"/>
    <w:rsid w:val="5ABC4FEC"/>
    <w:rsid w:val="5ABC71EA"/>
    <w:rsid w:val="5ABD1D13"/>
    <w:rsid w:val="5ABD2A6D"/>
    <w:rsid w:val="5ABE04EF"/>
    <w:rsid w:val="5ABE2233"/>
    <w:rsid w:val="5ABE26ED"/>
    <w:rsid w:val="5ABF39F2"/>
    <w:rsid w:val="5ABF575D"/>
    <w:rsid w:val="5ABF5F70"/>
    <w:rsid w:val="5ABF6D03"/>
    <w:rsid w:val="5AC01473"/>
    <w:rsid w:val="5AC03E2B"/>
    <w:rsid w:val="5AC13672"/>
    <w:rsid w:val="5AC149CA"/>
    <w:rsid w:val="5AC16A76"/>
    <w:rsid w:val="5AC210F3"/>
    <w:rsid w:val="5AC24977"/>
    <w:rsid w:val="5AC2539B"/>
    <w:rsid w:val="5AC253A4"/>
    <w:rsid w:val="5AC323F8"/>
    <w:rsid w:val="5AC36B75"/>
    <w:rsid w:val="5AC445F6"/>
    <w:rsid w:val="5AC474BB"/>
    <w:rsid w:val="5AC52078"/>
    <w:rsid w:val="5AC558FB"/>
    <w:rsid w:val="5AC60BF9"/>
    <w:rsid w:val="5AC6337D"/>
    <w:rsid w:val="5AC7557B"/>
    <w:rsid w:val="5AC82FFD"/>
    <w:rsid w:val="5AC90A7E"/>
    <w:rsid w:val="5AC94301"/>
    <w:rsid w:val="5ACB40C5"/>
    <w:rsid w:val="5ACC27AE"/>
    <w:rsid w:val="5ACC5286"/>
    <w:rsid w:val="5ACD2D08"/>
    <w:rsid w:val="5ACD4674"/>
    <w:rsid w:val="5ACE0789"/>
    <w:rsid w:val="5ACE4F06"/>
    <w:rsid w:val="5ACF620B"/>
    <w:rsid w:val="5AD03C8C"/>
    <w:rsid w:val="5AD102F4"/>
    <w:rsid w:val="5AD1170E"/>
    <w:rsid w:val="5AD2138E"/>
    <w:rsid w:val="5AD21A31"/>
    <w:rsid w:val="5AD2718F"/>
    <w:rsid w:val="5AD42692"/>
    <w:rsid w:val="5AD44891"/>
    <w:rsid w:val="5AD50114"/>
    <w:rsid w:val="5AD52312"/>
    <w:rsid w:val="5AD53B49"/>
    <w:rsid w:val="5AD6123A"/>
    <w:rsid w:val="5AD67D94"/>
    <w:rsid w:val="5AD73B2D"/>
    <w:rsid w:val="5AD75815"/>
    <w:rsid w:val="5AD86B1A"/>
    <w:rsid w:val="5AD90D18"/>
    <w:rsid w:val="5ADA201D"/>
    <w:rsid w:val="5ADA2272"/>
    <w:rsid w:val="5ADA679A"/>
    <w:rsid w:val="5ADA71D9"/>
    <w:rsid w:val="5ADB421C"/>
    <w:rsid w:val="5ADC3B08"/>
    <w:rsid w:val="5ADD2FA2"/>
    <w:rsid w:val="5ADE0A23"/>
    <w:rsid w:val="5ADE2869"/>
    <w:rsid w:val="5ADE51A0"/>
    <w:rsid w:val="5ADF2C22"/>
    <w:rsid w:val="5AE006A3"/>
    <w:rsid w:val="5AE03F27"/>
    <w:rsid w:val="5AE14981"/>
    <w:rsid w:val="5AE23BA6"/>
    <w:rsid w:val="5AE26D53"/>
    <w:rsid w:val="5AE2742A"/>
    <w:rsid w:val="5AE31628"/>
    <w:rsid w:val="5AE4292D"/>
    <w:rsid w:val="5AE470AA"/>
    <w:rsid w:val="5AE503AE"/>
    <w:rsid w:val="5AE54B2B"/>
    <w:rsid w:val="5AE81333"/>
    <w:rsid w:val="5AE90FB3"/>
    <w:rsid w:val="5AE96DB5"/>
    <w:rsid w:val="5AEA2CC8"/>
    <w:rsid w:val="5AEB22B8"/>
    <w:rsid w:val="5AEC4240"/>
    <w:rsid w:val="5AEC478B"/>
    <w:rsid w:val="5AEC4941"/>
    <w:rsid w:val="5AEC7D39"/>
    <w:rsid w:val="5AED57B9"/>
    <w:rsid w:val="5AED57BB"/>
    <w:rsid w:val="5AED79B9"/>
    <w:rsid w:val="5AEE543B"/>
    <w:rsid w:val="5AEF0CBE"/>
    <w:rsid w:val="5AEF2EBC"/>
    <w:rsid w:val="5AEF6D32"/>
    <w:rsid w:val="5AF041C1"/>
    <w:rsid w:val="5AF102AB"/>
    <w:rsid w:val="5AF11C42"/>
    <w:rsid w:val="5AF276C4"/>
    <w:rsid w:val="5AF35146"/>
    <w:rsid w:val="5AF42BC7"/>
    <w:rsid w:val="5AF44393"/>
    <w:rsid w:val="5AF50649"/>
    <w:rsid w:val="5AF660CA"/>
    <w:rsid w:val="5AF716B9"/>
    <w:rsid w:val="5AF73B4C"/>
    <w:rsid w:val="5AF744DA"/>
    <w:rsid w:val="5AF815CD"/>
    <w:rsid w:val="5AF95A53"/>
    <w:rsid w:val="5AF9704F"/>
    <w:rsid w:val="5AFA4AD0"/>
    <w:rsid w:val="5AFA711E"/>
    <w:rsid w:val="5AFB2552"/>
    <w:rsid w:val="5AFB7D2F"/>
    <w:rsid w:val="5AFD5A55"/>
    <w:rsid w:val="5AFE1C82"/>
    <w:rsid w:val="5AFE34D7"/>
    <w:rsid w:val="5AFF0F58"/>
    <w:rsid w:val="5B0033BF"/>
    <w:rsid w:val="5B01445B"/>
    <w:rsid w:val="5B021EDD"/>
    <w:rsid w:val="5B0311A3"/>
    <w:rsid w:val="5B03795E"/>
    <w:rsid w:val="5B052E61"/>
    <w:rsid w:val="5B076365"/>
    <w:rsid w:val="5B0809A3"/>
    <w:rsid w:val="5B081868"/>
    <w:rsid w:val="5B0920E0"/>
    <w:rsid w:val="5B0950EB"/>
    <w:rsid w:val="5B0A144B"/>
    <w:rsid w:val="5B0A2ABB"/>
    <w:rsid w:val="5B0A2B6C"/>
    <w:rsid w:val="5B0B3659"/>
    <w:rsid w:val="5B0C10BF"/>
    <w:rsid w:val="5B0C6070"/>
    <w:rsid w:val="5B0E1573"/>
    <w:rsid w:val="5B0E5771"/>
    <w:rsid w:val="5B0F11F3"/>
    <w:rsid w:val="5B1024F7"/>
    <w:rsid w:val="5B106C74"/>
    <w:rsid w:val="5B117888"/>
    <w:rsid w:val="5B120427"/>
    <w:rsid w:val="5B121FDF"/>
    <w:rsid w:val="5B122177"/>
    <w:rsid w:val="5B1259FA"/>
    <w:rsid w:val="5B13347C"/>
    <w:rsid w:val="5B140EFE"/>
    <w:rsid w:val="5B14567A"/>
    <w:rsid w:val="5B155711"/>
    <w:rsid w:val="5B15697F"/>
    <w:rsid w:val="5B160B7D"/>
    <w:rsid w:val="5B164401"/>
    <w:rsid w:val="5B171E82"/>
    <w:rsid w:val="5B174492"/>
    <w:rsid w:val="5B1765FF"/>
    <w:rsid w:val="5B184080"/>
    <w:rsid w:val="5B1851F5"/>
    <w:rsid w:val="5B187904"/>
    <w:rsid w:val="5B191B02"/>
    <w:rsid w:val="5B195385"/>
    <w:rsid w:val="5B195A0A"/>
    <w:rsid w:val="5B1A676E"/>
    <w:rsid w:val="5B1A7584"/>
    <w:rsid w:val="5B1B0888"/>
    <w:rsid w:val="5B1C2A87"/>
    <w:rsid w:val="5B1C630A"/>
    <w:rsid w:val="5B1C7B22"/>
    <w:rsid w:val="5B1C7F9F"/>
    <w:rsid w:val="5B1D0508"/>
    <w:rsid w:val="5B1E180D"/>
    <w:rsid w:val="5B1F1C3A"/>
    <w:rsid w:val="5B1F3A0B"/>
    <w:rsid w:val="5B20148D"/>
    <w:rsid w:val="5B204D10"/>
    <w:rsid w:val="5B206F0E"/>
    <w:rsid w:val="5B212792"/>
    <w:rsid w:val="5B220213"/>
    <w:rsid w:val="5B235C95"/>
    <w:rsid w:val="5B237E93"/>
    <w:rsid w:val="5B2432AE"/>
    <w:rsid w:val="5B243716"/>
    <w:rsid w:val="5B245915"/>
    <w:rsid w:val="5B247B83"/>
    <w:rsid w:val="5B251198"/>
    <w:rsid w:val="5B256C20"/>
    <w:rsid w:val="5B265B08"/>
    <w:rsid w:val="5B266C19"/>
    <w:rsid w:val="5B27469B"/>
    <w:rsid w:val="5B287B9E"/>
    <w:rsid w:val="5B2916BE"/>
    <w:rsid w:val="5B2A30A1"/>
    <w:rsid w:val="5B2B0B23"/>
    <w:rsid w:val="5B2B529F"/>
    <w:rsid w:val="5B2C3611"/>
    <w:rsid w:val="5B2C65A4"/>
    <w:rsid w:val="5B2D07A3"/>
    <w:rsid w:val="5B2D4026"/>
    <w:rsid w:val="5B2E6224"/>
    <w:rsid w:val="5B301727"/>
    <w:rsid w:val="5B316E66"/>
    <w:rsid w:val="5B3171A9"/>
    <w:rsid w:val="5B330DB9"/>
    <w:rsid w:val="5B330F7D"/>
    <w:rsid w:val="5B331092"/>
    <w:rsid w:val="5B34012D"/>
    <w:rsid w:val="5B3422A2"/>
    <w:rsid w:val="5B3439B1"/>
    <w:rsid w:val="5B351432"/>
    <w:rsid w:val="5B355BAF"/>
    <w:rsid w:val="5B3620C1"/>
    <w:rsid w:val="5B363095"/>
    <w:rsid w:val="5B363630"/>
    <w:rsid w:val="5B3823B7"/>
    <w:rsid w:val="5B384449"/>
    <w:rsid w:val="5B3845B5"/>
    <w:rsid w:val="5B38460D"/>
    <w:rsid w:val="5B394FE8"/>
    <w:rsid w:val="5B397E38"/>
    <w:rsid w:val="5B3B333C"/>
    <w:rsid w:val="5B3C0DBD"/>
    <w:rsid w:val="5B3C2FBB"/>
    <w:rsid w:val="5B3C70FF"/>
    <w:rsid w:val="5B3C72C4"/>
    <w:rsid w:val="5B3D0A3D"/>
    <w:rsid w:val="5B3D683F"/>
    <w:rsid w:val="5B3E13DB"/>
    <w:rsid w:val="5B3E42C0"/>
    <w:rsid w:val="5B3F1217"/>
    <w:rsid w:val="5B3F3F40"/>
    <w:rsid w:val="5B4019C2"/>
    <w:rsid w:val="5B402954"/>
    <w:rsid w:val="5B4077C3"/>
    <w:rsid w:val="5B41332E"/>
    <w:rsid w:val="5B4142B1"/>
    <w:rsid w:val="5B417443"/>
    <w:rsid w:val="5B420748"/>
    <w:rsid w:val="5B423D09"/>
    <w:rsid w:val="5B432946"/>
    <w:rsid w:val="5B432AC3"/>
    <w:rsid w:val="5B4361C9"/>
    <w:rsid w:val="5B443C4B"/>
    <w:rsid w:val="5B445446"/>
    <w:rsid w:val="5B453A98"/>
    <w:rsid w:val="5B455E49"/>
    <w:rsid w:val="5B4638CB"/>
    <w:rsid w:val="5B47134C"/>
    <w:rsid w:val="5B474BD0"/>
    <w:rsid w:val="5B47755D"/>
    <w:rsid w:val="5B4800FC"/>
    <w:rsid w:val="5B487F38"/>
    <w:rsid w:val="5B4900D3"/>
    <w:rsid w:val="5B4A1675"/>
    <w:rsid w:val="5B4A22D1"/>
    <w:rsid w:val="5B4A5B54"/>
    <w:rsid w:val="5B4B35D6"/>
    <w:rsid w:val="5B4B7D53"/>
    <w:rsid w:val="5B4C57D4"/>
    <w:rsid w:val="5B4D3256"/>
    <w:rsid w:val="5B4E0CD7"/>
    <w:rsid w:val="5B4E455A"/>
    <w:rsid w:val="5B4F1FDC"/>
    <w:rsid w:val="5B506443"/>
    <w:rsid w:val="5B507A5E"/>
    <w:rsid w:val="5B5154DF"/>
    <w:rsid w:val="5B51560B"/>
    <w:rsid w:val="5B522F61"/>
    <w:rsid w:val="5B5277F7"/>
    <w:rsid w:val="5B5309E2"/>
    <w:rsid w:val="5B532BE1"/>
    <w:rsid w:val="5B540662"/>
    <w:rsid w:val="5B546464"/>
    <w:rsid w:val="5B555138"/>
    <w:rsid w:val="5B5560E4"/>
    <w:rsid w:val="5B5773E8"/>
    <w:rsid w:val="5B584E6A"/>
    <w:rsid w:val="5B59036D"/>
    <w:rsid w:val="5B5945C5"/>
    <w:rsid w:val="5B5A5D02"/>
    <w:rsid w:val="5B5D6D73"/>
    <w:rsid w:val="5B612747"/>
    <w:rsid w:val="5B61290C"/>
    <w:rsid w:val="5B615779"/>
    <w:rsid w:val="5B6231FB"/>
    <w:rsid w:val="5B6234AA"/>
    <w:rsid w:val="5B644A23"/>
    <w:rsid w:val="5B6466FE"/>
    <w:rsid w:val="5B654180"/>
    <w:rsid w:val="5B692B86"/>
    <w:rsid w:val="5B6A23D1"/>
    <w:rsid w:val="5B6D158C"/>
    <w:rsid w:val="5B6E42E3"/>
    <w:rsid w:val="5B6E700E"/>
    <w:rsid w:val="5B6F0312"/>
    <w:rsid w:val="5B705D94"/>
    <w:rsid w:val="5B723495"/>
    <w:rsid w:val="5B726F99"/>
    <w:rsid w:val="5B736D19"/>
    <w:rsid w:val="5B7377AF"/>
    <w:rsid w:val="5B740512"/>
    <w:rsid w:val="5B74479A"/>
    <w:rsid w:val="5B751A8B"/>
    <w:rsid w:val="5B75221C"/>
    <w:rsid w:val="5B761E9C"/>
    <w:rsid w:val="5B762465"/>
    <w:rsid w:val="5B767C9D"/>
    <w:rsid w:val="5B77791D"/>
    <w:rsid w:val="5B7831A0"/>
    <w:rsid w:val="5B783BA2"/>
    <w:rsid w:val="5B78539F"/>
    <w:rsid w:val="5B792E20"/>
    <w:rsid w:val="5B7966A3"/>
    <w:rsid w:val="5B7C3DA5"/>
    <w:rsid w:val="5B7C6858"/>
    <w:rsid w:val="5B7C7628"/>
    <w:rsid w:val="5B7D50AA"/>
    <w:rsid w:val="5B7D7233"/>
    <w:rsid w:val="5B7E2B2B"/>
    <w:rsid w:val="5B7E72A8"/>
    <w:rsid w:val="5B7E7C0D"/>
    <w:rsid w:val="5B801186"/>
    <w:rsid w:val="5B8027AB"/>
    <w:rsid w:val="5B813AB0"/>
    <w:rsid w:val="5B821531"/>
    <w:rsid w:val="5B8228C3"/>
    <w:rsid w:val="5B833730"/>
    <w:rsid w:val="5B836FB3"/>
    <w:rsid w:val="5B8449DB"/>
    <w:rsid w:val="5B844A35"/>
    <w:rsid w:val="5B8524B6"/>
    <w:rsid w:val="5B855579"/>
    <w:rsid w:val="5B856361"/>
    <w:rsid w:val="5B8646B4"/>
    <w:rsid w:val="5B866118"/>
    <w:rsid w:val="5B88343B"/>
    <w:rsid w:val="5B887BB7"/>
    <w:rsid w:val="5B8904E1"/>
    <w:rsid w:val="5B890EBC"/>
    <w:rsid w:val="5B8930BB"/>
    <w:rsid w:val="5B8B43BF"/>
    <w:rsid w:val="5B8C1E41"/>
    <w:rsid w:val="5B8C60FC"/>
    <w:rsid w:val="5B8C62B2"/>
    <w:rsid w:val="5B8F4FC4"/>
    <w:rsid w:val="5B902A45"/>
    <w:rsid w:val="5B904E39"/>
    <w:rsid w:val="5B9104C7"/>
    <w:rsid w:val="5B913D4A"/>
    <w:rsid w:val="5B925F49"/>
    <w:rsid w:val="5B9261ED"/>
    <w:rsid w:val="5B93359E"/>
    <w:rsid w:val="5B9339CA"/>
    <w:rsid w:val="5B93724D"/>
    <w:rsid w:val="5B9404C9"/>
    <w:rsid w:val="5B94144C"/>
    <w:rsid w:val="5B944CCF"/>
    <w:rsid w:val="5B956ECD"/>
    <w:rsid w:val="5B9601D2"/>
    <w:rsid w:val="5B961A42"/>
    <w:rsid w:val="5B96494F"/>
    <w:rsid w:val="5B975C54"/>
    <w:rsid w:val="5B98279E"/>
    <w:rsid w:val="5B982FBB"/>
    <w:rsid w:val="5B98317F"/>
    <w:rsid w:val="5B9836D5"/>
    <w:rsid w:val="5B987E52"/>
    <w:rsid w:val="5B9958D3"/>
    <w:rsid w:val="5B9A3355"/>
    <w:rsid w:val="5B9A6BD8"/>
    <w:rsid w:val="5B9B0DD6"/>
    <w:rsid w:val="5B9B465A"/>
    <w:rsid w:val="5B9C6858"/>
    <w:rsid w:val="5B9D11E8"/>
    <w:rsid w:val="5B9D664B"/>
    <w:rsid w:val="5B9D6810"/>
    <w:rsid w:val="5B9D7B5D"/>
    <w:rsid w:val="5B9E55DE"/>
    <w:rsid w:val="5B9E71EA"/>
    <w:rsid w:val="5B9F0927"/>
    <w:rsid w:val="5B9F3060"/>
    <w:rsid w:val="5BA12CE0"/>
    <w:rsid w:val="5BA23FE5"/>
    <w:rsid w:val="5BA33C64"/>
    <w:rsid w:val="5BA43DF3"/>
    <w:rsid w:val="5BA54F69"/>
    <w:rsid w:val="5BA629EB"/>
    <w:rsid w:val="5BA64BE9"/>
    <w:rsid w:val="5BA64DC5"/>
    <w:rsid w:val="5BA6549C"/>
    <w:rsid w:val="5BA7046C"/>
    <w:rsid w:val="5BA800EC"/>
    <w:rsid w:val="5BA85EEE"/>
    <w:rsid w:val="5BA913F1"/>
    <w:rsid w:val="5BA9396F"/>
    <w:rsid w:val="5BAA0022"/>
    <w:rsid w:val="5BAA6E73"/>
    <w:rsid w:val="5BAB0BC1"/>
    <w:rsid w:val="5BAB48F4"/>
    <w:rsid w:val="5BAC159B"/>
    <w:rsid w:val="5BAC73B5"/>
    <w:rsid w:val="5BAD4574"/>
    <w:rsid w:val="5BAD7DF7"/>
    <w:rsid w:val="5BAE1FF5"/>
    <w:rsid w:val="5BAF32FA"/>
    <w:rsid w:val="5BAF7A77"/>
    <w:rsid w:val="5BB12F7A"/>
    <w:rsid w:val="5BB157CA"/>
    <w:rsid w:val="5BB2427F"/>
    <w:rsid w:val="5BB3647D"/>
    <w:rsid w:val="5BB36D43"/>
    <w:rsid w:val="5BB36F08"/>
    <w:rsid w:val="5BB47782"/>
    <w:rsid w:val="5BB55204"/>
    <w:rsid w:val="5BB60E5B"/>
    <w:rsid w:val="5BB62C85"/>
    <w:rsid w:val="5BB65F6A"/>
    <w:rsid w:val="5BB70707"/>
    <w:rsid w:val="5BB90387"/>
    <w:rsid w:val="5BB95E08"/>
    <w:rsid w:val="5BBA388A"/>
    <w:rsid w:val="5BBA3B11"/>
    <w:rsid w:val="5BBB44EB"/>
    <w:rsid w:val="5BBB710D"/>
    <w:rsid w:val="5BBC1352"/>
    <w:rsid w:val="5BBC4B8E"/>
    <w:rsid w:val="5BBD2610"/>
    <w:rsid w:val="5BC0071A"/>
    <w:rsid w:val="5BC11016"/>
    <w:rsid w:val="5BC16A98"/>
    <w:rsid w:val="5BC24519"/>
    <w:rsid w:val="5BC329F6"/>
    <w:rsid w:val="5BC433D0"/>
    <w:rsid w:val="5BC5549E"/>
    <w:rsid w:val="5BC62F1F"/>
    <w:rsid w:val="5BC85EC2"/>
    <w:rsid w:val="5BC86087"/>
    <w:rsid w:val="5BC86423"/>
    <w:rsid w:val="5BC93EA4"/>
    <w:rsid w:val="5BCB73A7"/>
    <w:rsid w:val="5BCC1553"/>
    <w:rsid w:val="5BCC4E29"/>
    <w:rsid w:val="5BCF366A"/>
    <w:rsid w:val="5BCF5DAD"/>
    <w:rsid w:val="5BD04209"/>
    <w:rsid w:val="5BD14DA8"/>
    <w:rsid w:val="5BD26D32"/>
    <w:rsid w:val="5BD424E2"/>
    <w:rsid w:val="5BD57CB7"/>
    <w:rsid w:val="5BD65738"/>
    <w:rsid w:val="5BD731BA"/>
    <w:rsid w:val="5BD7787B"/>
    <w:rsid w:val="5BD80C3B"/>
    <w:rsid w:val="5BD80D74"/>
    <w:rsid w:val="5BD82550"/>
    <w:rsid w:val="5BD844BF"/>
    <w:rsid w:val="5BD930EE"/>
    <w:rsid w:val="5BD9413E"/>
    <w:rsid w:val="5BD966BD"/>
    <w:rsid w:val="5BDA1BC0"/>
    <w:rsid w:val="5BDA3AC8"/>
    <w:rsid w:val="5BDA3C8D"/>
    <w:rsid w:val="5BDA5C69"/>
    <w:rsid w:val="5BDB5443"/>
    <w:rsid w:val="5BDB7642"/>
    <w:rsid w:val="5BDC2EC5"/>
    <w:rsid w:val="5BDC5206"/>
    <w:rsid w:val="5BDD1CCA"/>
    <w:rsid w:val="5BDD2B45"/>
    <w:rsid w:val="5BDD5BE0"/>
    <w:rsid w:val="5BDD5DA4"/>
    <w:rsid w:val="5BDE05C6"/>
    <w:rsid w:val="5BDE63C8"/>
    <w:rsid w:val="5BDF5D95"/>
    <w:rsid w:val="5BE15701"/>
    <w:rsid w:val="5BE15C22"/>
    <w:rsid w:val="5BE16142"/>
    <w:rsid w:val="5BE1734D"/>
    <w:rsid w:val="5BE21435"/>
    <w:rsid w:val="5BE26FCC"/>
    <w:rsid w:val="5BE3004D"/>
    <w:rsid w:val="5BE302D1"/>
    <w:rsid w:val="5BE3427E"/>
    <w:rsid w:val="5BE424D0"/>
    <w:rsid w:val="5BE4336C"/>
    <w:rsid w:val="5BE57F51"/>
    <w:rsid w:val="5BE61256"/>
    <w:rsid w:val="5BE64901"/>
    <w:rsid w:val="5BE659D3"/>
    <w:rsid w:val="5BE67C8A"/>
    <w:rsid w:val="5BE722FE"/>
    <w:rsid w:val="5BE73454"/>
    <w:rsid w:val="5BE7549F"/>
    <w:rsid w:val="5BE75664"/>
    <w:rsid w:val="5BE77AA9"/>
    <w:rsid w:val="5BE80ED6"/>
    <w:rsid w:val="5BE84759"/>
    <w:rsid w:val="5BE921DB"/>
    <w:rsid w:val="5BEC0CF4"/>
    <w:rsid w:val="5BEC315F"/>
    <w:rsid w:val="5BEC78DC"/>
    <w:rsid w:val="5BED16CF"/>
    <w:rsid w:val="5BED535D"/>
    <w:rsid w:val="5BEE226D"/>
    <w:rsid w:val="5BEE2DDF"/>
    <w:rsid w:val="5BEE6662"/>
    <w:rsid w:val="5BEF03FF"/>
    <w:rsid w:val="5BEF0861"/>
    <w:rsid w:val="5BEF2C47"/>
    <w:rsid w:val="5BF037E6"/>
    <w:rsid w:val="5BF079BD"/>
    <w:rsid w:val="5BF13D64"/>
    <w:rsid w:val="5BF141C0"/>
    <w:rsid w:val="5BF175E7"/>
    <w:rsid w:val="5BF25068"/>
    <w:rsid w:val="5BF27267"/>
    <w:rsid w:val="5BF32AEA"/>
    <w:rsid w:val="5BF4056C"/>
    <w:rsid w:val="5BF4276A"/>
    <w:rsid w:val="5BF501EB"/>
    <w:rsid w:val="5BF55FED"/>
    <w:rsid w:val="5BF603EF"/>
    <w:rsid w:val="5BF605B4"/>
    <w:rsid w:val="5BF65C6D"/>
    <w:rsid w:val="5BF714F0"/>
    <w:rsid w:val="5BF92475"/>
    <w:rsid w:val="5BFA4673"/>
    <w:rsid w:val="5BFA7EF6"/>
    <w:rsid w:val="5BFB20F5"/>
    <w:rsid w:val="5BFB3A80"/>
    <w:rsid w:val="5BFC7B76"/>
    <w:rsid w:val="5BFD0E7B"/>
    <w:rsid w:val="5BFD32B2"/>
    <w:rsid w:val="5BFD55F8"/>
    <w:rsid w:val="5BFE2BDC"/>
    <w:rsid w:val="5BFE3079"/>
    <w:rsid w:val="5BFE68FD"/>
    <w:rsid w:val="5BFE7528"/>
    <w:rsid w:val="5BFF0AFB"/>
    <w:rsid w:val="5C013FFE"/>
    <w:rsid w:val="5C021A80"/>
    <w:rsid w:val="5C025303"/>
    <w:rsid w:val="5C032D84"/>
    <w:rsid w:val="5C037501"/>
    <w:rsid w:val="5C042965"/>
    <w:rsid w:val="5C052A04"/>
    <w:rsid w:val="5C056287"/>
    <w:rsid w:val="5C060486"/>
    <w:rsid w:val="5C07178B"/>
    <w:rsid w:val="5C075F07"/>
    <w:rsid w:val="5C082940"/>
    <w:rsid w:val="5C083989"/>
    <w:rsid w:val="5C085457"/>
    <w:rsid w:val="5C08720C"/>
    <w:rsid w:val="5C09140A"/>
    <w:rsid w:val="5C094C8E"/>
    <w:rsid w:val="5C0A270F"/>
    <w:rsid w:val="5C0A490D"/>
    <w:rsid w:val="5C0A6E8C"/>
    <w:rsid w:val="5C0C5C12"/>
    <w:rsid w:val="5C0C7E11"/>
    <w:rsid w:val="5C0D1686"/>
    <w:rsid w:val="5C0D4B2D"/>
    <w:rsid w:val="5C0E2FD3"/>
    <w:rsid w:val="5C0E3314"/>
    <w:rsid w:val="5C0E3D80"/>
    <w:rsid w:val="5C0F0D95"/>
    <w:rsid w:val="5C0F2BFF"/>
    <w:rsid w:val="5C0F2DC3"/>
    <w:rsid w:val="5C106817"/>
    <w:rsid w:val="5C11209A"/>
    <w:rsid w:val="5C11433C"/>
    <w:rsid w:val="5C121D1A"/>
    <w:rsid w:val="5C12559D"/>
    <w:rsid w:val="5C13301F"/>
    <w:rsid w:val="5C1358B5"/>
    <w:rsid w:val="5C13779B"/>
    <w:rsid w:val="5C14628F"/>
    <w:rsid w:val="5C152C9F"/>
    <w:rsid w:val="5C156522"/>
    <w:rsid w:val="5C1679CD"/>
    <w:rsid w:val="5C171A25"/>
    <w:rsid w:val="5C1761A2"/>
    <w:rsid w:val="5C18110A"/>
    <w:rsid w:val="5C1874A6"/>
    <w:rsid w:val="5C1916A5"/>
    <w:rsid w:val="5C194F28"/>
    <w:rsid w:val="5C1B6DE9"/>
    <w:rsid w:val="5C1C3A37"/>
    <w:rsid w:val="5C1C45D6"/>
    <w:rsid w:val="5C1C479A"/>
    <w:rsid w:val="5C1C5EAD"/>
    <w:rsid w:val="5C1C6A7E"/>
    <w:rsid w:val="5C1D00AB"/>
    <w:rsid w:val="5C1D392E"/>
    <w:rsid w:val="5C1D5445"/>
    <w:rsid w:val="5C1F35AE"/>
    <w:rsid w:val="5C1F6E31"/>
    <w:rsid w:val="5C201030"/>
    <w:rsid w:val="5C2048B3"/>
    <w:rsid w:val="5C212334"/>
    <w:rsid w:val="5C216AB1"/>
    <w:rsid w:val="5C224533"/>
    <w:rsid w:val="5C227DB6"/>
    <w:rsid w:val="5C2313A4"/>
    <w:rsid w:val="5C235838"/>
    <w:rsid w:val="5C241F42"/>
    <w:rsid w:val="5C2432B9"/>
    <w:rsid w:val="5C250D3B"/>
    <w:rsid w:val="5C2632F7"/>
    <w:rsid w:val="5C2667BC"/>
    <w:rsid w:val="5C27405A"/>
    <w:rsid w:val="5C282EE9"/>
    <w:rsid w:val="5C291CD9"/>
    <w:rsid w:val="5C291E52"/>
    <w:rsid w:val="5C292008"/>
    <w:rsid w:val="5C297741"/>
    <w:rsid w:val="5C2A1411"/>
    <w:rsid w:val="5C2A1931"/>
    <w:rsid w:val="5C2A51C2"/>
    <w:rsid w:val="5C2B02F9"/>
    <w:rsid w:val="5C2D3BC9"/>
    <w:rsid w:val="5C2E164A"/>
    <w:rsid w:val="5C302BB6"/>
    <w:rsid w:val="5C304B4D"/>
    <w:rsid w:val="5C3125CF"/>
    <w:rsid w:val="5C320050"/>
    <w:rsid w:val="5C343553"/>
    <w:rsid w:val="5C34586C"/>
    <w:rsid w:val="5C350FD5"/>
    <w:rsid w:val="5C366A56"/>
    <w:rsid w:val="5C37035E"/>
    <w:rsid w:val="5C370523"/>
    <w:rsid w:val="5C3744D8"/>
    <w:rsid w:val="5C381F5A"/>
    <w:rsid w:val="5C391A9C"/>
    <w:rsid w:val="5C392AD6"/>
    <w:rsid w:val="5C3931AC"/>
    <w:rsid w:val="5C3979DB"/>
    <w:rsid w:val="5C3A276B"/>
    <w:rsid w:val="5C3A545D"/>
    <w:rsid w:val="5C3B6762"/>
    <w:rsid w:val="5C3C025E"/>
    <w:rsid w:val="5C3C0960"/>
    <w:rsid w:val="5C3C41E3"/>
    <w:rsid w:val="5C3D007D"/>
    <w:rsid w:val="5C3D1C65"/>
    <w:rsid w:val="5C3D4752"/>
    <w:rsid w:val="5C3D63E1"/>
    <w:rsid w:val="5C3E76E6"/>
    <w:rsid w:val="5C3F08AF"/>
    <w:rsid w:val="5C3F18E4"/>
    <w:rsid w:val="5C402BE9"/>
    <w:rsid w:val="5C407366"/>
    <w:rsid w:val="5C41066B"/>
    <w:rsid w:val="5C422869"/>
    <w:rsid w:val="5C4260EC"/>
    <w:rsid w:val="5C427DE2"/>
    <w:rsid w:val="5C4307BC"/>
    <w:rsid w:val="5C430981"/>
    <w:rsid w:val="5C433B6E"/>
    <w:rsid w:val="5C4415EF"/>
    <w:rsid w:val="5C4437EE"/>
    <w:rsid w:val="5C45126F"/>
    <w:rsid w:val="5C451D35"/>
    <w:rsid w:val="5C464AF3"/>
    <w:rsid w:val="5C466CF1"/>
    <w:rsid w:val="5C472574"/>
    <w:rsid w:val="5C476215"/>
    <w:rsid w:val="5C4821F4"/>
    <w:rsid w:val="5C484BB0"/>
    <w:rsid w:val="5C484F48"/>
    <w:rsid w:val="5C487FF6"/>
    <w:rsid w:val="5C495A77"/>
    <w:rsid w:val="5C4A0F7A"/>
    <w:rsid w:val="5C4A6129"/>
    <w:rsid w:val="5C4B6CC8"/>
    <w:rsid w:val="5C4C0BFA"/>
    <w:rsid w:val="5C4C447D"/>
    <w:rsid w:val="5C4D667C"/>
    <w:rsid w:val="5C4E40FD"/>
    <w:rsid w:val="5C4E41DE"/>
    <w:rsid w:val="5C4E7981"/>
    <w:rsid w:val="5C4F1B7F"/>
    <w:rsid w:val="5C502358"/>
    <w:rsid w:val="5C502E84"/>
    <w:rsid w:val="5C507600"/>
    <w:rsid w:val="5C512D32"/>
    <w:rsid w:val="5C526387"/>
    <w:rsid w:val="5C530585"/>
    <w:rsid w:val="5C533E08"/>
    <w:rsid w:val="5C534E4A"/>
    <w:rsid w:val="5C546007"/>
    <w:rsid w:val="5C550BA8"/>
    <w:rsid w:val="5C553A88"/>
    <w:rsid w:val="5C5563C3"/>
    <w:rsid w:val="5C556587"/>
    <w:rsid w:val="5C56150A"/>
    <w:rsid w:val="5C564D8D"/>
    <w:rsid w:val="5C567DFB"/>
    <w:rsid w:val="5C57280E"/>
    <w:rsid w:val="5C584A0D"/>
    <w:rsid w:val="5C591079"/>
    <w:rsid w:val="5C5A34F3"/>
    <w:rsid w:val="5C5A3793"/>
    <w:rsid w:val="5C5B1215"/>
    <w:rsid w:val="5C5B3413"/>
    <w:rsid w:val="5C5C0E94"/>
    <w:rsid w:val="5C5D4718"/>
    <w:rsid w:val="5C5E2199"/>
    <w:rsid w:val="5C5F1E19"/>
    <w:rsid w:val="5C5F7C1B"/>
    <w:rsid w:val="5C606821"/>
    <w:rsid w:val="5C60789B"/>
    <w:rsid w:val="5C61531C"/>
    <w:rsid w:val="5C622D9E"/>
    <w:rsid w:val="5C6340A3"/>
    <w:rsid w:val="5C641B24"/>
    <w:rsid w:val="5C642423"/>
    <w:rsid w:val="5C651D4C"/>
    <w:rsid w:val="5C653C88"/>
    <w:rsid w:val="5C653D22"/>
    <w:rsid w:val="5C6575A6"/>
    <w:rsid w:val="5C6617A4"/>
    <w:rsid w:val="5C66288B"/>
    <w:rsid w:val="5C6735EF"/>
    <w:rsid w:val="5C677226"/>
    <w:rsid w:val="5C6949A3"/>
    <w:rsid w:val="5C695FAC"/>
    <w:rsid w:val="5C6B14AF"/>
    <w:rsid w:val="5C6B5C2C"/>
    <w:rsid w:val="5C6D112F"/>
    <w:rsid w:val="5C6D7659"/>
    <w:rsid w:val="5C6E2434"/>
    <w:rsid w:val="5C6E6BB0"/>
    <w:rsid w:val="5C6F4632"/>
    <w:rsid w:val="5C7020B3"/>
    <w:rsid w:val="5C70230F"/>
    <w:rsid w:val="5C712EAE"/>
    <w:rsid w:val="5C7133B8"/>
    <w:rsid w:val="5C720E3A"/>
    <w:rsid w:val="5C72548C"/>
    <w:rsid w:val="5C7255B7"/>
    <w:rsid w:val="5C730ABA"/>
    <w:rsid w:val="5C733038"/>
    <w:rsid w:val="5C7368BB"/>
    <w:rsid w:val="5C74325C"/>
    <w:rsid w:val="5C74377D"/>
    <w:rsid w:val="5C74653B"/>
    <w:rsid w:val="5C751DBE"/>
    <w:rsid w:val="5C761A3E"/>
    <w:rsid w:val="5C76653E"/>
    <w:rsid w:val="5C767840"/>
    <w:rsid w:val="5C790492"/>
    <w:rsid w:val="5C7907C5"/>
    <w:rsid w:val="5C7929C3"/>
    <w:rsid w:val="5C79652E"/>
    <w:rsid w:val="5C7A0445"/>
    <w:rsid w:val="5C7A3CC8"/>
    <w:rsid w:val="5C7A6246"/>
    <w:rsid w:val="5C7B1749"/>
    <w:rsid w:val="5C7C3148"/>
    <w:rsid w:val="5C7C71CB"/>
    <w:rsid w:val="5C7D13C9"/>
    <w:rsid w:val="5C7D3CE6"/>
    <w:rsid w:val="5C7D4C4C"/>
    <w:rsid w:val="5C7E26CE"/>
    <w:rsid w:val="5C7E46C1"/>
    <w:rsid w:val="5C7F0150"/>
    <w:rsid w:val="5C7F48CC"/>
    <w:rsid w:val="5C80234E"/>
    <w:rsid w:val="5C81491A"/>
    <w:rsid w:val="5C8210D4"/>
    <w:rsid w:val="5C835883"/>
    <w:rsid w:val="5C8408F0"/>
    <w:rsid w:val="5C840D54"/>
    <w:rsid w:val="5C8445D7"/>
    <w:rsid w:val="5C85148E"/>
    <w:rsid w:val="5C852059"/>
    <w:rsid w:val="5C8567D6"/>
    <w:rsid w:val="5C86202D"/>
    <w:rsid w:val="5C864257"/>
    <w:rsid w:val="5C867ADA"/>
    <w:rsid w:val="5C8745A3"/>
    <w:rsid w:val="5C8833E1"/>
    <w:rsid w:val="5C8835A6"/>
    <w:rsid w:val="5C88775A"/>
    <w:rsid w:val="5C890A5F"/>
    <w:rsid w:val="5C894B1F"/>
    <w:rsid w:val="5C8A495A"/>
    <w:rsid w:val="5C8A54F9"/>
    <w:rsid w:val="5C8A64E1"/>
    <w:rsid w:val="5C8B3F62"/>
    <w:rsid w:val="5C8C19E4"/>
    <w:rsid w:val="5C8E4EE7"/>
    <w:rsid w:val="5C8F0D4E"/>
    <w:rsid w:val="5C9003EA"/>
    <w:rsid w:val="5C915E6B"/>
    <w:rsid w:val="5C917EAB"/>
    <w:rsid w:val="5C933840"/>
    <w:rsid w:val="5C9443DE"/>
    <w:rsid w:val="5C944872"/>
    <w:rsid w:val="5C954DB9"/>
    <w:rsid w:val="5C954F7D"/>
    <w:rsid w:val="5C967D75"/>
    <w:rsid w:val="5C9757F6"/>
    <w:rsid w:val="5C976ED0"/>
    <w:rsid w:val="5C977095"/>
    <w:rsid w:val="5C99060D"/>
    <w:rsid w:val="5C9A11AC"/>
    <w:rsid w:val="5C9A677B"/>
    <w:rsid w:val="5C9B41FC"/>
    <w:rsid w:val="5C9C1C7E"/>
    <w:rsid w:val="5C9D7700"/>
    <w:rsid w:val="5C9E3C9E"/>
    <w:rsid w:val="5C9E5181"/>
    <w:rsid w:val="5C9F4678"/>
    <w:rsid w:val="5CA05217"/>
    <w:rsid w:val="5CA16106"/>
    <w:rsid w:val="5CA23B87"/>
    <w:rsid w:val="5CA26790"/>
    <w:rsid w:val="5CA26954"/>
    <w:rsid w:val="5CA27C60"/>
    <w:rsid w:val="5CA34E8C"/>
    <w:rsid w:val="5CA4290E"/>
    <w:rsid w:val="5CA4708A"/>
    <w:rsid w:val="5CA5038F"/>
    <w:rsid w:val="5CA5069D"/>
    <w:rsid w:val="5CA54B0C"/>
    <w:rsid w:val="5CA65E11"/>
    <w:rsid w:val="5CA66F38"/>
    <w:rsid w:val="5CA7000F"/>
    <w:rsid w:val="5CA73892"/>
    <w:rsid w:val="5CA81314"/>
    <w:rsid w:val="5CA86DE2"/>
    <w:rsid w:val="5CA93512"/>
    <w:rsid w:val="5CA93F38"/>
    <w:rsid w:val="5CA96C01"/>
    <w:rsid w:val="5CA96D95"/>
    <w:rsid w:val="5CAB4497"/>
    <w:rsid w:val="5CAC1F18"/>
    <w:rsid w:val="5CAC7D1A"/>
    <w:rsid w:val="5CAD1D45"/>
    <w:rsid w:val="5CAD5C12"/>
    <w:rsid w:val="5CAD799A"/>
    <w:rsid w:val="5CAE5164"/>
    <w:rsid w:val="5CAE541B"/>
    <w:rsid w:val="5CAE7B57"/>
    <w:rsid w:val="5CAF0C9F"/>
    <w:rsid w:val="5CAF2E9D"/>
    <w:rsid w:val="5CB00B41"/>
    <w:rsid w:val="5CB06720"/>
    <w:rsid w:val="5CB116E0"/>
    <w:rsid w:val="5CB118A4"/>
    <w:rsid w:val="5CB141A2"/>
    <w:rsid w:val="5CB163A0"/>
    <w:rsid w:val="5CB21C23"/>
    <w:rsid w:val="5CB318A3"/>
    <w:rsid w:val="5CB35126"/>
    <w:rsid w:val="5CB376A5"/>
    <w:rsid w:val="5CB42BA8"/>
    <w:rsid w:val="5CB54DA6"/>
    <w:rsid w:val="5CB62828"/>
    <w:rsid w:val="5CB65AD3"/>
    <w:rsid w:val="5CB702A9"/>
    <w:rsid w:val="5CB73B2D"/>
    <w:rsid w:val="5CB762E9"/>
    <w:rsid w:val="5CB764AD"/>
    <w:rsid w:val="5CB937AD"/>
    <w:rsid w:val="5CB97030"/>
    <w:rsid w:val="5CBA4AB1"/>
    <w:rsid w:val="5CBB2533"/>
    <w:rsid w:val="5CBC1B3E"/>
    <w:rsid w:val="5CBC7FB4"/>
    <w:rsid w:val="5CBD5A36"/>
    <w:rsid w:val="5CBE7C34"/>
    <w:rsid w:val="5CBF56B6"/>
    <w:rsid w:val="5CC03137"/>
    <w:rsid w:val="5CC069BB"/>
    <w:rsid w:val="5CC21EBE"/>
    <w:rsid w:val="5CC340BC"/>
    <w:rsid w:val="5CC3793F"/>
    <w:rsid w:val="5CC453C1"/>
    <w:rsid w:val="5CC475BF"/>
    <w:rsid w:val="5CC55041"/>
    <w:rsid w:val="5CC613FD"/>
    <w:rsid w:val="5CC71DD7"/>
    <w:rsid w:val="5CC71F9C"/>
    <w:rsid w:val="5CC76345"/>
    <w:rsid w:val="5CC85FC5"/>
    <w:rsid w:val="5CC91849"/>
    <w:rsid w:val="5CC93A47"/>
    <w:rsid w:val="5CCA3EEF"/>
    <w:rsid w:val="5CCB218A"/>
    <w:rsid w:val="5CCB27CD"/>
    <w:rsid w:val="5CCC49CC"/>
    <w:rsid w:val="5CCD244D"/>
    <w:rsid w:val="5CCE3752"/>
    <w:rsid w:val="5CCE7ECF"/>
    <w:rsid w:val="5CCF5950"/>
    <w:rsid w:val="5CD033D2"/>
    <w:rsid w:val="5CD06C55"/>
    <w:rsid w:val="5CD146D7"/>
    <w:rsid w:val="5CD268D5"/>
    <w:rsid w:val="5CD41DD8"/>
    <w:rsid w:val="5CD4565B"/>
    <w:rsid w:val="5CD530DD"/>
    <w:rsid w:val="5CD57859"/>
    <w:rsid w:val="5CD64D27"/>
    <w:rsid w:val="5CD652DB"/>
    <w:rsid w:val="5CD75A8B"/>
    <w:rsid w:val="5CD807DE"/>
    <w:rsid w:val="5CD84061"/>
    <w:rsid w:val="5CD858CA"/>
    <w:rsid w:val="5CD91AE3"/>
    <w:rsid w:val="5CD94E88"/>
    <w:rsid w:val="5CD96260"/>
    <w:rsid w:val="5CDA34E4"/>
    <w:rsid w:val="5CDA7564"/>
    <w:rsid w:val="5CDB111B"/>
    <w:rsid w:val="5CDB1763"/>
    <w:rsid w:val="5CDC4C66"/>
    <w:rsid w:val="5CDD04E9"/>
    <w:rsid w:val="5CDD26E7"/>
    <w:rsid w:val="5CDF39EC"/>
    <w:rsid w:val="5CDF3C0D"/>
    <w:rsid w:val="5CE045E7"/>
    <w:rsid w:val="5CE110EE"/>
    <w:rsid w:val="5CE1534A"/>
    <w:rsid w:val="5CE24971"/>
    <w:rsid w:val="5CE26B6F"/>
    <w:rsid w:val="5CE345F1"/>
    <w:rsid w:val="5CE37291"/>
    <w:rsid w:val="5CE51F99"/>
    <w:rsid w:val="5CE53377"/>
    <w:rsid w:val="5CE57E3C"/>
    <w:rsid w:val="5CE65575"/>
    <w:rsid w:val="5CE81F53"/>
    <w:rsid w:val="5CE82AF2"/>
    <w:rsid w:val="5CE91D7D"/>
    <w:rsid w:val="5CE964FA"/>
    <w:rsid w:val="5CEA3F7C"/>
    <w:rsid w:val="5CEA406B"/>
    <w:rsid w:val="5CEB5280"/>
    <w:rsid w:val="5CEC2D02"/>
    <w:rsid w:val="5CED4F00"/>
    <w:rsid w:val="5CEE6205"/>
    <w:rsid w:val="5CEF3C87"/>
    <w:rsid w:val="5CF01708"/>
    <w:rsid w:val="5CF10C74"/>
    <w:rsid w:val="5CF21813"/>
    <w:rsid w:val="5CF4010E"/>
    <w:rsid w:val="5CF53766"/>
    <w:rsid w:val="5CF55B90"/>
    <w:rsid w:val="5CF57128"/>
    <w:rsid w:val="5CF63611"/>
    <w:rsid w:val="5CF71033"/>
    <w:rsid w:val="5CF71093"/>
    <w:rsid w:val="5CF77F7E"/>
    <w:rsid w:val="5CF8641C"/>
    <w:rsid w:val="5CF86B15"/>
    <w:rsid w:val="5CF94596"/>
    <w:rsid w:val="5CFA2018"/>
    <w:rsid w:val="5CFA7995"/>
    <w:rsid w:val="5CFA7B59"/>
    <w:rsid w:val="5CFB06F8"/>
    <w:rsid w:val="5CFB7A99"/>
    <w:rsid w:val="5CFC10D2"/>
    <w:rsid w:val="5CFC2F9C"/>
    <w:rsid w:val="5CFD3482"/>
    <w:rsid w:val="5CFE08AF"/>
    <w:rsid w:val="5CFE649F"/>
    <w:rsid w:val="5D0019A2"/>
    <w:rsid w:val="5D0403A9"/>
    <w:rsid w:val="5D043BDE"/>
    <w:rsid w:val="5D05319C"/>
    <w:rsid w:val="5D053352"/>
    <w:rsid w:val="5D055E2A"/>
    <w:rsid w:val="5D057FB8"/>
    <w:rsid w:val="5D0607CD"/>
    <w:rsid w:val="5D074BB1"/>
    <w:rsid w:val="5D081F0B"/>
    <w:rsid w:val="5D082632"/>
    <w:rsid w:val="5D092AA9"/>
    <w:rsid w:val="5D094830"/>
    <w:rsid w:val="5D0A22B2"/>
    <w:rsid w:val="5D0A3648"/>
    <w:rsid w:val="5D0C4BC1"/>
    <w:rsid w:val="5D0C57B5"/>
    <w:rsid w:val="5D0D3237"/>
    <w:rsid w:val="5D0E0CB8"/>
    <w:rsid w:val="5D0E453B"/>
    <w:rsid w:val="5D0F1FBD"/>
    <w:rsid w:val="5D0F4E8E"/>
    <w:rsid w:val="5D0F673A"/>
    <w:rsid w:val="5D1041BB"/>
    <w:rsid w:val="5D107877"/>
    <w:rsid w:val="5D107A3F"/>
    <w:rsid w:val="5D11008D"/>
    <w:rsid w:val="5D111C3D"/>
    <w:rsid w:val="5D1154C0"/>
    <w:rsid w:val="5D1217CA"/>
    <w:rsid w:val="5D122F42"/>
    <w:rsid w:val="5D12464E"/>
    <w:rsid w:val="5D1321A4"/>
    <w:rsid w:val="5D135140"/>
    <w:rsid w:val="5D136726"/>
    <w:rsid w:val="5D142BC1"/>
    <w:rsid w:val="5D1452A3"/>
    <w:rsid w:val="5D153EC6"/>
    <w:rsid w:val="5D1560C5"/>
    <w:rsid w:val="5D161948"/>
    <w:rsid w:val="5D1642BC"/>
    <w:rsid w:val="5D1715C8"/>
    <w:rsid w:val="5D172210"/>
    <w:rsid w:val="5D184E4B"/>
    <w:rsid w:val="5D1859F9"/>
    <w:rsid w:val="5D187049"/>
    <w:rsid w:val="5D1928CC"/>
    <w:rsid w:val="5D1A254C"/>
    <w:rsid w:val="5D1A6F72"/>
    <w:rsid w:val="5D1B5DD0"/>
    <w:rsid w:val="5D1B794C"/>
    <w:rsid w:val="5D1B7FCE"/>
    <w:rsid w:val="5D1D34D1"/>
    <w:rsid w:val="5D1D6D54"/>
    <w:rsid w:val="5D1E0F52"/>
    <w:rsid w:val="5D1F2603"/>
    <w:rsid w:val="5D1F27C7"/>
    <w:rsid w:val="5D1F69D4"/>
    <w:rsid w:val="5D207CD9"/>
    <w:rsid w:val="5D21082D"/>
    <w:rsid w:val="5D210B98"/>
    <w:rsid w:val="5D211ED7"/>
    <w:rsid w:val="5D213B7C"/>
    <w:rsid w:val="5D2148DF"/>
    <w:rsid w:val="5D227959"/>
    <w:rsid w:val="5D230C5E"/>
    <w:rsid w:val="5D242E5C"/>
    <w:rsid w:val="5D2508DD"/>
    <w:rsid w:val="5D254161"/>
    <w:rsid w:val="5D26635F"/>
    <w:rsid w:val="5D273DE0"/>
    <w:rsid w:val="5D2814E8"/>
    <w:rsid w:val="5D292087"/>
    <w:rsid w:val="5D292B67"/>
    <w:rsid w:val="5D2A05E8"/>
    <w:rsid w:val="5D2B2C34"/>
    <w:rsid w:val="5D2B343B"/>
    <w:rsid w:val="5D2C0268"/>
    <w:rsid w:val="5D2C5CEA"/>
    <w:rsid w:val="5D2D156D"/>
    <w:rsid w:val="5D2D358B"/>
    <w:rsid w:val="5D2D376B"/>
    <w:rsid w:val="5D2D4B78"/>
    <w:rsid w:val="5D2E11ED"/>
    <w:rsid w:val="5D2E63F1"/>
    <w:rsid w:val="5D2F4A70"/>
    <w:rsid w:val="5D2F6C6E"/>
    <w:rsid w:val="5D3024F2"/>
    <w:rsid w:val="5D3046F0"/>
    <w:rsid w:val="5D304703"/>
    <w:rsid w:val="5D310209"/>
    <w:rsid w:val="5D311EF2"/>
    <w:rsid w:val="5D3214B0"/>
    <w:rsid w:val="5D333476"/>
    <w:rsid w:val="5D335675"/>
    <w:rsid w:val="5D342320"/>
    <w:rsid w:val="5D352EBF"/>
    <w:rsid w:val="5D3543FB"/>
    <w:rsid w:val="5D361E7D"/>
    <w:rsid w:val="5D3665F9"/>
    <w:rsid w:val="5D37407B"/>
    <w:rsid w:val="5D385380"/>
    <w:rsid w:val="5D39757E"/>
    <w:rsid w:val="5D3B2A81"/>
    <w:rsid w:val="5D3B6304"/>
    <w:rsid w:val="5D3C04A3"/>
    <w:rsid w:val="5D3C3D86"/>
    <w:rsid w:val="5D3D1807"/>
    <w:rsid w:val="5D3D5F84"/>
    <w:rsid w:val="5D3E1BE0"/>
    <w:rsid w:val="5D3E3A06"/>
    <w:rsid w:val="5D3E7289"/>
    <w:rsid w:val="5D3F1487"/>
    <w:rsid w:val="5D3F4BF0"/>
    <w:rsid w:val="5D3F4D0A"/>
    <w:rsid w:val="5D406F09"/>
    <w:rsid w:val="5D41020E"/>
    <w:rsid w:val="5D413B33"/>
    <w:rsid w:val="5D41498A"/>
    <w:rsid w:val="5D42240C"/>
    <w:rsid w:val="5D433711"/>
    <w:rsid w:val="5D437E8D"/>
    <w:rsid w:val="5D441192"/>
    <w:rsid w:val="5D443390"/>
    <w:rsid w:val="5D44590F"/>
    <w:rsid w:val="5D445C4B"/>
    <w:rsid w:val="5D450E12"/>
    <w:rsid w:val="5D456C14"/>
    <w:rsid w:val="5D464695"/>
    <w:rsid w:val="5D466894"/>
    <w:rsid w:val="5D474315"/>
    <w:rsid w:val="5D481D97"/>
    <w:rsid w:val="5D485594"/>
    <w:rsid w:val="5D487B98"/>
    <w:rsid w:val="5D497818"/>
    <w:rsid w:val="5D4A1E7A"/>
    <w:rsid w:val="5D4A2BDD"/>
    <w:rsid w:val="5D4A309B"/>
    <w:rsid w:val="5D4B0B1D"/>
    <w:rsid w:val="5D4B2D1B"/>
    <w:rsid w:val="5D4C079D"/>
    <w:rsid w:val="5D4C3F91"/>
    <w:rsid w:val="5D4C4020"/>
    <w:rsid w:val="5D4D1AA2"/>
    <w:rsid w:val="5D4D621E"/>
    <w:rsid w:val="5D4E698B"/>
    <w:rsid w:val="5D4E7523"/>
    <w:rsid w:val="5D4F1722"/>
    <w:rsid w:val="5D4F4FA5"/>
    <w:rsid w:val="5D502A26"/>
    <w:rsid w:val="5D5104A8"/>
    <w:rsid w:val="5D514C25"/>
    <w:rsid w:val="5D5226A6"/>
    <w:rsid w:val="5D525F29"/>
    <w:rsid w:val="5D530128"/>
    <w:rsid w:val="5D545BA9"/>
    <w:rsid w:val="5D55249C"/>
    <w:rsid w:val="5D556EAE"/>
    <w:rsid w:val="5D563694"/>
    <w:rsid w:val="5D564930"/>
    <w:rsid w:val="5D5723B1"/>
    <w:rsid w:val="5D5743EF"/>
    <w:rsid w:val="5D5947CB"/>
    <w:rsid w:val="5D5A3336"/>
    <w:rsid w:val="5D5B20CB"/>
    <w:rsid w:val="5D5B70A6"/>
    <w:rsid w:val="5D5D42BA"/>
    <w:rsid w:val="5D5E1D3C"/>
    <w:rsid w:val="5D5F1B97"/>
    <w:rsid w:val="5D5F77BE"/>
    <w:rsid w:val="5D602736"/>
    <w:rsid w:val="5D60523F"/>
    <w:rsid w:val="5D612CC1"/>
    <w:rsid w:val="5D620742"/>
    <w:rsid w:val="5D6361C4"/>
    <w:rsid w:val="5D6416C7"/>
    <w:rsid w:val="5D643C45"/>
    <w:rsid w:val="5D6567A1"/>
    <w:rsid w:val="5D67264C"/>
    <w:rsid w:val="5D677EDE"/>
    <w:rsid w:val="5D691457"/>
    <w:rsid w:val="5D69549F"/>
    <w:rsid w:val="5D695B4F"/>
    <w:rsid w:val="5D6A35D0"/>
    <w:rsid w:val="5D6A401C"/>
    <w:rsid w:val="5D6B2B94"/>
    <w:rsid w:val="5D6B40DD"/>
    <w:rsid w:val="5D6C6AD3"/>
    <w:rsid w:val="5D6D3F49"/>
    <w:rsid w:val="5D6E585A"/>
    <w:rsid w:val="5D6F32DB"/>
    <w:rsid w:val="5D6F5686"/>
    <w:rsid w:val="5D6F7A58"/>
    <w:rsid w:val="5D700D5D"/>
    <w:rsid w:val="5D7054D9"/>
    <w:rsid w:val="5D716BFF"/>
    <w:rsid w:val="5D716DC3"/>
    <w:rsid w:val="5D7209DD"/>
    <w:rsid w:val="5D724260"/>
    <w:rsid w:val="5D731CE1"/>
    <w:rsid w:val="5D7418B5"/>
    <w:rsid w:val="5D743EE0"/>
    <w:rsid w:val="5D757C05"/>
    <w:rsid w:val="5D7706E8"/>
    <w:rsid w:val="5D773808"/>
    <w:rsid w:val="5D777911"/>
    <w:rsid w:val="5D793BEB"/>
    <w:rsid w:val="5D7967F9"/>
    <w:rsid w:val="5D7A166C"/>
    <w:rsid w:val="5D7A5920"/>
    <w:rsid w:val="5D7A5AE4"/>
    <w:rsid w:val="5D7B64BE"/>
    <w:rsid w:val="5D7B70EE"/>
    <w:rsid w:val="5D7C12EC"/>
    <w:rsid w:val="5D7C2D4E"/>
    <w:rsid w:val="5D7C33B3"/>
    <w:rsid w:val="5D7C705D"/>
    <w:rsid w:val="5D7D25F1"/>
    <w:rsid w:val="5D7D6D6E"/>
    <w:rsid w:val="5D7D7A37"/>
    <w:rsid w:val="5D7E0072"/>
    <w:rsid w:val="5D7E2271"/>
    <w:rsid w:val="5D7F1174"/>
    <w:rsid w:val="5D7F1D13"/>
    <w:rsid w:val="5D7F5AF4"/>
    <w:rsid w:val="5D7F7CF2"/>
    <w:rsid w:val="5D801B4F"/>
    <w:rsid w:val="5D803576"/>
    <w:rsid w:val="5D805774"/>
    <w:rsid w:val="5D8059E4"/>
    <w:rsid w:val="5D810FF7"/>
    <w:rsid w:val="5D8131F5"/>
    <w:rsid w:val="5D815CBF"/>
    <w:rsid w:val="5D823E2B"/>
    <w:rsid w:val="5D826A79"/>
    <w:rsid w:val="5D8344FA"/>
    <w:rsid w:val="5D8451DF"/>
    <w:rsid w:val="5D851BFC"/>
    <w:rsid w:val="5D855441"/>
    <w:rsid w:val="5D85547F"/>
    <w:rsid w:val="5D862F00"/>
    <w:rsid w:val="5D870900"/>
    <w:rsid w:val="5D870982"/>
    <w:rsid w:val="5D8750FF"/>
    <w:rsid w:val="5D8774BB"/>
    <w:rsid w:val="5D882B80"/>
    <w:rsid w:val="5D886403"/>
    <w:rsid w:val="5D890602"/>
    <w:rsid w:val="5D893E85"/>
    <w:rsid w:val="5D8A1907"/>
    <w:rsid w:val="5D8A6083"/>
    <w:rsid w:val="5D8C1586"/>
    <w:rsid w:val="5D8D288B"/>
    <w:rsid w:val="5D8D3526"/>
    <w:rsid w:val="5D8E030D"/>
    <w:rsid w:val="5D8F250B"/>
    <w:rsid w:val="5D8F5D8E"/>
    <w:rsid w:val="5D903810"/>
    <w:rsid w:val="5D911291"/>
    <w:rsid w:val="5D915A0E"/>
    <w:rsid w:val="5D923490"/>
    <w:rsid w:val="5D926D13"/>
    <w:rsid w:val="5D934795"/>
    <w:rsid w:val="5D951E96"/>
    <w:rsid w:val="5D957C98"/>
    <w:rsid w:val="5D962247"/>
    <w:rsid w:val="5D962F27"/>
    <w:rsid w:val="5D967917"/>
    <w:rsid w:val="5D971FC5"/>
    <w:rsid w:val="5D972FAA"/>
    <w:rsid w:val="5D980C1C"/>
    <w:rsid w:val="5D982E1B"/>
    <w:rsid w:val="5D994523"/>
    <w:rsid w:val="5D99669E"/>
    <w:rsid w:val="5D9A4EFD"/>
    <w:rsid w:val="5D9C1821"/>
    <w:rsid w:val="5D9C7622"/>
    <w:rsid w:val="5D9D79EF"/>
    <w:rsid w:val="5D9E058D"/>
    <w:rsid w:val="5D9E05A7"/>
    <w:rsid w:val="5D9E4D24"/>
    <w:rsid w:val="5D9F4B8A"/>
    <w:rsid w:val="5D9F6029"/>
    <w:rsid w:val="5DA00227"/>
    <w:rsid w:val="5DA03AAA"/>
    <w:rsid w:val="5DA221A8"/>
    <w:rsid w:val="5DA2372A"/>
    <w:rsid w:val="5DA26FAD"/>
    <w:rsid w:val="5DA3771A"/>
    <w:rsid w:val="5DA424B0"/>
    <w:rsid w:val="5DA45399"/>
    <w:rsid w:val="5DA546AF"/>
    <w:rsid w:val="5DA5535B"/>
    <w:rsid w:val="5DA57F32"/>
    <w:rsid w:val="5DA65D35"/>
    <w:rsid w:val="5DA768D4"/>
    <w:rsid w:val="5DA77BB2"/>
    <w:rsid w:val="5DA85633"/>
    <w:rsid w:val="5DA930B5"/>
    <w:rsid w:val="5DAA13C6"/>
    <w:rsid w:val="5DAB2129"/>
    <w:rsid w:val="5DAB65B8"/>
    <w:rsid w:val="5DAC403A"/>
    <w:rsid w:val="5DAD1ABB"/>
    <w:rsid w:val="5DAD34DD"/>
    <w:rsid w:val="5DAD533E"/>
    <w:rsid w:val="5DAD753D"/>
    <w:rsid w:val="5DAE407C"/>
    <w:rsid w:val="5DAF4A56"/>
    <w:rsid w:val="5DB004C1"/>
    <w:rsid w:val="5DB062C3"/>
    <w:rsid w:val="5DB13D45"/>
    <w:rsid w:val="5DB15F43"/>
    <w:rsid w:val="5DB26D32"/>
    <w:rsid w:val="5DB31446"/>
    <w:rsid w:val="5DB35922"/>
    <w:rsid w:val="5DB37248"/>
    <w:rsid w:val="5DB402AB"/>
    <w:rsid w:val="5DB42C29"/>
    <w:rsid w:val="5DB46EC8"/>
    <w:rsid w:val="5DB623CB"/>
    <w:rsid w:val="5DB736CF"/>
    <w:rsid w:val="5DB74439"/>
    <w:rsid w:val="5DB77E4C"/>
    <w:rsid w:val="5DB82D9D"/>
    <w:rsid w:val="5DB8393B"/>
    <w:rsid w:val="5DB9334F"/>
    <w:rsid w:val="5DB96BD3"/>
    <w:rsid w:val="5DBA0DD1"/>
    <w:rsid w:val="5DBA4654"/>
    <w:rsid w:val="5DBA5079"/>
    <w:rsid w:val="5DBC642D"/>
    <w:rsid w:val="5DBC65F2"/>
    <w:rsid w:val="5DBD55D9"/>
    <w:rsid w:val="5DBE305A"/>
    <w:rsid w:val="5DBE7604"/>
    <w:rsid w:val="5DBE7B6A"/>
    <w:rsid w:val="5DBF0ADC"/>
    <w:rsid w:val="5DC21C7D"/>
    <w:rsid w:val="5DC307FA"/>
    <w:rsid w:val="5DC30D1A"/>
    <w:rsid w:val="5DC331FB"/>
    <w:rsid w:val="5DC529E5"/>
    <w:rsid w:val="5DC54774"/>
    <w:rsid w:val="5DC65EB1"/>
    <w:rsid w:val="5DC8396A"/>
    <w:rsid w:val="5DCB137D"/>
    <w:rsid w:val="5DCB1542"/>
    <w:rsid w:val="5DCD5873"/>
    <w:rsid w:val="5DCE3659"/>
    <w:rsid w:val="5DCF07F9"/>
    <w:rsid w:val="5DCF0D76"/>
    <w:rsid w:val="5DD03D84"/>
    <w:rsid w:val="5DD0497B"/>
    <w:rsid w:val="5DD12FD7"/>
    <w:rsid w:val="5DD13A18"/>
    <w:rsid w:val="5DD155AC"/>
    <w:rsid w:val="5DD21CFB"/>
    <w:rsid w:val="5DD22C6C"/>
    <w:rsid w:val="5DD451FE"/>
    <w:rsid w:val="5DD50A81"/>
    <w:rsid w:val="5DD52C7F"/>
    <w:rsid w:val="5DD56503"/>
    <w:rsid w:val="5DD63F84"/>
    <w:rsid w:val="5DD71A06"/>
    <w:rsid w:val="5DD7237A"/>
    <w:rsid w:val="5DDA298A"/>
    <w:rsid w:val="5DDB040C"/>
    <w:rsid w:val="5DDB4E6C"/>
    <w:rsid w:val="5DDC260A"/>
    <w:rsid w:val="5DDC5A0A"/>
    <w:rsid w:val="5DDD008C"/>
    <w:rsid w:val="5DDD390F"/>
    <w:rsid w:val="5DDD7D4F"/>
    <w:rsid w:val="5DDE6F83"/>
    <w:rsid w:val="5DDE730D"/>
    <w:rsid w:val="5DDE74C3"/>
    <w:rsid w:val="5DDF358F"/>
    <w:rsid w:val="5DDF5B1F"/>
    <w:rsid w:val="5DDF6E12"/>
    <w:rsid w:val="5DE0125F"/>
    <w:rsid w:val="5DE227D8"/>
    <w:rsid w:val="5DE27D97"/>
    <w:rsid w:val="5DE331B2"/>
    <w:rsid w:val="5DE35818"/>
    <w:rsid w:val="5DE43D51"/>
    <w:rsid w:val="5DE47A17"/>
    <w:rsid w:val="5DE50D1C"/>
    <w:rsid w:val="5DE6099B"/>
    <w:rsid w:val="5DE62F1A"/>
    <w:rsid w:val="5DE6679D"/>
    <w:rsid w:val="5DE7641D"/>
    <w:rsid w:val="5DE83E9E"/>
    <w:rsid w:val="5DE91920"/>
    <w:rsid w:val="5DE97722"/>
    <w:rsid w:val="5DEA51A3"/>
    <w:rsid w:val="5DEB4E23"/>
    <w:rsid w:val="5DEC06A6"/>
    <w:rsid w:val="5DEC28A5"/>
    <w:rsid w:val="5DED0326"/>
    <w:rsid w:val="5DED6128"/>
    <w:rsid w:val="5DEE3BA9"/>
    <w:rsid w:val="5DEF3FEB"/>
    <w:rsid w:val="5DEF70AD"/>
    <w:rsid w:val="5DF04752"/>
    <w:rsid w:val="5DF04B2E"/>
    <w:rsid w:val="5DF04D4E"/>
    <w:rsid w:val="5DF125B0"/>
    <w:rsid w:val="5DF15728"/>
    <w:rsid w:val="5DF16D2C"/>
    <w:rsid w:val="5DF20031"/>
    <w:rsid w:val="5DF213F1"/>
    <w:rsid w:val="5DF32230"/>
    <w:rsid w:val="5DF35AB3"/>
    <w:rsid w:val="5DF36E65"/>
    <w:rsid w:val="5DF43534"/>
    <w:rsid w:val="5DF503DE"/>
    <w:rsid w:val="5DF55733"/>
    <w:rsid w:val="5DF64FF0"/>
    <w:rsid w:val="5DF66A37"/>
    <w:rsid w:val="5DF82331"/>
    <w:rsid w:val="5DF824F6"/>
    <w:rsid w:val="5DF866B7"/>
    <w:rsid w:val="5DF94139"/>
    <w:rsid w:val="5DFA543E"/>
    <w:rsid w:val="5DFB2EBF"/>
    <w:rsid w:val="5DFB447D"/>
    <w:rsid w:val="5DFB763C"/>
    <w:rsid w:val="5DFC50BD"/>
    <w:rsid w:val="5DFD63C2"/>
    <w:rsid w:val="5DFE3E44"/>
    <w:rsid w:val="5DFE6042"/>
    <w:rsid w:val="5E001545"/>
    <w:rsid w:val="5E016FC7"/>
    <w:rsid w:val="5E021BF1"/>
    <w:rsid w:val="5E02284A"/>
    <w:rsid w:val="5E0302CC"/>
    <w:rsid w:val="5E0324CA"/>
    <w:rsid w:val="5E04316A"/>
    <w:rsid w:val="5E045D4D"/>
    <w:rsid w:val="5E0537CF"/>
    <w:rsid w:val="5E0559CD"/>
    <w:rsid w:val="5E061250"/>
    <w:rsid w:val="5E066CD2"/>
    <w:rsid w:val="5E070ED0"/>
    <w:rsid w:val="5E074753"/>
    <w:rsid w:val="5E075281"/>
    <w:rsid w:val="5E085E20"/>
    <w:rsid w:val="5E086952"/>
    <w:rsid w:val="5E0969BF"/>
    <w:rsid w:val="5E097C56"/>
    <w:rsid w:val="5E0A56D8"/>
    <w:rsid w:val="5E0A57D7"/>
    <w:rsid w:val="5E0A5EAD"/>
    <w:rsid w:val="5E0B0AD6"/>
    <w:rsid w:val="5E0B78D6"/>
    <w:rsid w:val="5E0C0BDB"/>
    <w:rsid w:val="5E0C5358"/>
    <w:rsid w:val="5E0D204F"/>
    <w:rsid w:val="5E0D2DD9"/>
    <w:rsid w:val="5E0D665D"/>
    <w:rsid w:val="5E105B43"/>
    <w:rsid w:val="5E1075E1"/>
    <w:rsid w:val="5E115063"/>
    <w:rsid w:val="5E122AE4"/>
    <w:rsid w:val="5E127261"/>
    <w:rsid w:val="5E130566"/>
    <w:rsid w:val="5E134CE3"/>
    <w:rsid w:val="5E1501E6"/>
    <w:rsid w:val="5E153A69"/>
    <w:rsid w:val="5E160396"/>
    <w:rsid w:val="5E160F34"/>
    <w:rsid w:val="5E1636E9"/>
    <w:rsid w:val="5E17116A"/>
    <w:rsid w:val="5E176F6C"/>
    <w:rsid w:val="5E1849EE"/>
    <w:rsid w:val="5E186BEC"/>
    <w:rsid w:val="5E19304C"/>
    <w:rsid w:val="5E19466D"/>
    <w:rsid w:val="5E1A7EF1"/>
    <w:rsid w:val="5E1B5972"/>
    <w:rsid w:val="5E1B7B71"/>
    <w:rsid w:val="5E1C33F4"/>
    <w:rsid w:val="5E1C4F9F"/>
    <w:rsid w:val="5E1C55F2"/>
    <w:rsid w:val="5E1E6518"/>
    <w:rsid w:val="5E1E68F7"/>
    <w:rsid w:val="5E1F1DFA"/>
    <w:rsid w:val="5E1F70B7"/>
    <w:rsid w:val="5E20787C"/>
    <w:rsid w:val="5E207C55"/>
    <w:rsid w:val="5E21062F"/>
    <w:rsid w:val="5E2107F4"/>
    <w:rsid w:val="5E2152FD"/>
    <w:rsid w:val="5E222D7F"/>
    <w:rsid w:val="5E230800"/>
    <w:rsid w:val="5E242747"/>
    <w:rsid w:val="5E2467F1"/>
    <w:rsid w:val="5E253121"/>
    <w:rsid w:val="5E2532E6"/>
    <w:rsid w:val="5E284C88"/>
    <w:rsid w:val="5E296976"/>
    <w:rsid w:val="5E2D1110"/>
    <w:rsid w:val="5E30357F"/>
    <w:rsid w:val="5E3155FD"/>
    <w:rsid w:val="5E325597"/>
    <w:rsid w:val="5E32585B"/>
    <w:rsid w:val="5E335697"/>
    <w:rsid w:val="5E340A9B"/>
    <w:rsid w:val="5E346C10"/>
    <w:rsid w:val="5E35651C"/>
    <w:rsid w:val="5E3577AE"/>
    <w:rsid w:val="5E361A1F"/>
    <w:rsid w:val="5E36400C"/>
    <w:rsid w:val="5E370D27"/>
    <w:rsid w:val="5E373415"/>
    <w:rsid w:val="5E373936"/>
    <w:rsid w:val="5E3774A1"/>
    <w:rsid w:val="5E384F22"/>
    <w:rsid w:val="5E3922A0"/>
    <w:rsid w:val="5E3A0425"/>
    <w:rsid w:val="5E3B3CA9"/>
    <w:rsid w:val="5E3C172A"/>
    <w:rsid w:val="5E3C3929"/>
    <w:rsid w:val="5E3D13AA"/>
    <w:rsid w:val="5E3D511B"/>
    <w:rsid w:val="5E3E6E2C"/>
    <w:rsid w:val="5E3F0130"/>
    <w:rsid w:val="5E3F64CF"/>
    <w:rsid w:val="5E40232F"/>
    <w:rsid w:val="5E405BB2"/>
    <w:rsid w:val="5E413634"/>
    <w:rsid w:val="5E417DB0"/>
    <w:rsid w:val="5E4210B5"/>
    <w:rsid w:val="5E4332B3"/>
    <w:rsid w:val="5E437E22"/>
    <w:rsid w:val="5E440D35"/>
    <w:rsid w:val="5E45203A"/>
    <w:rsid w:val="5E463C77"/>
    <w:rsid w:val="5E471CBA"/>
    <w:rsid w:val="5E482FBE"/>
    <w:rsid w:val="5E48773B"/>
    <w:rsid w:val="5E490A40"/>
    <w:rsid w:val="5E4951BD"/>
    <w:rsid w:val="5E4B06C0"/>
    <w:rsid w:val="5E4B3F43"/>
    <w:rsid w:val="5E4C19C5"/>
    <w:rsid w:val="5E4C7EA6"/>
    <w:rsid w:val="5E4D3BC3"/>
    <w:rsid w:val="5E4D7446"/>
    <w:rsid w:val="5E4E4EC8"/>
    <w:rsid w:val="5E4F2949"/>
    <w:rsid w:val="5E4F4B48"/>
    <w:rsid w:val="5E5140D5"/>
    <w:rsid w:val="5E515E4C"/>
    <w:rsid w:val="5E5238CE"/>
    <w:rsid w:val="5E530C9D"/>
    <w:rsid w:val="5E53134F"/>
    <w:rsid w:val="5E5314E7"/>
    <w:rsid w:val="5E53354E"/>
    <w:rsid w:val="5E53564E"/>
    <w:rsid w:val="5E540FCF"/>
    <w:rsid w:val="5E554853"/>
    <w:rsid w:val="5E5622D4"/>
    <w:rsid w:val="5E5644D2"/>
    <w:rsid w:val="5E56792A"/>
    <w:rsid w:val="5E567D56"/>
    <w:rsid w:val="5E571F54"/>
    <w:rsid w:val="5E5763C7"/>
    <w:rsid w:val="5E580EA3"/>
    <w:rsid w:val="5E5879D5"/>
    <w:rsid w:val="5E590CDA"/>
    <w:rsid w:val="5E595457"/>
    <w:rsid w:val="5E5A675C"/>
    <w:rsid w:val="5E5B095A"/>
    <w:rsid w:val="5E5B2DF6"/>
    <w:rsid w:val="5E5B2FBB"/>
    <w:rsid w:val="5E5B41DD"/>
    <w:rsid w:val="5E5D3E5D"/>
    <w:rsid w:val="5E5D4F0E"/>
    <w:rsid w:val="5E5E5162"/>
    <w:rsid w:val="5E5F2BE4"/>
    <w:rsid w:val="5E5F7360"/>
    <w:rsid w:val="5E600665"/>
    <w:rsid w:val="5E604DE2"/>
    <w:rsid w:val="5E6202E5"/>
    <w:rsid w:val="5E622841"/>
    <w:rsid w:val="5E623B68"/>
    <w:rsid w:val="5E63113D"/>
    <w:rsid w:val="5E631301"/>
    <w:rsid w:val="5E641CDC"/>
    <w:rsid w:val="5E663254"/>
    <w:rsid w:val="5E663419"/>
    <w:rsid w:val="5E6721EE"/>
    <w:rsid w:val="5E677FF0"/>
    <w:rsid w:val="5E6847CD"/>
    <w:rsid w:val="5E685A72"/>
    <w:rsid w:val="5E687C70"/>
    <w:rsid w:val="5E6A0F75"/>
    <w:rsid w:val="5E6A3173"/>
    <w:rsid w:val="5E6B69F6"/>
    <w:rsid w:val="5E6C4478"/>
    <w:rsid w:val="5E6C7E5E"/>
    <w:rsid w:val="5E6D1EF9"/>
    <w:rsid w:val="5E6D40F8"/>
    <w:rsid w:val="5E6E1B79"/>
    <w:rsid w:val="5E6E797B"/>
    <w:rsid w:val="5E6F69C2"/>
    <w:rsid w:val="5E6F724E"/>
    <w:rsid w:val="5E6F75FB"/>
    <w:rsid w:val="5E702B14"/>
    <w:rsid w:val="5E714792"/>
    <w:rsid w:val="5E716381"/>
    <w:rsid w:val="5E724251"/>
    <w:rsid w:val="5E731884"/>
    <w:rsid w:val="5E747306"/>
    <w:rsid w:val="5E766D43"/>
    <w:rsid w:val="5E785D0C"/>
    <w:rsid w:val="5E79378D"/>
    <w:rsid w:val="5E797F0A"/>
    <w:rsid w:val="5E7A0352"/>
    <w:rsid w:val="5E7A120F"/>
    <w:rsid w:val="5E7A1EB6"/>
    <w:rsid w:val="5E7A23D3"/>
    <w:rsid w:val="5E7A598C"/>
    <w:rsid w:val="5E7B2F72"/>
    <w:rsid w:val="5E7B340D"/>
    <w:rsid w:val="5E7C1CD5"/>
    <w:rsid w:val="5E7C394C"/>
    <w:rsid w:val="5E7D16C0"/>
    <w:rsid w:val="5E7D2194"/>
    <w:rsid w:val="5E7D44EB"/>
    <w:rsid w:val="5E7E0C7E"/>
    <w:rsid w:val="5E7E4392"/>
    <w:rsid w:val="5E7E4EC5"/>
    <w:rsid w:val="5E7E7C15"/>
    <w:rsid w:val="5E7F1E13"/>
    <w:rsid w:val="5E7F5697"/>
    <w:rsid w:val="5E7F7895"/>
    <w:rsid w:val="5E7F7B66"/>
    <w:rsid w:val="5E803118"/>
    <w:rsid w:val="5E806F6F"/>
    <w:rsid w:val="5E810B9A"/>
    <w:rsid w:val="5E812D98"/>
    <w:rsid w:val="5E82081A"/>
    <w:rsid w:val="5E82661B"/>
    <w:rsid w:val="5E83409D"/>
    <w:rsid w:val="5E83629B"/>
    <w:rsid w:val="5E8412B9"/>
    <w:rsid w:val="5E841B1E"/>
    <w:rsid w:val="5E841E57"/>
    <w:rsid w:val="5E85179E"/>
    <w:rsid w:val="5E851C93"/>
    <w:rsid w:val="5E8575A0"/>
    <w:rsid w:val="5E872AA3"/>
    <w:rsid w:val="5E884949"/>
    <w:rsid w:val="5E885FA6"/>
    <w:rsid w:val="5E8B6F2B"/>
    <w:rsid w:val="5E8C397C"/>
    <w:rsid w:val="5E8C49AC"/>
    <w:rsid w:val="5E8D242E"/>
    <w:rsid w:val="5E8E0B78"/>
    <w:rsid w:val="5E8F5931"/>
    <w:rsid w:val="5E9020F1"/>
    <w:rsid w:val="5E9033B3"/>
    <w:rsid w:val="5E910E34"/>
    <w:rsid w:val="5E9268B6"/>
    <w:rsid w:val="5E934044"/>
    <w:rsid w:val="5E95615C"/>
    <w:rsid w:val="5E95783A"/>
    <w:rsid w:val="5E9652BC"/>
    <w:rsid w:val="5E987B01"/>
    <w:rsid w:val="5E990E12"/>
    <w:rsid w:val="5E993BCD"/>
    <w:rsid w:val="5E996241"/>
    <w:rsid w:val="5E9A3CC2"/>
    <w:rsid w:val="5E9B1744"/>
    <w:rsid w:val="5E9B238B"/>
    <w:rsid w:val="5E9C496B"/>
    <w:rsid w:val="5E9D4C47"/>
    <w:rsid w:val="5E9F014A"/>
    <w:rsid w:val="5E9F5041"/>
    <w:rsid w:val="5E9F5687"/>
    <w:rsid w:val="5E9F5BCB"/>
    <w:rsid w:val="5EA0144F"/>
    <w:rsid w:val="5EA05BE0"/>
    <w:rsid w:val="5EA26B50"/>
    <w:rsid w:val="5EA27CF7"/>
    <w:rsid w:val="5EA30896"/>
    <w:rsid w:val="5EA345D2"/>
    <w:rsid w:val="5EA41270"/>
    <w:rsid w:val="5EA47E55"/>
    <w:rsid w:val="5EA558D6"/>
    <w:rsid w:val="5EA57AD5"/>
    <w:rsid w:val="5EA63358"/>
    <w:rsid w:val="5EA65556"/>
    <w:rsid w:val="5EA70DDA"/>
    <w:rsid w:val="5EA72FD8"/>
    <w:rsid w:val="5EA7685B"/>
    <w:rsid w:val="5EA842DD"/>
    <w:rsid w:val="5EA964DB"/>
    <w:rsid w:val="5EAA3F5C"/>
    <w:rsid w:val="5EAA549F"/>
    <w:rsid w:val="5EAA77E0"/>
    <w:rsid w:val="5EAB5261"/>
    <w:rsid w:val="5EAB5E7A"/>
    <w:rsid w:val="5EAB6030"/>
    <w:rsid w:val="5EAB6551"/>
    <w:rsid w:val="5EAC2CE3"/>
    <w:rsid w:val="5EAC7460"/>
    <w:rsid w:val="5EAD4EE1"/>
    <w:rsid w:val="5EAE61E6"/>
    <w:rsid w:val="5EAF03E4"/>
    <w:rsid w:val="5EAF3C67"/>
    <w:rsid w:val="5EB05E66"/>
    <w:rsid w:val="5EB12C47"/>
    <w:rsid w:val="5EB138E7"/>
    <w:rsid w:val="5EB21369"/>
    <w:rsid w:val="5EB23621"/>
    <w:rsid w:val="5EB3266E"/>
    <w:rsid w:val="5EB36DEA"/>
    <w:rsid w:val="5EB4486C"/>
    <w:rsid w:val="5EB44B9A"/>
    <w:rsid w:val="5EB55B71"/>
    <w:rsid w:val="5EB635F2"/>
    <w:rsid w:val="5EB662D8"/>
    <w:rsid w:val="5EB71074"/>
    <w:rsid w:val="5EB73272"/>
    <w:rsid w:val="5EB757F1"/>
    <w:rsid w:val="5EB80CF4"/>
    <w:rsid w:val="5EB86AF5"/>
    <w:rsid w:val="5EB87A15"/>
    <w:rsid w:val="5EB9022B"/>
    <w:rsid w:val="5EB96775"/>
    <w:rsid w:val="5EBA0DC9"/>
    <w:rsid w:val="5EBA0F8E"/>
    <w:rsid w:val="5EBA41F7"/>
    <w:rsid w:val="5EBB1C78"/>
    <w:rsid w:val="5EBB7A7A"/>
    <w:rsid w:val="5EBC2342"/>
    <w:rsid w:val="5EBC54FC"/>
    <w:rsid w:val="5EBC76FA"/>
    <w:rsid w:val="5EBD2F7D"/>
    <w:rsid w:val="5EBE09FF"/>
    <w:rsid w:val="5EBE53E1"/>
    <w:rsid w:val="5EBF7CE1"/>
    <w:rsid w:val="5EC04DFF"/>
    <w:rsid w:val="5EC06100"/>
    <w:rsid w:val="5EC06CB8"/>
    <w:rsid w:val="5EC21603"/>
    <w:rsid w:val="5EC24E86"/>
    <w:rsid w:val="5EC27110"/>
    <w:rsid w:val="5EC37AEA"/>
    <w:rsid w:val="5EC4038A"/>
    <w:rsid w:val="5EC40689"/>
    <w:rsid w:val="5EC44B06"/>
    <w:rsid w:val="5EC4727E"/>
    <w:rsid w:val="5EC52588"/>
    <w:rsid w:val="5EC55E0B"/>
    <w:rsid w:val="5EC6388D"/>
    <w:rsid w:val="5EC6498E"/>
    <w:rsid w:val="5EC7130E"/>
    <w:rsid w:val="5EC86D90"/>
    <w:rsid w:val="5EC94811"/>
    <w:rsid w:val="5ECA2293"/>
    <w:rsid w:val="5ECA48B8"/>
    <w:rsid w:val="5ECA5457"/>
    <w:rsid w:val="5ECA6A10"/>
    <w:rsid w:val="5ECB4491"/>
    <w:rsid w:val="5ECB7D14"/>
    <w:rsid w:val="5ECC5796"/>
    <w:rsid w:val="5ECD3218"/>
    <w:rsid w:val="5ECE5416"/>
    <w:rsid w:val="5ECF0AE7"/>
    <w:rsid w:val="5ECF671B"/>
    <w:rsid w:val="5ED0419C"/>
    <w:rsid w:val="5ED12060"/>
    <w:rsid w:val="5ED13E1C"/>
    <w:rsid w:val="5ED2189E"/>
    <w:rsid w:val="5ED22BFF"/>
    <w:rsid w:val="5ED42BA2"/>
    <w:rsid w:val="5ED4433C"/>
    <w:rsid w:val="5ED44DA1"/>
    <w:rsid w:val="5ED52822"/>
    <w:rsid w:val="5ED56A95"/>
    <w:rsid w:val="5ED56C4A"/>
    <w:rsid w:val="5ED602A4"/>
    <w:rsid w:val="5ED658B5"/>
    <w:rsid w:val="5ED663BE"/>
    <w:rsid w:val="5ED715A9"/>
    <w:rsid w:val="5ED75D25"/>
    <w:rsid w:val="5ED7628F"/>
    <w:rsid w:val="5ED76E2E"/>
    <w:rsid w:val="5ED837A7"/>
    <w:rsid w:val="5ED86C69"/>
    <w:rsid w:val="5ED879CC"/>
    <w:rsid w:val="5ED91228"/>
    <w:rsid w:val="5EDA252D"/>
    <w:rsid w:val="5EDA6CAA"/>
    <w:rsid w:val="5EDB7FAF"/>
    <w:rsid w:val="5EDC21AD"/>
    <w:rsid w:val="5EDC24BE"/>
    <w:rsid w:val="5EDC5A30"/>
    <w:rsid w:val="5EDD2E98"/>
    <w:rsid w:val="5EDD305D"/>
    <w:rsid w:val="5EDD34B2"/>
    <w:rsid w:val="5EDE56B0"/>
    <w:rsid w:val="5EE00BB3"/>
    <w:rsid w:val="5EE05174"/>
    <w:rsid w:val="5EE11EB8"/>
    <w:rsid w:val="5EE15B4F"/>
    <w:rsid w:val="5EE16635"/>
    <w:rsid w:val="5EE224D7"/>
    <w:rsid w:val="5EE240B6"/>
    <w:rsid w:val="5EE353BB"/>
    <w:rsid w:val="5EE40B9B"/>
    <w:rsid w:val="5EE475B9"/>
    <w:rsid w:val="5EE5015A"/>
    <w:rsid w:val="5EE50640"/>
    <w:rsid w:val="5EE513A4"/>
    <w:rsid w:val="5EE57718"/>
    <w:rsid w:val="5EE66340"/>
    <w:rsid w:val="5EE83A41"/>
    <w:rsid w:val="5EE85FC0"/>
    <w:rsid w:val="5EE914C3"/>
    <w:rsid w:val="5EE93E95"/>
    <w:rsid w:val="5EE96902"/>
    <w:rsid w:val="5EE972C4"/>
    <w:rsid w:val="5EEC5FAD"/>
    <w:rsid w:val="5EED5CCB"/>
    <w:rsid w:val="5EEF11CE"/>
    <w:rsid w:val="5EEF7F00"/>
    <w:rsid w:val="5EF06C4F"/>
    <w:rsid w:val="5EF13A09"/>
    <w:rsid w:val="5EF27BD4"/>
    <w:rsid w:val="5EF4412F"/>
    <w:rsid w:val="5EF656A8"/>
    <w:rsid w:val="5EF665DA"/>
    <w:rsid w:val="5EF7405C"/>
    <w:rsid w:val="5EF9755F"/>
    <w:rsid w:val="5EFA4FE0"/>
    <w:rsid w:val="5EFB0EFD"/>
    <w:rsid w:val="5EFB7D1C"/>
    <w:rsid w:val="5EFC04E3"/>
    <w:rsid w:val="5EFD2476"/>
    <w:rsid w:val="5EFE39E7"/>
    <w:rsid w:val="5EFF1468"/>
    <w:rsid w:val="5EFF39EF"/>
    <w:rsid w:val="5F00458D"/>
    <w:rsid w:val="5F0063E2"/>
    <w:rsid w:val="5F006EEA"/>
    <w:rsid w:val="5F01496B"/>
    <w:rsid w:val="5F015B06"/>
    <w:rsid w:val="5F015B56"/>
    <w:rsid w:val="5F024888"/>
    <w:rsid w:val="5F033FFC"/>
    <w:rsid w:val="5F03707F"/>
    <w:rsid w:val="5F047C1E"/>
    <w:rsid w:val="5F0507BC"/>
    <w:rsid w:val="5F056BF5"/>
    <w:rsid w:val="5F064676"/>
    <w:rsid w:val="5F081D78"/>
    <w:rsid w:val="5F0955FB"/>
    <w:rsid w:val="5F0977F9"/>
    <w:rsid w:val="5F0B0AFE"/>
    <w:rsid w:val="5F0C077E"/>
    <w:rsid w:val="5F0C6580"/>
    <w:rsid w:val="5F0D5F64"/>
    <w:rsid w:val="5F0E1A83"/>
    <w:rsid w:val="5F0E3C81"/>
    <w:rsid w:val="5F0F0A09"/>
    <w:rsid w:val="5F0F1702"/>
    <w:rsid w:val="5F0F7E12"/>
    <w:rsid w:val="5F106EAF"/>
    <w:rsid w:val="5F10721B"/>
    <w:rsid w:val="5F1117B9"/>
    <w:rsid w:val="5F114C06"/>
    <w:rsid w:val="5F116B44"/>
    <w:rsid w:val="5F122687"/>
    <w:rsid w:val="5F130109"/>
    <w:rsid w:val="5F13398C"/>
    <w:rsid w:val="5F14140D"/>
    <w:rsid w:val="5F145B8A"/>
    <w:rsid w:val="5F15360C"/>
    <w:rsid w:val="5F16108D"/>
    <w:rsid w:val="5F164911"/>
    <w:rsid w:val="5F172392"/>
    <w:rsid w:val="5F184590"/>
    <w:rsid w:val="5F187E14"/>
    <w:rsid w:val="5F196F61"/>
    <w:rsid w:val="5F1A2B43"/>
    <w:rsid w:val="5F1A3317"/>
    <w:rsid w:val="5F1A7A93"/>
    <w:rsid w:val="5F1B04DA"/>
    <w:rsid w:val="5F1C1A53"/>
    <w:rsid w:val="5F1D0A18"/>
    <w:rsid w:val="5F1D188E"/>
    <w:rsid w:val="5F1D1E82"/>
    <w:rsid w:val="5F1D429B"/>
    <w:rsid w:val="5F1E1D1D"/>
    <w:rsid w:val="5F1E649A"/>
    <w:rsid w:val="5F1F3F1B"/>
    <w:rsid w:val="5F1F779F"/>
    <w:rsid w:val="5F204709"/>
    <w:rsid w:val="5F20741E"/>
    <w:rsid w:val="5F212CA2"/>
    <w:rsid w:val="5F214EA0"/>
    <w:rsid w:val="5F220723"/>
    <w:rsid w:val="5F23665C"/>
    <w:rsid w:val="5F245E25"/>
    <w:rsid w:val="5F2516A8"/>
    <w:rsid w:val="5F2538A6"/>
    <w:rsid w:val="5F261328"/>
    <w:rsid w:val="5F267129"/>
    <w:rsid w:val="5F274BAB"/>
    <w:rsid w:val="5F2800AE"/>
    <w:rsid w:val="5F28262C"/>
    <w:rsid w:val="5F2922AC"/>
    <w:rsid w:val="5F295B30"/>
    <w:rsid w:val="5F2A342A"/>
    <w:rsid w:val="5F2B1033"/>
    <w:rsid w:val="5F2B3E04"/>
    <w:rsid w:val="5F2B57AF"/>
    <w:rsid w:val="5F2C54A2"/>
    <w:rsid w:val="5F2C5541"/>
    <w:rsid w:val="5F2C6AB4"/>
    <w:rsid w:val="5F2D4536"/>
    <w:rsid w:val="5F2D46F6"/>
    <w:rsid w:val="5F2E1FB7"/>
    <w:rsid w:val="5F2E6734"/>
    <w:rsid w:val="5F301C37"/>
    <w:rsid w:val="5F3054BA"/>
    <w:rsid w:val="5F310A0D"/>
    <w:rsid w:val="5F310BD2"/>
    <w:rsid w:val="5F312F3C"/>
    <w:rsid w:val="5F3209BE"/>
    <w:rsid w:val="5F32513A"/>
    <w:rsid w:val="5F332BBC"/>
    <w:rsid w:val="5F33643F"/>
    <w:rsid w:val="5F34063D"/>
    <w:rsid w:val="5F343EC1"/>
    <w:rsid w:val="5F351942"/>
    <w:rsid w:val="5F363B40"/>
    <w:rsid w:val="5F3715C2"/>
    <w:rsid w:val="5F3828C7"/>
    <w:rsid w:val="5F38637A"/>
    <w:rsid w:val="5F387044"/>
    <w:rsid w:val="5F390348"/>
    <w:rsid w:val="5F396F19"/>
    <w:rsid w:val="5F3A0F0C"/>
    <w:rsid w:val="5F3A7FC8"/>
    <w:rsid w:val="5F3B0491"/>
    <w:rsid w:val="5F3B384B"/>
    <w:rsid w:val="5F3C12CD"/>
    <w:rsid w:val="5F3C2507"/>
    <w:rsid w:val="5F3C34CB"/>
    <w:rsid w:val="5F3C5A50"/>
    <w:rsid w:val="5F3C5F70"/>
    <w:rsid w:val="5F3D0F4D"/>
    <w:rsid w:val="5F3D1A0A"/>
    <w:rsid w:val="5F3D6D4F"/>
    <w:rsid w:val="5F3F3148"/>
    <w:rsid w:val="5F405755"/>
    <w:rsid w:val="5F407CD3"/>
    <w:rsid w:val="5F411080"/>
    <w:rsid w:val="5F4144FC"/>
    <w:rsid w:val="5F432E56"/>
    <w:rsid w:val="5F4408D8"/>
    <w:rsid w:val="5F44415B"/>
    <w:rsid w:val="5F451BDC"/>
    <w:rsid w:val="5F46072B"/>
    <w:rsid w:val="5F463DDB"/>
    <w:rsid w:val="5F46765E"/>
    <w:rsid w:val="5F467B8C"/>
    <w:rsid w:val="5F4750E0"/>
    <w:rsid w:val="5F4872DE"/>
    <w:rsid w:val="5F4905E3"/>
    <w:rsid w:val="5F4915FE"/>
    <w:rsid w:val="5F492A07"/>
    <w:rsid w:val="5F494D5F"/>
    <w:rsid w:val="5F4B3AE6"/>
    <w:rsid w:val="5F4C5CE4"/>
    <w:rsid w:val="5F4E11E7"/>
    <w:rsid w:val="5F4F24EC"/>
    <w:rsid w:val="5F4F6A72"/>
    <w:rsid w:val="5F5046EA"/>
    <w:rsid w:val="5F507610"/>
    <w:rsid w:val="5F507F6E"/>
    <w:rsid w:val="5F5101AF"/>
    <w:rsid w:val="5F523471"/>
    <w:rsid w:val="5F531564"/>
    <w:rsid w:val="5F56421A"/>
    <w:rsid w:val="5F574BF4"/>
    <w:rsid w:val="5F585957"/>
    <w:rsid w:val="5F59087D"/>
    <w:rsid w:val="5F592DFB"/>
    <w:rsid w:val="5F5A62FF"/>
    <w:rsid w:val="5F5B3D80"/>
    <w:rsid w:val="5F5C6A78"/>
    <w:rsid w:val="5F5D6897"/>
    <w:rsid w:val="5F5D7283"/>
    <w:rsid w:val="5F5E4D05"/>
    <w:rsid w:val="5F62370B"/>
    <w:rsid w:val="5F625052"/>
    <w:rsid w:val="5F646C0E"/>
    <w:rsid w:val="5F64760C"/>
    <w:rsid w:val="5F677B93"/>
    <w:rsid w:val="5F681281"/>
    <w:rsid w:val="5F684B10"/>
    <w:rsid w:val="5F693096"/>
    <w:rsid w:val="5F6A0B17"/>
    <w:rsid w:val="5F6B1E1C"/>
    <w:rsid w:val="5F6B6599"/>
    <w:rsid w:val="5F6C789E"/>
    <w:rsid w:val="5F6D4AD6"/>
    <w:rsid w:val="5F6D531F"/>
    <w:rsid w:val="5F6E2DA1"/>
    <w:rsid w:val="5F6E54B0"/>
    <w:rsid w:val="5F6E751E"/>
    <w:rsid w:val="5F6F6A29"/>
    <w:rsid w:val="5F7062A4"/>
    <w:rsid w:val="5F7104A2"/>
    <w:rsid w:val="5F7239A5"/>
    <w:rsid w:val="5F744CAA"/>
    <w:rsid w:val="5F75272C"/>
    <w:rsid w:val="5F75492A"/>
    <w:rsid w:val="5F7601AD"/>
    <w:rsid w:val="5F775C2F"/>
    <w:rsid w:val="5F776A62"/>
    <w:rsid w:val="5F791132"/>
    <w:rsid w:val="5F79574A"/>
    <w:rsid w:val="5F796BB3"/>
    <w:rsid w:val="5F7A4635"/>
    <w:rsid w:val="5F7B20B7"/>
    <w:rsid w:val="5F7B6E87"/>
    <w:rsid w:val="5F7C05C5"/>
    <w:rsid w:val="5F7C7A26"/>
    <w:rsid w:val="5F7C7B38"/>
    <w:rsid w:val="5F7D0400"/>
    <w:rsid w:val="5F7E0DDA"/>
    <w:rsid w:val="5F7E1979"/>
    <w:rsid w:val="5F7E303B"/>
    <w:rsid w:val="5F7E77B8"/>
    <w:rsid w:val="5F80653E"/>
    <w:rsid w:val="5F81073D"/>
    <w:rsid w:val="5F82462F"/>
    <w:rsid w:val="5F8261BE"/>
    <w:rsid w:val="5F832F4E"/>
    <w:rsid w:val="5F8416C1"/>
    <w:rsid w:val="5F844F44"/>
    <w:rsid w:val="5F845D6D"/>
    <w:rsid w:val="5F857143"/>
    <w:rsid w:val="5F860D1E"/>
    <w:rsid w:val="5F862B7B"/>
    <w:rsid w:val="5F872646"/>
    <w:rsid w:val="5F8776EE"/>
    <w:rsid w:val="5F88085E"/>
    <w:rsid w:val="5F88394B"/>
    <w:rsid w:val="5F8913CC"/>
    <w:rsid w:val="5F8A104C"/>
    <w:rsid w:val="5F8A6E4E"/>
    <w:rsid w:val="5F8B48CF"/>
    <w:rsid w:val="5F8D1FD1"/>
    <w:rsid w:val="5F8D7DD2"/>
    <w:rsid w:val="5F8E0463"/>
    <w:rsid w:val="5F8E1258"/>
    <w:rsid w:val="5F8E5854"/>
    <w:rsid w:val="5F8E7A52"/>
    <w:rsid w:val="5F8F32D6"/>
    <w:rsid w:val="5F900281"/>
    <w:rsid w:val="5F900D57"/>
    <w:rsid w:val="5F902F55"/>
    <w:rsid w:val="5F9109D7"/>
    <w:rsid w:val="5F91425A"/>
    <w:rsid w:val="5F9167D9"/>
    <w:rsid w:val="5F921CDC"/>
    <w:rsid w:val="5F92572B"/>
    <w:rsid w:val="5F93775D"/>
    <w:rsid w:val="5F94195C"/>
    <w:rsid w:val="5F952071"/>
    <w:rsid w:val="5F952C60"/>
    <w:rsid w:val="5F9573DD"/>
    <w:rsid w:val="5F9606E2"/>
    <w:rsid w:val="5F976163"/>
    <w:rsid w:val="5F983BE5"/>
    <w:rsid w:val="5F9958C6"/>
    <w:rsid w:val="5F9A3865"/>
    <w:rsid w:val="5F9A62A0"/>
    <w:rsid w:val="5F9A6465"/>
    <w:rsid w:val="5F9A70E8"/>
    <w:rsid w:val="5F9B4B6A"/>
    <w:rsid w:val="5F9B7003"/>
    <w:rsid w:val="5F9C0EDE"/>
    <w:rsid w:val="5F9D057C"/>
    <w:rsid w:val="5F9D47EA"/>
    <w:rsid w:val="5F9E5AEE"/>
    <w:rsid w:val="5F9F1AF5"/>
    <w:rsid w:val="5F9F3570"/>
    <w:rsid w:val="5FA00FF1"/>
    <w:rsid w:val="5FA0576E"/>
    <w:rsid w:val="5FA10C71"/>
    <w:rsid w:val="5FA16A73"/>
    <w:rsid w:val="5FA16C3A"/>
    <w:rsid w:val="5FA23A48"/>
    <w:rsid w:val="5FA244F5"/>
    <w:rsid w:val="5FA25B22"/>
    <w:rsid w:val="5FA25E8E"/>
    <w:rsid w:val="5FA266F3"/>
    <w:rsid w:val="5FA31F76"/>
    <w:rsid w:val="5FA34174"/>
    <w:rsid w:val="5FA345E7"/>
    <w:rsid w:val="5FA3544C"/>
    <w:rsid w:val="5FA41BF6"/>
    <w:rsid w:val="5FA479F8"/>
    <w:rsid w:val="5FA55479"/>
    <w:rsid w:val="5FA55D24"/>
    <w:rsid w:val="5FA57677"/>
    <w:rsid w:val="5FA62EFB"/>
    <w:rsid w:val="5FA650F9"/>
    <w:rsid w:val="5FA7097C"/>
    <w:rsid w:val="5FA72B7B"/>
    <w:rsid w:val="5FA805FC"/>
    <w:rsid w:val="5FA863FE"/>
    <w:rsid w:val="5FA913B5"/>
    <w:rsid w:val="5FA93E7F"/>
    <w:rsid w:val="5FA9607E"/>
    <w:rsid w:val="5FAB1581"/>
    <w:rsid w:val="5FAB4E04"/>
    <w:rsid w:val="5FAC3308"/>
    <w:rsid w:val="5FAE2505"/>
    <w:rsid w:val="5FAE5D89"/>
    <w:rsid w:val="5FAF0D65"/>
    <w:rsid w:val="5FAF380A"/>
    <w:rsid w:val="5FAF7F87"/>
    <w:rsid w:val="5FB0128C"/>
    <w:rsid w:val="5FB1014A"/>
    <w:rsid w:val="5FB16B5C"/>
    <w:rsid w:val="5FB2478F"/>
    <w:rsid w:val="5FB276FB"/>
    <w:rsid w:val="5FB30363"/>
    <w:rsid w:val="5FB3698D"/>
    <w:rsid w:val="5FB37DC6"/>
    <w:rsid w:val="5FB4440F"/>
    <w:rsid w:val="5FB47C92"/>
    <w:rsid w:val="5FB51E90"/>
    <w:rsid w:val="5FB7392A"/>
    <w:rsid w:val="5FB75393"/>
    <w:rsid w:val="5FB837BB"/>
    <w:rsid w:val="5FB86698"/>
    <w:rsid w:val="5FBA1B9B"/>
    <w:rsid w:val="5FBB641C"/>
    <w:rsid w:val="5FBC509E"/>
    <w:rsid w:val="5FBF6023"/>
    <w:rsid w:val="5FC01EE5"/>
    <w:rsid w:val="5FC16FA8"/>
    <w:rsid w:val="5FC23025"/>
    <w:rsid w:val="5FC24A29"/>
    <w:rsid w:val="5FC6342F"/>
    <w:rsid w:val="5FC77254"/>
    <w:rsid w:val="5FC93F22"/>
    <w:rsid w:val="5FCA1E36"/>
    <w:rsid w:val="5FCB78B7"/>
    <w:rsid w:val="5FCC2AA9"/>
    <w:rsid w:val="5FCD2DBA"/>
    <w:rsid w:val="5FCD52BA"/>
    <w:rsid w:val="5FCE46C2"/>
    <w:rsid w:val="5FCE4E78"/>
    <w:rsid w:val="5FD0613A"/>
    <w:rsid w:val="5FD15044"/>
    <w:rsid w:val="5FD22AC5"/>
    <w:rsid w:val="5FD34CC4"/>
    <w:rsid w:val="5FD45FC8"/>
    <w:rsid w:val="5FD501C7"/>
    <w:rsid w:val="5FD51606"/>
    <w:rsid w:val="5FD53A4A"/>
    <w:rsid w:val="5FD614CB"/>
    <w:rsid w:val="5FD621A4"/>
    <w:rsid w:val="5FD65C48"/>
    <w:rsid w:val="5FD8114B"/>
    <w:rsid w:val="5FD849CF"/>
    <w:rsid w:val="5FD92450"/>
    <w:rsid w:val="5FD96BCD"/>
    <w:rsid w:val="5FDA7ED2"/>
    <w:rsid w:val="5FDB5953"/>
    <w:rsid w:val="5FDB59F9"/>
    <w:rsid w:val="5FDB7B52"/>
    <w:rsid w:val="5FDC55D3"/>
    <w:rsid w:val="5FDC6F72"/>
    <w:rsid w:val="5FDD0E56"/>
    <w:rsid w:val="5FDD3055"/>
    <w:rsid w:val="5FDE04EB"/>
    <w:rsid w:val="5FDE0AD6"/>
    <w:rsid w:val="5FDF108A"/>
    <w:rsid w:val="5FDF4359"/>
    <w:rsid w:val="5FE01DDB"/>
    <w:rsid w:val="5FE03FD9"/>
    <w:rsid w:val="5FE11A5B"/>
    <w:rsid w:val="5FE1785D"/>
    <w:rsid w:val="5FE252DE"/>
    <w:rsid w:val="5FE274DC"/>
    <w:rsid w:val="5FE34F5E"/>
    <w:rsid w:val="5FE44556"/>
    <w:rsid w:val="5FE46263"/>
    <w:rsid w:val="5FE53CE4"/>
    <w:rsid w:val="5FE61766"/>
    <w:rsid w:val="5FE61D4E"/>
    <w:rsid w:val="5FE65EE3"/>
    <w:rsid w:val="5FE73964"/>
    <w:rsid w:val="5FE76832"/>
    <w:rsid w:val="5FE84C69"/>
    <w:rsid w:val="5FE8720C"/>
    <w:rsid w:val="5FE96E67"/>
    <w:rsid w:val="5FEA016C"/>
    <w:rsid w:val="5FEA0785"/>
    <w:rsid w:val="5FEA2274"/>
    <w:rsid w:val="5FEA48E9"/>
    <w:rsid w:val="5FEB1323"/>
    <w:rsid w:val="5FEB1EC2"/>
    <w:rsid w:val="5FEB236A"/>
    <w:rsid w:val="5FEB5BEE"/>
    <w:rsid w:val="5FEC1CFE"/>
    <w:rsid w:val="5FEC289C"/>
    <w:rsid w:val="5FEC366F"/>
    <w:rsid w:val="5FED10F1"/>
    <w:rsid w:val="5FED586D"/>
    <w:rsid w:val="5FEE6B72"/>
    <w:rsid w:val="5FEF0D71"/>
    <w:rsid w:val="5FF02075"/>
    <w:rsid w:val="5FF05552"/>
    <w:rsid w:val="5FF21CF5"/>
    <w:rsid w:val="5FF27777"/>
    <w:rsid w:val="5FF32FFA"/>
    <w:rsid w:val="5FF351F8"/>
    <w:rsid w:val="5FF40A7C"/>
    <w:rsid w:val="5FF42C7A"/>
    <w:rsid w:val="5FF506FB"/>
    <w:rsid w:val="5FF615BD"/>
    <w:rsid w:val="5FF649B6"/>
    <w:rsid w:val="5FF66790"/>
    <w:rsid w:val="5FF73BFE"/>
    <w:rsid w:val="5FF87482"/>
    <w:rsid w:val="5FF94F03"/>
    <w:rsid w:val="5FFA0406"/>
    <w:rsid w:val="5FFA3AEF"/>
    <w:rsid w:val="5FFA45F4"/>
    <w:rsid w:val="5FFA4B83"/>
    <w:rsid w:val="5FFB2605"/>
    <w:rsid w:val="5FFD138B"/>
    <w:rsid w:val="5FFD5B08"/>
    <w:rsid w:val="5FFE3589"/>
    <w:rsid w:val="5FFE6E0D"/>
    <w:rsid w:val="5FFE7AC8"/>
    <w:rsid w:val="5FFF100B"/>
    <w:rsid w:val="60001041"/>
    <w:rsid w:val="60002310"/>
    <w:rsid w:val="60006A8C"/>
    <w:rsid w:val="6001450E"/>
    <w:rsid w:val="60017D91"/>
    <w:rsid w:val="60021F8F"/>
    <w:rsid w:val="60025813"/>
    <w:rsid w:val="60033294"/>
    <w:rsid w:val="60037A11"/>
    <w:rsid w:val="60040D16"/>
    <w:rsid w:val="60042281"/>
    <w:rsid w:val="60045493"/>
    <w:rsid w:val="60065E0F"/>
    <w:rsid w:val="60071C9B"/>
    <w:rsid w:val="60076417"/>
    <w:rsid w:val="600767E9"/>
    <w:rsid w:val="60085A40"/>
    <w:rsid w:val="6008771C"/>
    <w:rsid w:val="6009519E"/>
    <w:rsid w:val="600A0901"/>
    <w:rsid w:val="600A7349"/>
    <w:rsid w:val="600B06A1"/>
    <w:rsid w:val="600B6A8C"/>
    <w:rsid w:val="600D2A18"/>
    <w:rsid w:val="600D3BA4"/>
    <w:rsid w:val="600D6A86"/>
    <w:rsid w:val="600E35B7"/>
    <w:rsid w:val="600E3824"/>
    <w:rsid w:val="600F12A5"/>
    <w:rsid w:val="6010496B"/>
    <w:rsid w:val="60104B28"/>
    <w:rsid w:val="60106D27"/>
    <w:rsid w:val="601125AA"/>
    <w:rsid w:val="601147A8"/>
    <w:rsid w:val="6011550A"/>
    <w:rsid w:val="601156CE"/>
    <w:rsid w:val="6012002C"/>
    <w:rsid w:val="60125AAD"/>
    <w:rsid w:val="6013352F"/>
    <w:rsid w:val="60137CAB"/>
    <w:rsid w:val="601401C0"/>
    <w:rsid w:val="60140FB0"/>
    <w:rsid w:val="6014572D"/>
    <w:rsid w:val="60151BC1"/>
    <w:rsid w:val="601531AE"/>
    <w:rsid w:val="60161739"/>
    <w:rsid w:val="601644B3"/>
    <w:rsid w:val="60177CFC"/>
    <w:rsid w:val="60182CB2"/>
    <w:rsid w:val="60184133"/>
    <w:rsid w:val="60191BB5"/>
    <w:rsid w:val="601A2EBA"/>
    <w:rsid w:val="601A43EF"/>
    <w:rsid w:val="601A7636"/>
    <w:rsid w:val="601B093B"/>
    <w:rsid w:val="601B50B8"/>
    <w:rsid w:val="601D3E3E"/>
    <w:rsid w:val="601E603C"/>
    <w:rsid w:val="6020045A"/>
    <w:rsid w:val="602202C6"/>
    <w:rsid w:val="60235D47"/>
    <w:rsid w:val="60236B25"/>
    <w:rsid w:val="602437C9"/>
    <w:rsid w:val="60243CC7"/>
    <w:rsid w:val="60262323"/>
    <w:rsid w:val="60266CCC"/>
    <w:rsid w:val="6027474E"/>
    <w:rsid w:val="602821CF"/>
    <w:rsid w:val="6029717B"/>
    <w:rsid w:val="60297C51"/>
    <w:rsid w:val="602A3154"/>
    <w:rsid w:val="602A56D2"/>
    <w:rsid w:val="602C6657"/>
    <w:rsid w:val="602D40D8"/>
    <w:rsid w:val="602F33AA"/>
    <w:rsid w:val="602F356E"/>
    <w:rsid w:val="6030505D"/>
    <w:rsid w:val="60312ADF"/>
    <w:rsid w:val="603262EF"/>
    <w:rsid w:val="603269C5"/>
    <w:rsid w:val="60326EE6"/>
    <w:rsid w:val="60335FE2"/>
    <w:rsid w:val="60336139"/>
    <w:rsid w:val="603445E0"/>
    <w:rsid w:val="60350178"/>
    <w:rsid w:val="60366F66"/>
    <w:rsid w:val="6037026B"/>
    <w:rsid w:val="603718B5"/>
    <w:rsid w:val="6039376E"/>
    <w:rsid w:val="60397EEB"/>
    <w:rsid w:val="603A11F0"/>
    <w:rsid w:val="603A596D"/>
    <w:rsid w:val="603B33EE"/>
    <w:rsid w:val="603D64BE"/>
    <w:rsid w:val="603D68F1"/>
    <w:rsid w:val="603E4373"/>
    <w:rsid w:val="603E705D"/>
    <w:rsid w:val="603E7BF6"/>
    <w:rsid w:val="603F5678"/>
    <w:rsid w:val="604030F9"/>
    <w:rsid w:val="60407876"/>
    <w:rsid w:val="60410B7B"/>
    <w:rsid w:val="60416A66"/>
    <w:rsid w:val="60422D79"/>
    <w:rsid w:val="6043407E"/>
    <w:rsid w:val="6043627C"/>
    <w:rsid w:val="6045177F"/>
    <w:rsid w:val="60453C66"/>
    <w:rsid w:val="60457581"/>
    <w:rsid w:val="60465003"/>
    <w:rsid w:val="60467201"/>
    <w:rsid w:val="60490185"/>
    <w:rsid w:val="60495F87"/>
    <w:rsid w:val="604A3A09"/>
    <w:rsid w:val="604B3689"/>
    <w:rsid w:val="604B6F0C"/>
    <w:rsid w:val="604C110A"/>
    <w:rsid w:val="604C498D"/>
    <w:rsid w:val="604D6B8C"/>
    <w:rsid w:val="604E460D"/>
    <w:rsid w:val="604F060C"/>
    <w:rsid w:val="604F208F"/>
    <w:rsid w:val="60502F09"/>
    <w:rsid w:val="60503394"/>
    <w:rsid w:val="60503F00"/>
    <w:rsid w:val="60507B10"/>
    <w:rsid w:val="6051174F"/>
    <w:rsid w:val="60514A9F"/>
    <w:rsid w:val="60526897"/>
    <w:rsid w:val="60534318"/>
    <w:rsid w:val="60541D9A"/>
    <w:rsid w:val="60553F98"/>
    <w:rsid w:val="6055781B"/>
    <w:rsid w:val="6056012F"/>
    <w:rsid w:val="605602F3"/>
    <w:rsid w:val="6056529D"/>
    <w:rsid w:val="60570B09"/>
    <w:rsid w:val="60572D1E"/>
    <w:rsid w:val="6057749B"/>
    <w:rsid w:val="60584F1D"/>
    <w:rsid w:val="60592DE5"/>
    <w:rsid w:val="60596221"/>
    <w:rsid w:val="605A0420"/>
    <w:rsid w:val="605A3CA3"/>
    <w:rsid w:val="605B5399"/>
    <w:rsid w:val="605B6893"/>
    <w:rsid w:val="605C13A4"/>
    <w:rsid w:val="605C4EFD"/>
    <w:rsid w:val="605C71A6"/>
    <w:rsid w:val="605D4C28"/>
    <w:rsid w:val="605D58D7"/>
    <w:rsid w:val="605D5A9B"/>
    <w:rsid w:val="605D6E26"/>
    <w:rsid w:val="605E48A8"/>
    <w:rsid w:val="605E5044"/>
    <w:rsid w:val="605E51FA"/>
    <w:rsid w:val="605E6476"/>
    <w:rsid w:val="605F012B"/>
    <w:rsid w:val="605F2329"/>
    <w:rsid w:val="60605BAC"/>
    <w:rsid w:val="60620F67"/>
    <w:rsid w:val="6062112C"/>
    <w:rsid w:val="606232AE"/>
    <w:rsid w:val="60636B31"/>
    <w:rsid w:val="60642034"/>
    <w:rsid w:val="60654232"/>
    <w:rsid w:val="60657AB6"/>
    <w:rsid w:val="60661CB4"/>
    <w:rsid w:val="606647BC"/>
    <w:rsid w:val="60672FB9"/>
    <w:rsid w:val="606745F8"/>
    <w:rsid w:val="60692C39"/>
    <w:rsid w:val="606A06BA"/>
    <w:rsid w:val="606A3F3D"/>
    <w:rsid w:val="606A7472"/>
    <w:rsid w:val="606B613C"/>
    <w:rsid w:val="606C0827"/>
    <w:rsid w:val="606C09EB"/>
    <w:rsid w:val="606C79D7"/>
    <w:rsid w:val="606D70BF"/>
    <w:rsid w:val="606D766C"/>
    <w:rsid w:val="606E6033"/>
    <w:rsid w:val="606E670A"/>
    <w:rsid w:val="606E70C0"/>
    <w:rsid w:val="606F293E"/>
    <w:rsid w:val="60710045"/>
    <w:rsid w:val="607138C8"/>
    <w:rsid w:val="6072134A"/>
    <w:rsid w:val="60725AC7"/>
    <w:rsid w:val="60736DCB"/>
    <w:rsid w:val="6074484D"/>
    <w:rsid w:val="60746A4B"/>
    <w:rsid w:val="60746B6D"/>
    <w:rsid w:val="607522CE"/>
    <w:rsid w:val="607544CD"/>
    <w:rsid w:val="60757548"/>
    <w:rsid w:val="60761F4E"/>
    <w:rsid w:val="60770C85"/>
    <w:rsid w:val="607779D0"/>
    <w:rsid w:val="60785451"/>
    <w:rsid w:val="607921FE"/>
    <w:rsid w:val="60792ED3"/>
    <w:rsid w:val="607A0954"/>
    <w:rsid w:val="607A6756"/>
    <w:rsid w:val="607B1928"/>
    <w:rsid w:val="607B1C59"/>
    <w:rsid w:val="607B41D8"/>
    <w:rsid w:val="607B63D6"/>
    <w:rsid w:val="607C3E58"/>
    <w:rsid w:val="607D02F0"/>
    <w:rsid w:val="607D18D9"/>
    <w:rsid w:val="607E2BDE"/>
    <w:rsid w:val="607E735B"/>
    <w:rsid w:val="607F065F"/>
    <w:rsid w:val="607F4DDC"/>
    <w:rsid w:val="608060E1"/>
    <w:rsid w:val="60806E07"/>
    <w:rsid w:val="608215E4"/>
    <w:rsid w:val="608337E2"/>
    <w:rsid w:val="60841264"/>
    <w:rsid w:val="60875A6C"/>
    <w:rsid w:val="608834ED"/>
    <w:rsid w:val="60890F6F"/>
    <w:rsid w:val="60894626"/>
    <w:rsid w:val="608947DC"/>
    <w:rsid w:val="60894CFD"/>
    <w:rsid w:val="60895CED"/>
    <w:rsid w:val="60897327"/>
    <w:rsid w:val="608A3BE5"/>
    <w:rsid w:val="608A4753"/>
    <w:rsid w:val="608B2FED"/>
    <w:rsid w:val="608B4472"/>
    <w:rsid w:val="608B742A"/>
    <w:rsid w:val="608C1EF4"/>
    <w:rsid w:val="608E1541"/>
    <w:rsid w:val="608E53F7"/>
    <w:rsid w:val="608F1F1C"/>
    <w:rsid w:val="608F2ABA"/>
    <w:rsid w:val="608F2E78"/>
    <w:rsid w:val="60913E6F"/>
    <w:rsid w:val="6091637B"/>
    <w:rsid w:val="60923DFD"/>
    <w:rsid w:val="60956B25"/>
    <w:rsid w:val="60960285"/>
    <w:rsid w:val="609676C4"/>
    <w:rsid w:val="60986577"/>
    <w:rsid w:val="60991209"/>
    <w:rsid w:val="6099620C"/>
    <w:rsid w:val="609A6C8B"/>
    <w:rsid w:val="609C218E"/>
    <w:rsid w:val="609E5691"/>
    <w:rsid w:val="609F65A9"/>
    <w:rsid w:val="60A00B94"/>
    <w:rsid w:val="60A04417"/>
    <w:rsid w:val="60A11E99"/>
    <w:rsid w:val="60A16616"/>
    <w:rsid w:val="60A204FC"/>
    <w:rsid w:val="60A24097"/>
    <w:rsid w:val="60A25154"/>
    <w:rsid w:val="60A31B19"/>
    <w:rsid w:val="60A42E1E"/>
    <w:rsid w:val="60A4759A"/>
    <w:rsid w:val="60A5089F"/>
    <w:rsid w:val="60A62A9D"/>
    <w:rsid w:val="60A70D54"/>
    <w:rsid w:val="60A73DA2"/>
    <w:rsid w:val="60A81824"/>
    <w:rsid w:val="60A873B0"/>
    <w:rsid w:val="60A87DF2"/>
    <w:rsid w:val="60A93A22"/>
    <w:rsid w:val="60A95105"/>
    <w:rsid w:val="60A972A5"/>
    <w:rsid w:val="60AA5E68"/>
    <w:rsid w:val="60AB27A8"/>
    <w:rsid w:val="60AB49A7"/>
    <w:rsid w:val="60AB73E1"/>
    <w:rsid w:val="60AC2428"/>
    <w:rsid w:val="60AC7DBB"/>
    <w:rsid w:val="60AD5CAC"/>
    <w:rsid w:val="60AD7EAA"/>
    <w:rsid w:val="60AE14F9"/>
    <w:rsid w:val="60AE592B"/>
    <w:rsid w:val="60AF11AF"/>
    <w:rsid w:val="60AF33AD"/>
    <w:rsid w:val="60B06C30"/>
    <w:rsid w:val="60B146B2"/>
    <w:rsid w:val="60B168B0"/>
    <w:rsid w:val="60B24332"/>
    <w:rsid w:val="60B34B89"/>
    <w:rsid w:val="60B430B8"/>
    <w:rsid w:val="60B45728"/>
    <w:rsid w:val="60B46AA4"/>
    <w:rsid w:val="60B665BB"/>
    <w:rsid w:val="60B707B9"/>
    <w:rsid w:val="60B7403D"/>
    <w:rsid w:val="60B7783F"/>
    <w:rsid w:val="60B81ABE"/>
    <w:rsid w:val="60B87BDB"/>
    <w:rsid w:val="60B90039"/>
    <w:rsid w:val="60B97540"/>
    <w:rsid w:val="60BA173E"/>
    <w:rsid w:val="60BA4FC1"/>
    <w:rsid w:val="60BC04C4"/>
    <w:rsid w:val="60BC4C41"/>
    <w:rsid w:val="60BD26C3"/>
    <w:rsid w:val="60BE0144"/>
    <w:rsid w:val="60BE39C7"/>
    <w:rsid w:val="60BF1449"/>
    <w:rsid w:val="60C03647"/>
    <w:rsid w:val="60C06ECB"/>
    <w:rsid w:val="60C1494C"/>
    <w:rsid w:val="60C223CE"/>
    <w:rsid w:val="60C26B4A"/>
    <w:rsid w:val="60C30678"/>
    <w:rsid w:val="60C45483"/>
    <w:rsid w:val="60C45B59"/>
    <w:rsid w:val="60C55551"/>
    <w:rsid w:val="60C60DD4"/>
    <w:rsid w:val="60C625CB"/>
    <w:rsid w:val="60C62FD2"/>
    <w:rsid w:val="60C70A54"/>
    <w:rsid w:val="60C76855"/>
    <w:rsid w:val="60C864D5"/>
    <w:rsid w:val="60C93F57"/>
    <w:rsid w:val="60CA19D8"/>
    <w:rsid w:val="60CA77DA"/>
    <w:rsid w:val="60CC075F"/>
    <w:rsid w:val="60CC2CDD"/>
    <w:rsid w:val="60CC405A"/>
    <w:rsid w:val="60CC7399"/>
    <w:rsid w:val="60CD295D"/>
    <w:rsid w:val="60CD61E0"/>
    <w:rsid w:val="60CE3C62"/>
    <w:rsid w:val="60CE4C92"/>
    <w:rsid w:val="60CF16E3"/>
    <w:rsid w:val="60D07165"/>
    <w:rsid w:val="60D11363"/>
    <w:rsid w:val="60D14BE6"/>
    <w:rsid w:val="60D235C8"/>
    <w:rsid w:val="60D26DE5"/>
    <w:rsid w:val="60D34866"/>
    <w:rsid w:val="60D373D4"/>
    <w:rsid w:val="60D37589"/>
    <w:rsid w:val="60D37AAA"/>
    <w:rsid w:val="60D45B6B"/>
    <w:rsid w:val="60D57D69"/>
    <w:rsid w:val="60D66C58"/>
    <w:rsid w:val="60D7326D"/>
    <w:rsid w:val="60D76AF0"/>
    <w:rsid w:val="60D801D1"/>
    <w:rsid w:val="60D80CEE"/>
    <w:rsid w:val="60D84571"/>
    <w:rsid w:val="60D90D70"/>
    <w:rsid w:val="60D91FF3"/>
    <w:rsid w:val="60D96770"/>
    <w:rsid w:val="60DA190E"/>
    <w:rsid w:val="60DA41F1"/>
    <w:rsid w:val="60DA7A74"/>
    <w:rsid w:val="60DB1C73"/>
    <w:rsid w:val="60DB22E9"/>
    <w:rsid w:val="60DC2F78"/>
    <w:rsid w:val="60DD09F9"/>
    <w:rsid w:val="60DD24CE"/>
    <w:rsid w:val="60DD2BF7"/>
    <w:rsid w:val="60DD3862"/>
    <w:rsid w:val="60DD3A26"/>
    <w:rsid w:val="60DF3EFC"/>
    <w:rsid w:val="60DF4DDA"/>
    <w:rsid w:val="60DF60FA"/>
    <w:rsid w:val="60E0197E"/>
    <w:rsid w:val="60E03B7C"/>
    <w:rsid w:val="60E05979"/>
    <w:rsid w:val="60E05B3D"/>
    <w:rsid w:val="60E16518"/>
    <w:rsid w:val="60E173FF"/>
    <w:rsid w:val="60E24E81"/>
    <w:rsid w:val="60E2707F"/>
    <w:rsid w:val="60E32902"/>
    <w:rsid w:val="60E40384"/>
    <w:rsid w:val="60E42582"/>
    <w:rsid w:val="60E50004"/>
    <w:rsid w:val="60E65A85"/>
    <w:rsid w:val="60E76D8A"/>
    <w:rsid w:val="60E80F88"/>
    <w:rsid w:val="60E8480C"/>
    <w:rsid w:val="60E9485E"/>
    <w:rsid w:val="60EA448B"/>
    <w:rsid w:val="60EA7D0F"/>
    <w:rsid w:val="60EB5C13"/>
    <w:rsid w:val="60EB5DD7"/>
    <w:rsid w:val="60EC3212"/>
    <w:rsid w:val="60EE6715"/>
    <w:rsid w:val="60EE7EEF"/>
    <w:rsid w:val="60EF4197"/>
    <w:rsid w:val="60F03B02"/>
    <w:rsid w:val="60F04023"/>
    <w:rsid w:val="60F11E42"/>
    <w:rsid w:val="60F129E1"/>
    <w:rsid w:val="60F12F0B"/>
    <w:rsid w:val="60F1769A"/>
    <w:rsid w:val="60F2357F"/>
    <w:rsid w:val="60F2511B"/>
    <w:rsid w:val="60F32B9D"/>
    <w:rsid w:val="60F4061E"/>
    <w:rsid w:val="60F60EB1"/>
    <w:rsid w:val="60F63B21"/>
    <w:rsid w:val="60F87024"/>
    <w:rsid w:val="60F875EA"/>
    <w:rsid w:val="60F9034D"/>
    <w:rsid w:val="60F94AA6"/>
    <w:rsid w:val="60FA2528"/>
    <w:rsid w:val="60FB1701"/>
    <w:rsid w:val="60FC34AC"/>
    <w:rsid w:val="60FD0F2E"/>
    <w:rsid w:val="60FE457C"/>
    <w:rsid w:val="60FE69AF"/>
    <w:rsid w:val="60FF4431"/>
    <w:rsid w:val="60FF4F56"/>
    <w:rsid w:val="60FF56E8"/>
    <w:rsid w:val="60FF5C09"/>
    <w:rsid w:val="60FF5DBE"/>
    <w:rsid w:val="61005930"/>
    <w:rsid w:val="61017934"/>
    <w:rsid w:val="61032E37"/>
    <w:rsid w:val="61037A48"/>
    <w:rsid w:val="610405E7"/>
    <w:rsid w:val="6104413C"/>
    <w:rsid w:val="61051185"/>
    <w:rsid w:val="610872BF"/>
    <w:rsid w:val="610905C4"/>
    <w:rsid w:val="610A27C2"/>
    <w:rsid w:val="610A4816"/>
    <w:rsid w:val="610B3AC7"/>
    <w:rsid w:val="610C1548"/>
    <w:rsid w:val="610C1F3F"/>
    <w:rsid w:val="610C5CC5"/>
    <w:rsid w:val="610C6769"/>
    <w:rsid w:val="610D0ABC"/>
    <w:rsid w:val="610D3747"/>
    <w:rsid w:val="610D74CC"/>
    <w:rsid w:val="610E11C8"/>
    <w:rsid w:val="610F0A45"/>
    <w:rsid w:val="610F24CD"/>
    <w:rsid w:val="610F6C4A"/>
    <w:rsid w:val="61111FBE"/>
    <w:rsid w:val="61123452"/>
    <w:rsid w:val="61127BCE"/>
    <w:rsid w:val="61130ED3"/>
    <w:rsid w:val="61135650"/>
    <w:rsid w:val="61140B53"/>
    <w:rsid w:val="611430D1"/>
    <w:rsid w:val="61146955"/>
    <w:rsid w:val="611543D6"/>
    <w:rsid w:val="611565D4"/>
    <w:rsid w:val="61171AD8"/>
    <w:rsid w:val="611778D9"/>
    <w:rsid w:val="61186D8B"/>
    <w:rsid w:val="61187559"/>
    <w:rsid w:val="61190304"/>
    <w:rsid w:val="61191028"/>
    <w:rsid w:val="611A085E"/>
    <w:rsid w:val="611A2A5C"/>
    <w:rsid w:val="611B3299"/>
    <w:rsid w:val="611B62E0"/>
    <w:rsid w:val="611C17E3"/>
    <w:rsid w:val="611C5F5F"/>
    <w:rsid w:val="611D39E1"/>
    <w:rsid w:val="611D6ED8"/>
    <w:rsid w:val="611E1462"/>
    <w:rsid w:val="611E4CE6"/>
    <w:rsid w:val="611F436F"/>
    <w:rsid w:val="611F485D"/>
    <w:rsid w:val="611F6EE4"/>
    <w:rsid w:val="612001E9"/>
    <w:rsid w:val="61204966"/>
    <w:rsid w:val="612158E8"/>
    <w:rsid w:val="61215AAC"/>
    <w:rsid w:val="61215C6A"/>
    <w:rsid w:val="612358EA"/>
    <w:rsid w:val="6124336C"/>
    <w:rsid w:val="61246BEF"/>
    <w:rsid w:val="61250763"/>
    <w:rsid w:val="61254671"/>
    <w:rsid w:val="6126686F"/>
    <w:rsid w:val="61271B17"/>
    <w:rsid w:val="612742F0"/>
    <w:rsid w:val="61281D72"/>
    <w:rsid w:val="61293077"/>
    <w:rsid w:val="61293C2F"/>
    <w:rsid w:val="61296302"/>
    <w:rsid w:val="612A5275"/>
    <w:rsid w:val="612B657A"/>
    <w:rsid w:val="612C0778"/>
    <w:rsid w:val="612C3FFB"/>
    <w:rsid w:val="612D1A7D"/>
    <w:rsid w:val="612D61FA"/>
    <w:rsid w:val="612E7483"/>
    <w:rsid w:val="61302A02"/>
    <w:rsid w:val="61310483"/>
    <w:rsid w:val="61312681"/>
    <w:rsid w:val="61333986"/>
    <w:rsid w:val="61341408"/>
    <w:rsid w:val="613434EE"/>
    <w:rsid w:val="61351088"/>
    <w:rsid w:val="61354C2B"/>
    <w:rsid w:val="6136238C"/>
    <w:rsid w:val="61365606"/>
    <w:rsid w:val="61366B09"/>
    <w:rsid w:val="6137458B"/>
    <w:rsid w:val="613761A4"/>
    <w:rsid w:val="61377E0E"/>
    <w:rsid w:val="6138200C"/>
    <w:rsid w:val="61385890"/>
    <w:rsid w:val="61386D43"/>
    <w:rsid w:val="61396F86"/>
    <w:rsid w:val="6139771D"/>
    <w:rsid w:val="61397A8E"/>
    <w:rsid w:val="613A0D93"/>
    <w:rsid w:val="613A550F"/>
    <w:rsid w:val="613B6814"/>
    <w:rsid w:val="613C0A12"/>
    <w:rsid w:val="613C4296"/>
    <w:rsid w:val="613D1D17"/>
    <w:rsid w:val="613D220F"/>
    <w:rsid w:val="613E2F72"/>
    <w:rsid w:val="613E3F16"/>
    <w:rsid w:val="61402C9C"/>
    <w:rsid w:val="614119B8"/>
    <w:rsid w:val="61414E9A"/>
    <w:rsid w:val="6142291C"/>
    <w:rsid w:val="6142619F"/>
    <w:rsid w:val="61426602"/>
    <w:rsid w:val="6143039D"/>
    <w:rsid w:val="61433C21"/>
    <w:rsid w:val="61436FDD"/>
    <w:rsid w:val="61451322"/>
    <w:rsid w:val="61457124"/>
    <w:rsid w:val="61464BA5"/>
    <w:rsid w:val="61471C93"/>
    <w:rsid w:val="61474825"/>
    <w:rsid w:val="614822A7"/>
    <w:rsid w:val="61495B2A"/>
    <w:rsid w:val="61497D28"/>
    <w:rsid w:val="614A35AB"/>
    <w:rsid w:val="614B102D"/>
    <w:rsid w:val="614B322B"/>
    <w:rsid w:val="614C6AAF"/>
    <w:rsid w:val="614D4530"/>
    <w:rsid w:val="614E7A33"/>
    <w:rsid w:val="614F743B"/>
    <w:rsid w:val="61502F36"/>
    <w:rsid w:val="61511552"/>
    <w:rsid w:val="61526439"/>
    <w:rsid w:val="61533EBB"/>
    <w:rsid w:val="6154193C"/>
    <w:rsid w:val="615458E4"/>
    <w:rsid w:val="61553594"/>
    <w:rsid w:val="615728C1"/>
    <w:rsid w:val="61572C72"/>
    <w:rsid w:val="615A3846"/>
    <w:rsid w:val="615A7899"/>
    <w:rsid w:val="615B0273"/>
    <w:rsid w:val="615B12C7"/>
    <w:rsid w:val="615C6D49"/>
    <w:rsid w:val="615F7CCE"/>
    <w:rsid w:val="6160574F"/>
    <w:rsid w:val="61607F6D"/>
    <w:rsid w:val="61620C52"/>
    <w:rsid w:val="616366D4"/>
    <w:rsid w:val="6163767F"/>
    <w:rsid w:val="61637D56"/>
    <w:rsid w:val="61644155"/>
    <w:rsid w:val="61647159"/>
    <w:rsid w:val="61647314"/>
    <w:rsid w:val="61656047"/>
    <w:rsid w:val="616561FC"/>
    <w:rsid w:val="616563B2"/>
    <w:rsid w:val="61657658"/>
    <w:rsid w:val="6166050D"/>
    <w:rsid w:val="616606D1"/>
    <w:rsid w:val="61671270"/>
    <w:rsid w:val="61692624"/>
    <w:rsid w:val="616A18E2"/>
    <w:rsid w:val="616A3AE0"/>
    <w:rsid w:val="616B3B9D"/>
    <w:rsid w:val="616B7363"/>
    <w:rsid w:val="616C4DE5"/>
    <w:rsid w:val="616D02E8"/>
    <w:rsid w:val="616D2866"/>
    <w:rsid w:val="616D5E79"/>
    <w:rsid w:val="616E5D6A"/>
    <w:rsid w:val="616E6854"/>
    <w:rsid w:val="6171096B"/>
    <w:rsid w:val="6171346B"/>
    <w:rsid w:val="61717698"/>
    <w:rsid w:val="61720EED"/>
    <w:rsid w:val="61724770"/>
    <w:rsid w:val="61742A83"/>
    <w:rsid w:val="61747A77"/>
    <w:rsid w:val="617556F4"/>
    <w:rsid w:val="61763FFC"/>
    <w:rsid w:val="61770BF8"/>
    <w:rsid w:val="617862D8"/>
    <w:rsid w:val="61796113"/>
    <w:rsid w:val="617A62F9"/>
    <w:rsid w:val="617B3D7A"/>
    <w:rsid w:val="617B75FE"/>
    <w:rsid w:val="617D1968"/>
    <w:rsid w:val="617D2B01"/>
    <w:rsid w:val="617D4CFF"/>
    <w:rsid w:val="617E0582"/>
    <w:rsid w:val="617E2507"/>
    <w:rsid w:val="617F6004"/>
    <w:rsid w:val="61804484"/>
    <w:rsid w:val="61813521"/>
    <w:rsid w:val="618136D7"/>
    <w:rsid w:val="61822775"/>
    <w:rsid w:val="61834A0A"/>
    <w:rsid w:val="6184248C"/>
    <w:rsid w:val="6184468A"/>
    <w:rsid w:val="6185210C"/>
    <w:rsid w:val="6185598F"/>
    <w:rsid w:val="61857F0D"/>
    <w:rsid w:val="61870A4A"/>
    <w:rsid w:val="61870E92"/>
    <w:rsid w:val="6187560F"/>
    <w:rsid w:val="61881063"/>
    <w:rsid w:val="618A1E17"/>
    <w:rsid w:val="618A333F"/>
    <w:rsid w:val="618A6593"/>
    <w:rsid w:val="618B7898"/>
    <w:rsid w:val="618C17C7"/>
    <w:rsid w:val="618C1A96"/>
    <w:rsid w:val="618C46F3"/>
    <w:rsid w:val="618C531A"/>
    <w:rsid w:val="618D2D9B"/>
    <w:rsid w:val="618E081D"/>
    <w:rsid w:val="618F629E"/>
    <w:rsid w:val="6190049D"/>
    <w:rsid w:val="61903D20"/>
    <w:rsid w:val="6191435B"/>
    <w:rsid w:val="61914A31"/>
    <w:rsid w:val="61927223"/>
    <w:rsid w:val="61931421"/>
    <w:rsid w:val="619314C1"/>
    <w:rsid w:val="619365A5"/>
    <w:rsid w:val="61941E9B"/>
    <w:rsid w:val="61942060"/>
    <w:rsid w:val="61942726"/>
    <w:rsid w:val="6194526E"/>
    <w:rsid w:val="61954924"/>
    <w:rsid w:val="619736AB"/>
    <w:rsid w:val="61974D16"/>
    <w:rsid w:val="619758A9"/>
    <w:rsid w:val="6198112C"/>
    <w:rsid w:val="61990DAC"/>
    <w:rsid w:val="61996BAE"/>
    <w:rsid w:val="619A462F"/>
    <w:rsid w:val="619C03A7"/>
    <w:rsid w:val="619C1D31"/>
    <w:rsid w:val="619C7B32"/>
    <w:rsid w:val="619D3036"/>
    <w:rsid w:val="619D77B2"/>
    <w:rsid w:val="619E5234"/>
    <w:rsid w:val="619F2CB5"/>
    <w:rsid w:val="619F6539"/>
    <w:rsid w:val="61A02E98"/>
    <w:rsid w:val="61A11A3C"/>
    <w:rsid w:val="61A274BD"/>
    <w:rsid w:val="61A316BC"/>
    <w:rsid w:val="61A34F3F"/>
    <w:rsid w:val="61A3598A"/>
    <w:rsid w:val="61A35B4E"/>
    <w:rsid w:val="61A50442"/>
    <w:rsid w:val="61A54BBF"/>
    <w:rsid w:val="61A65EC3"/>
    <w:rsid w:val="61A67AA2"/>
    <w:rsid w:val="61A85B43"/>
    <w:rsid w:val="61A91D7E"/>
    <w:rsid w:val="61A935C5"/>
    <w:rsid w:val="61A96E48"/>
    <w:rsid w:val="61AA1046"/>
    <w:rsid w:val="61AA48CA"/>
    <w:rsid w:val="61AA5F0C"/>
    <w:rsid w:val="61AC31DA"/>
    <w:rsid w:val="61AC454A"/>
    <w:rsid w:val="61AC7DCD"/>
    <w:rsid w:val="61AE54CE"/>
    <w:rsid w:val="61AE7A4D"/>
    <w:rsid w:val="61AF2F50"/>
    <w:rsid w:val="61AF5FAD"/>
    <w:rsid w:val="61B009D1"/>
    <w:rsid w:val="61B067C2"/>
    <w:rsid w:val="61B067D3"/>
    <w:rsid w:val="61B07526"/>
    <w:rsid w:val="61B14255"/>
    <w:rsid w:val="61B17361"/>
    <w:rsid w:val="61B21CD6"/>
    <w:rsid w:val="61B31956"/>
    <w:rsid w:val="61B37758"/>
    <w:rsid w:val="61B451D9"/>
    <w:rsid w:val="61B529F2"/>
    <w:rsid w:val="61B52C5B"/>
    <w:rsid w:val="61B628DB"/>
    <w:rsid w:val="61B63590"/>
    <w:rsid w:val="61B81661"/>
    <w:rsid w:val="61B84CCE"/>
    <w:rsid w:val="61B970E2"/>
    <w:rsid w:val="61BA4B64"/>
    <w:rsid w:val="61BA6082"/>
    <w:rsid w:val="61BA6246"/>
    <w:rsid w:val="61BD5AE9"/>
    <w:rsid w:val="61BF0FEC"/>
    <w:rsid w:val="61C06A6D"/>
    <w:rsid w:val="61C21F70"/>
    <w:rsid w:val="61C45474"/>
    <w:rsid w:val="61C52EF5"/>
    <w:rsid w:val="61C60977"/>
    <w:rsid w:val="61C763F8"/>
    <w:rsid w:val="61C805F8"/>
    <w:rsid w:val="61C918FB"/>
    <w:rsid w:val="61C97908"/>
    <w:rsid w:val="61CA1B71"/>
    <w:rsid w:val="61CA737D"/>
    <w:rsid w:val="61CB4DFE"/>
    <w:rsid w:val="61CC2880"/>
    <w:rsid w:val="61CC3E4D"/>
    <w:rsid w:val="61D06D08"/>
    <w:rsid w:val="61D14789"/>
    <w:rsid w:val="61D2000C"/>
    <w:rsid w:val="61D27EB7"/>
    <w:rsid w:val="61D30A56"/>
    <w:rsid w:val="61D37C8C"/>
    <w:rsid w:val="61D43510"/>
    <w:rsid w:val="61D50F91"/>
    <w:rsid w:val="61D5318F"/>
    <w:rsid w:val="61D60C11"/>
    <w:rsid w:val="61D66A13"/>
    <w:rsid w:val="61D71F16"/>
    <w:rsid w:val="61D72606"/>
    <w:rsid w:val="61D7370C"/>
    <w:rsid w:val="61D76693"/>
    <w:rsid w:val="61D81393"/>
    <w:rsid w:val="61D87997"/>
    <w:rsid w:val="61D91B96"/>
    <w:rsid w:val="61D95419"/>
    <w:rsid w:val="61DA006A"/>
    <w:rsid w:val="61DA2E9A"/>
    <w:rsid w:val="61DA565F"/>
    <w:rsid w:val="61DB5099"/>
    <w:rsid w:val="61DC2B1A"/>
    <w:rsid w:val="61DC7777"/>
    <w:rsid w:val="61DC793B"/>
    <w:rsid w:val="61DE1631"/>
    <w:rsid w:val="61DE18A1"/>
    <w:rsid w:val="61DF1A53"/>
    <w:rsid w:val="61DF603B"/>
    <w:rsid w:val="61E01520"/>
    <w:rsid w:val="61E04DA4"/>
    <w:rsid w:val="61E12825"/>
    <w:rsid w:val="61E202A7"/>
    <w:rsid w:val="61E215D8"/>
    <w:rsid w:val="61E239A6"/>
    <w:rsid w:val="61E324A5"/>
    <w:rsid w:val="61E47F27"/>
    <w:rsid w:val="61E559A8"/>
    <w:rsid w:val="61E60EAB"/>
    <w:rsid w:val="61E648C2"/>
    <w:rsid w:val="61E66498"/>
    <w:rsid w:val="61E66CAD"/>
    <w:rsid w:val="61E7692D"/>
    <w:rsid w:val="61E77BD5"/>
    <w:rsid w:val="61E805AF"/>
    <w:rsid w:val="61E821B0"/>
    <w:rsid w:val="61E829FD"/>
    <w:rsid w:val="61E843AE"/>
    <w:rsid w:val="61E91E30"/>
    <w:rsid w:val="61E97C32"/>
    <w:rsid w:val="61EA56B3"/>
    <w:rsid w:val="61EB0BE3"/>
    <w:rsid w:val="61EB26C7"/>
    <w:rsid w:val="61EB3135"/>
    <w:rsid w:val="61EB5333"/>
    <w:rsid w:val="61EC0BB6"/>
    <w:rsid w:val="61EC2DB5"/>
    <w:rsid w:val="61ED3E04"/>
    <w:rsid w:val="61ED6638"/>
    <w:rsid w:val="61EE62B8"/>
    <w:rsid w:val="61EF3D39"/>
    <w:rsid w:val="61EF537D"/>
    <w:rsid w:val="61EF75BD"/>
    <w:rsid w:val="61F05D57"/>
    <w:rsid w:val="61F05F1C"/>
    <w:rsid w:val="61F12AC0"/>
    <w:rsid w:val="61F168F6"/>
    <w:rsid w:val="61F20541"/>
    <w:rsid w:val="61F2494A"/>
    <w:rsid w:val="61F24CBE"/>
    <w:rsid w:val="61F30033"/>
    <w:rsid w:val="61F3273F"/>
    <w:rsid w:val="61F35FC3"/>
    <w:rsid w:val="61F37E6F"/>
    <w:rsid w:val="61F401C1"/>
    <w:rsid w:val="61F515AC"/>
    <w:rsid w:val="61F51F86"/>
    <w:rsid w:val="61F55C43"/>
    <w:rsid w:val="61F636C4"/>
    <w:rsid w:val="61F749C9"/>
    <w:rsid w:val="61F8244A"/>
    <w:rsid w:val="61F86BC7"/>
    <w:rsid w:val="61F94649"/>
    <w:rsid w:val="61FA20CA"/>
    <w:rsid w:val="61FA594E"/>
    <w:rsid w:val="61FB637A"/>
    <w:rsid w:val="61FB7B4C"/>
    <w:rsid w:val="61FC0E51"/>
    <w:rsid w:val="61FE26C5"/>
    <w:rsid w:val="61FF1DD5"/>
    <w:rsid w:val="61FF3FD4"/>
    <w:rsid w:val="62001846"/>
    <w:rsid w:val="62001A55"/>
    <w:rsid w:val="620152D8"/>
    <w:rsid w:val="620177F7"/>
    <w:rsid w:val="62022D5A"/>
    <w:rsid w:val="62024F58"/>
    <w:rsid w:val="620307DC"/>
    <w:rsid w:val="620344FC"/>
    <w:rsid w:val="6204045B"/>
    <w:rsid w:val="62044ED6"/>
    <w:rsid w:val="6204509B"/>
    <w:rsid w:val="6204625D"/>
    <w:rsid w:val="62053CDF"/>
    <w:rsid w:val="62055C39"/>
    <w:rsid w:val="62055EDD"/>
    <w:rsid w:val="62061760"/>
    <w:rsid w:val="62066613"/>
    <w:rsid w:val="620671E2"/>
    <w:rsid w:val="620678C3"/>
    <w:rsid w:val="620826E5"/>
    <w:rsid w:val="62086E62"/>
    <w:rsid w:val="62090166"/>
    <w:rsid w:val="6209072B"/>
    <w:rsid w:val="620948E3"/>
    <w:rsid w:val="620A2365"/>
    <w:rsid w:val="620B3669"/>
    <w:rsid w:val="620B7DE6"/>
    <w:rsid w:val="620C10EB"/>
    <w:rsid w:val="620D33E1"/>
    <w:rsid w:val="620D6B6D"/>
    <w:rsid w:val="620E45EE"/>
    <w:rsid w:val="620F2070"/>
    <w:rsid w:val="6210426E"/>
    <w:rsid w:val="62107AF1"/>
    <w:rsid w:val="62110259"/>
    <w:rsid w:val="62122FF4"/>
    <w:rsid w:val="62123983"/>
    <w:rsid w:val="6212744C"/>
    <w:rsid w:val="62127610"/>
    <w:rsid w:val="62127771"/>
    <w:rsid w:val="62130A76"/>
    <w:rsid w:val="621326B5"/>
    <w:rsid w:val="621351F3"/>
    <w:rsid w:val="62141753"/>
    <w:rsid w:val="62141C74"/>
    <w:rsid w:val="621464F7"/>
    <w:rsid w:val="62147C2E"/>
    <w:rsid w:val="62153F79"/>
    <w:rsid w:val="621619FB"/>
    <w:rsid w:val="62161F3E"/>
    <w:rsid w:val="62166177"/>
    <w:rsid w:val="6217167A"/>
    <w:rsid w:val="62172ADC"/>
    <w:rsid w:val="6217747C"/>
    <w:rsid w:val="6219297F"/>
    <w:rsid w:val="62194B7D"/>
    <w:rsid w:val="621B3775"/>
    <w:rsid w:val="621B5E82"/>
    <w:rsid w:val="621D1385"/>
    <w:rsid w:val="621D6D0B"/>
    <w:rsid w:val="621E78AA"/>
    <w:rsid w:val="621F230A"/>
    <w:rsid w:val="6221580D"/>
    <w:rsid w:val="6222328F"/>
    <w:rsid w:val="62223BC5"/>
    <w:rsid w:val="62224971"/>
    <w:rsid w:val="62254213"/>
    <w:rsid w:val="62292C19"/>
    <w:rsid w:val="622A06E2"/>
    <w:rsid w:val="622B1E20"/>
    <w:rsid w:val="622D1620"/>
    <w:rsid w:val="622E3F37"/>
    <w:rsid w:val="622F4B23"/>
    <w:rsid w:val="622F79DB"/>
    <w:rsid w:val="623054B0"/>
    <w:rsid w:val="62310026"/>
    <w:rsid w:val="62340FAB"/>
    <w:rsid w:val="623616DF"/>
    <w:rsid w:val="623644AE"/>
    <w:rsid w:val="62364782"/>
    <w:rsid w:val="623757B2"/>
    <w:rsid w:val="62383234"/>
    <w:rsid w:val="62385432"/>
    <w:rsid w:val="62392EB4"/>
    <w:rsid w:val="623941D1"/>
    <w:rsid w:val="623A0935"/>
    <w:rsid w:val="623A6737"/>
    <w:rsid w:val="623C3E38"/>
    <w:rsid w:val="623C6124"/>
    <w:rsid w:val="623D18BA"/>
    <w:rsid w:val="623D6E87"/>
    <w:rsid w:val="623D76BC"/>
    <w:rsid w:val="623E513D"/>
    <w:rsid w:val="623F0400"/>
    <w:rsid w:val="623F0640"/>
    <w:rsid w:val="623F2BBF"/>
    <w:rsid w:val="624060C2"/>
    <w:rsid w:val="624102C0"/>
    <w:rsid w:val="624215C5"/>
    <w:rsid w:val="624330B6"/>
    <w:rsid w:val="624337C3"/>
    <w:rsid w:val="62436032"/>
    <w:rsid w:val="62437047"/>
    <w:rsid w:val="624438CC"/>
    <w:rsid w:val="62444AC8"/>
    <w:rsid w:val="6245446B"/>
    <w:rsid w:val="62464748"/>
    <w:rsid w:val="62465009"/>
    <w:rsid w:val="624759E4"/>
    <w:rsid w:val="62475A4D"/>
    <w:rsid w:val="62475BA8"/>
    <w:rsid w:val="6247665C"/>
    <w:rsid w:val="624834CE"/>
    <w:rsid w:val="62487C4B"/>
    <w:rsid w:val="624956CD"/>
    <w:rsid w:val="624A314E"/>
    <w:rsid w:val="624B0BD0"/>
    <w:rsid w:val="624C1ED5"/>
    <w:rsid w:val="624C6651"/>
    <w:rsid w:val="624D2976"/>
    <w:rsid w:val="624D3D9E"/>
    <w:rsid w:val="624E1B54"/>
    <w:rsid w:val="624E770C"/>
    <w:rsid w:val="624F2E59"/>
    <w:rsid w:val="624F3EEF"/>
    <w:rsid w:val="624F5057"/>
    <w:rsid w:val="62502AD9"/>
    <w:rsid w:val="62525E42"/>
    <w:rsid w:val="62525FDC"/>
    <w:rsid w:val="625414DF"/>
    <w:rsid w:val="62550AF8"/>
    <w:rsid w:val="62554D62"/>
    <w:rsid w:val="62556F61"/>
    <w:rsid w:val="62561697"/>
    <w:rsid w:val="625627E4"/>
    <w:rsid w:val="625649E2"/>
    <w:rsid w:val="62572071"/>
    <w:rsid w:val="62582C10"/>
    <w:rsid w:val="62583769"/>
    <w:rsid w:val="625935EA"/>
    <w:rsid w:val="625A33E9"/>
    <w:rsid w:val="625A6C6C"/>
    <w:rsid w:val="625B0E6A"/>
    <w:rsid w:val="625C216F"/>
    <w:rsid w:val="625C5EA4"/>
    <w:rsid w:val="625D7BF0"/>
    <w:rsid w:val="625E1DEF"/>
    <w:rsid w:val="625E3532"/>
    <w:rsid w:val="625E5672"/>
    <w:rsid w:val="625E6C7A"/>
    <w:rsid w:val="625F7870"/>
    <w:rsid w:val="62600B75"/>
    <w:rsid w:val="626052F2"/>
    <w:rsid w:val="62610F56"/>
    <w:rsid w:val="62612D73"/>
    <w:rsid w:val="626207F5"/>
    <w:rsid w:val="62631AFA"/>
    <w:rsid w:val="626324CF"/>
    <w:rsid w:val="6263306E"/>
    <w:rsid w:val="62636276"/>
    <w:rsid w:val="62643CF8"/>
    <w:rsid w:val="62654FFD"/>
    <w:rsid w:val="62662A7E"/>
    <w:rsid w:val="626671FB"/>
    <w:rsid w:val="62670500"/>
    <w:rsid w:val="62674C7D"/>
    <w:rsid w:val="62680180"/>
    <w:rsid w:val="62685F81"/>
    <w:rsid w:val="6269729D"/>
    <w:rsid w:val="626A0161"/>
    <w:rsid w:val="626A09ED"/>
    <w:rsid w:val="626A1485"/>
    <w:rsid w:val="626B1104"/>
    <w:rsid w:val="626B73B4"/>
    <w:rsid w:val="626C11F0"/>
    <w:rsid w:val="626C4988"/>
    <w:rsid w:val="626D1D8F"/>
    <w:rsid w:val="626D2409"/>
    <w:rsid w:val="626D4608"/>
    <w:rsid w:val="626E2769"/>
    <w:rsid w:val="626E7E8B"/>
    <w:rsid w:val="626F3307"/>
    <w:rsid w:val="626F338E"/>
    <w:rsid w:val="626F619A"/>
    <w:rsid w:val="62700E0F"/>
    <w:rsid w:val="62704A45"/>
    <w:rsid w:val="6270558C"/>
    <w:rsid w:val="6271300E"/>
    <w:rsid w:val="62716891"/>
    <w:rsid w:val="62720A8F"/>
    <w:rsid w:val="62731D94"/>
    <w:rsid w:val="62736511"/>
    <w:rsid w:val="62736998"/>
    <w:rsid w:val="62743F92"/>
    <w:rsid w:val="62762D19"/>
    <w:rsid w:val="62767495"/>
    <w:rsid w:val="6277079A"/>
    <w:rsid w:val="62774F17"/>
    <w:rsid w:val="62782028"/>
    <w:rsid w:val="627831CA"/>
    <w:rsid w:val="62783C0B"/>
    <w:rsid w:val="6279041A"/>
    <w:rsid w:val="62791EFC"/>
    <w:rsid w:val="6279293E"/>
    <w:rsid w:val="62792AF3"/>
    <w:rsid w:val="627A5E9C"/>
    <w:rsid w:val="627B391D"/>
    <w:rsid w:val="627B4304"/>
    <w:rsid w:val="627B71A0"/>
    <w:rsid w:val="627C4C22"/>
    <w:rsid w:val="627D26A4"/>
    <w:rsid w:val="627D56B9"/>
    <w:rsid w:val="627D641C"/>
    <w:rsid w:val="627E48A2"/>
    <w:rsid w:val="627F6C32"/>
    <w:rsid w:val="627F7995"/>
    <w:rsid w:val="6280036F"/>
    <w:rsid w:val="62803628"/>
    <w:rsid w:val="62810D49"/>
    <w:rsid w:val="628132A8"/>
    <w:rsid w:val="62826B2B"/>
    <w:rsid w:val="628345AD"/>
    <w:rsid w:val="6284202E"/>
    <w:rsid w:val="62857AB0"/>
    <w:rsid w:val="62865532"/>
    <w:rsid w:val="62870A35"/>
    <w:rsid w:val="62871484"/>
    <w:rsid w:val="62874F65"/>
    <w:rsid w:val="62885B17"/>
    <w:rsid w:val="62893F38"/>
    <w:rsid w:val="628A19B9"/>
    <w:rsid w:val="628B743B"/>
    <w:rsid w:val="628C07CD"/>
    <w:rsid w:val="628C136C"/>
    <w:rsid w:val="628C4EBC"/>
    <w:rsid w:val="628F5E41"/>
    <w:rsid w:val="629038C3"/>
    <w:rsid w:val="62911344"/>
    <w:rsid w:val="62926DC6"/>
    <w:rsid w:val="62934847"/>
    <w:rsid w:val="62935F75"/>
    <w:rsid w:val="629422C9"/>
    <w:rsid w:val="62946B14"/>
    <w:rsid w:val="629578F8"/>
    <w:rsid w:val="62957D4A"/>
    <w:rsid w:val="629673D7"/>
    <w:rsid w:val="62975F54"/>
    <w:rsid w:val="62980CCF"/>
    <w:rsid w:val="62981606"/>
    <w:rsid w:val="629921A4"/>
    <w:rsid w:val="62996751"/>
    <w:rsid w:val="629A41D2"/>
    <w:rsid w:val="629B40F7"/>
    <w:rsid w:val="629D09DA"/>
    <w:rsid w:val="629E63D3"/>
    <w:rsid w:val="62A03B5D"/>
    <w:rsid w:val="62A07788"/>
    <w:rsid w:val="62A0794C"/>
    <w:rsid w:val="62A115DE"/>
    <w:rsid w:val="62A173E0"/>
    <w:rsid w:val="62A20EC5"/>
    <w:rsid w:val="62A328E3"/>
    <w:rsid w:val="62A32E82"/>
    <w:rsid w:val="62A514DE"/>
    <w:rsid w:val="62A52FDD"/>
    <w:rsid w:val="62A57FE5"/>
    <w:rsid w:val="62A63868"/>
    <w:rsid w:val="62A6471A"/>
    <w:rsid w:val="62A65A66"/>
    <w:rsid w:val="62A847ED"/>
    <w:rsid w:val="62A84F30"/>
    <w:rsid w:val="62A85ACE"/>
    <w:rsid w:val="62A86D6B"/>
    <w:rsid w:val="62A9226E"/>
    <w:rsid w:val="62A969EB"/>
    <w:rsid w:val="62AA446C"/>
    <w:rsid w:val="62AB1EEE"/>
    <w:rsid w:val="62AB5771"/>
    <w:rsid w:val="62AB7BE6"/>
    <w:rsid w:val="62AC31F3"/>
    <w:rsid w:val="62AC7970"/>
    <w:rsid w:val="62AD1323"/>
    <w:rsid w:val="62B13DF7"/>
    <w:rsid w:val="62B21879"/>
    <w:rsid w:val="62B227ED"/>
    <w:rsid w:val="62B32B7E"/>
    <w:rsid w:val="62B405FF"/>
    <w:rsid w:val="62B430C4"/>
    <w:rsid w:val="62B44D7C"/>
    <w:rsid w:val="62B527FD"/>
    <w:rsid w:val="62B56081"/>
    <w:rsid w:val="62B56907"/>
    <w:rsid w:val="62B6027F"/>
    <w:rsid w:val="62B63B02"/>
    <w:rsid w:val="62B71584"/>
    <w:rsid w:val="62B75D01"/>
    <w:rsid w:val="62B81204"/>
    <w:rsid w:val="62B83782"/>
    <w:rsid w:val="62B96C85"/>
    <w:rsid w:val="62BB487B"/>
    <w:rsid w:val="62BB7F8A"/>
    <w:rsid w:val="62BC5A0C"/>
    <w:rsid w:val="62BD1AC6"/>
    <w:rsid w:val="62BD348D"/>
    <w:rsid w:val="62BD4E12"/>
    <w:rsid w:val="62BE310D"/>
    <w:rsid w:val="62BE57EC"/>
    <w:rsid w:val="62BF0B8F"/>
    <w:rsid w:val="62C01E93"/>
    <w:rsid w:val="62C04412"/>
    <w:rsid w:val="62C06610"/>
    <w:rsid w:val="62C14092"/>
    <w:rsid w:val="62C25DC1"/>
    <w:rsid w:val="62C32E18"/>
    <w:rsid w:val="62C4089A"/>
    <w:rsid w:val="62C52A98"/>
    <w:rsid w:val="62C7450D"/>
    <w:rsid w:val="62C75F9B"/>
    <w:rsid w:val="62C872A0"/>
    <w:rsid w:val="62C94D21"/>
    <w:rsid w:val="62C95A86"/>
    <w:rsid w:val="62CA27A3"/>
    <w:rsid w:val="62CA6F20"/>
    <w:rsid w:val="62CA7B03"/>
    <w:rsid w:val="62CB49A1"/>
    <w:rsid w:val="62CB74E3"/>
    <w:rsid w:val="62CC5CA6"/>
    <w:rsid w:val="62CD7EA4"/>
    <w:rsid w:val="62CE1116"/>
    <w:rsid w:val="62CE11A9"/>
    <w:rsid w:val="62CE5926"/>
    <w:rsid w:val="62CF33A7"/>
    <w:rsid w:val="62D033F2"/>
    <w:rsid w:val="62D046AC"/>
    <w:rsid w:val="62D068AA"/>
    <w:rsid w:val="62D1212E"/>
    <w:rsid w:val="62D17EC8"/>
    <w:rsid w:val="62D21DAE"/>
    <w:rsid w:val="62D27BAF"/>
    <w:rsid w:val="62D35631"/>
    <w:rsid w:val="62D3782F"/>
    <w:rsid w:val="62D430B2"/>
    <w:rsid w:val="62D452B1"/>
    <w:rsid w:val="62D460A8"/>
    <w:rsid w:val="62D50B34"/>
    <w:rsid w:val="62D665B5"/>
    <w:rsid w:val="62D6745D"/>
    <w:rsid w:val="62D76235"/>
    <w:rsid w:val="62D77FFB"/>
    <w:rsid w:val="62D81AB9"/>
    <w:rsid w:val="62D91738"/>
    <w:rsid w:val="62D94FBC"/>
    <w:rsid w:val="62DA2A3D"/>
    <w:rsid w:val="62DA71BA"/>
    <w:rsid w:val="62DC26BD"/>
    <w:rsid w:val="62DC368C"/>
    <w:rsid w:val="62DD013F"/>
    <w:rsid w:val="62DE3608"/>
    <w:rsid w:val="62DE4C05"/>
    <w:rsid w:val="62DE5BC0"/>
    <w:rsid w:val="62DF24F0"/>
    <w:rsid w:val="62DF57A3"/>
    <w:rsid w:val="62DF6342"/>
    <w:rsid w:val="62E010C3"/>
    <w:rsid w:val="62E018F9"/>
    <w:rsid w:val="62E123C8"/>
    <w:rsid w:val="62E16B45"/>
    <w:rsid w:val="62E22F16"/>
    <w:rsid w:val="62E245C6"/>
    <w:rsid w:val="62E273EF"/>
    <w:rsid w:val="62E27E4A"/>
    <w:rsid w:val="62E32048"/>
    <w:rsid w:val="62E358CB"/>
    <w:rsid w:val="62E47AC9"/>
    <w:rsid w:val="62E50DCE"/>
    <w:rsid w:val="62E5554B"/>
    <w:rsid w:val="62E62FCC"/>
    <w:rsid w:val="62E63110"/>
    <w:rsid w:val="62E70A4E"/>
    <w:rsid w:val="62E73AEA"/>
    <w:rsid w:val="62E742D1"/>
    <w:rsid w:val="62E83F51"/>
    <w:rsid w:val="62E864D0"/>
    <w:rsid w:val="62EB4F4D"/>
    <w:rsid w:val="62EC0759"/>
    <w:rsid w:val="62ED61DB"/>
    <w:rsid w:val="62EE3C5C"/>
    <w:rsid w:val="62EE3D6A"/>
    <w:rsid w:val="62EF16DE"/>
    <w:rsid w:val="62EF1C6C"/>
    <w:rsid w:val="62EF1E31"/>
    <w:rsid w:val="62F04BE1"/>
    <w:rsid w:val="62F35B65"/>
    <w:rsid w:val="62F51069"/>
    <w:rsid w:val="62F66AEA"/>
    <w:rsid w:val="62F7456C"/>
    <w:rsid w:val="62FA228F"/>
    <w:rsid w:val="62FA54F0"/>
    <w:rsid w:val="62FB2C69"/>
    <w:rsid w:val="62FB2F72"/>
    <w:rsid w:val="62FC713F"/>
    <w:rsid w:val="62FC79CB"/>
    <w:rsid w:val="62FD41E2"/>
    <w:rsid w:val="62FD43A6"/>
    <w:rsid w:val="62FD472A"/>
    <w:rsid w:val="62FD6475"/>
    <w:rsid w:val="62FE3EF7"/>
    <w:rsid w:val="62FF575B"/>
    <w:rsid w:val="62FF591F"/>
    <w:rsid w:val="63014E7B"/>
    <w:rsid w:val="630228FD"/>
    <w:rsid w:val="63027872"/>
    <w:rsid w:val="6303037E"/>
    <w:rsid w:val="63040DEB"/>
    <w:rsid w:val="63041683"/>
    <w:rsid w:val="63055B75"/>
    <w:rsid w:val="63057105"/>
    <w:rsid w:val="63061303"/>
    <w:rsid w:val="63064B86"/>
    <w:rsid w:val="63076D84"/>
    <w:rsid w:val="63080089"/>
    <w:rsid w:val="63082288"/>
    <w:rsid w:val="63095B0B"/>
    <w:rsid w:val="63097D09"/>
    <w:rsid w:val="63097EDB"/>
    <w:rsid w:val="630B320C"/>
    <w:rsid w:val="630B6758"/>
    <w:rsid w:val="630C0804"/>
    <w:rsid w:val="630C0C8E"/>
    <w:rsid w:val="630C6A8F"/>
    <w:rsid w:val="630C7063"/>
    <w:rsid w:val="630C72F6"/>
    <w:rsid w:val="630D3D17"/>
    <w:rsid w:val="630D7CD1"/>
    <w:rsid w:val="630E1F93"/>
    <w:rsid w:val="630E4191"/>
    <w:rsid w:val="630F1C12"/>
    <w:rsid w:val="63102F17"/>
    <w:rsid w:val="63107694"/>
    <w:rsid w:val="63122B97"/>
    <w:rsid w:val="63133E9C"/>
    <w:rsid w:val="6314191D"/>
    <w:rsid w:val="6314609A"/>
    <w:rsid w:val="63153B1C"/>
    <w:rsid w:val="6315739F"/>
    <w:rsid w:val="6316159D"/>
    <w:rsid w:val="631728A2"/>
    <w:rsid w:val="63190CCD"/>
    <w:rsid w:val="63192522"/>
    <w:rsid w:val="63195DA5"/>
    <w:rsid w:val="631A352E"/>
    <w:rsid w:val="631B12A8"/>
    <w:rsid w:val="631C34A7"/>
    <w:rsid w:val="631C4126"/>
    <w:rsid w:val="631C6D2A"/>
    <w:rsid w:val="631D47AB"/>
    <w:rsid w:val="631D6B7A"/>
    <w:rsid w:val="631E69AA"/>
    <w:rsid w:val="631F7CAE"/>
    <w:rsid w:val="63203B83"/>
    <w:rsid w:val="63205712"/>
    <w:rsid w:val="632153B0"/>
    <w:rsid w:val="632308B3"/>
    <w:rsid w:val="632366B5"/>
    <w:rsid w:val="632403C9"/>
    <w:rsid w:val="63244136"/>
    <w:rsid w:val="63251BB8"/>
    <w:rsid w:val="63253DB6"/>
    <w:rsid w:val="63261838"/>
    <w:rsid w:val="632624E0"/>
    <w:rsid w:val="63267639"/>
    <w:rsid w:val="632750BB"/>
    <w:rsid w:val="632772B9"/>
    <w:rsid w:val="63282B3C"/>
    <w:rsid w:val="632857BE"/>
    <w:rsid w:val="63295453"/>
    <w:rsid w:val="632A023E"/>
    <w:rsid w:val="632A3AC1"/>
    <w:rsid w:val="632A4FD2"/>
    <w:rsid w:val="632B1543"/>
    <w:rsid w:val="632B5CBF"/>
    <w:rsid w:val="632B5D35"/>
    <w:rsid w:val="632E24C7"/>
    <w:rsid w:val="632E6C44"/>
    <w:rsid w:val="632F0827"/>
    <w:rsid w:val="63302147"/>
    <w:rsid w:val="633059CA"/>
    <w:rsid w:val="6331344C"/>
    <w:rsid w:val="63317BC9"/>
    <w:rsid w:val="63320ECD"/>
    <w:rsid w:val="6332564A"/>
    <w:rsid w:val="633330CC"/>
    <w:rsid w:val="6333694F"/>
    <w:rsid w:val="63340B4D"/>
    <w:rsid w:val="63351269"/>
    <w:rsid w:val="63351E52"/>
    <w:rsid w:val="633565CF"/>
    <w:rsid w:val="633659F6"/>
    <w:rsid w:val="63365FCF"/>
    <w:rsid w:val="63371AD2"/>
    <w:rsid w:val="63375355"/>
    <w:rsid w:val="633778C5"/>
    <w:rsid w:val="63382DD7"/>
    <w:rsid w:val="63387553"/>
    <w:rsid w:val="63392A57"/>
    <w:rsid w:val="633A04D8"/>
    <w:rsid w:val="633C17DD"/>
    <w:rsid w:val="633C39DB"/>
    <w:rsid w:val="633D2D9C"/>
    <w:rsid w:val="633D725E"/>
    <w:rsid w:val="633F4960"/>
    <w:rsid w:val="634001E3"/>
    <w:rsid w:val="634136E6"/>
    <w:rsid w:val="63415C65"/>
    <w:rsid w:val="63417E63"/>
    <w:rsid w:val="63421168"/>
    <w:rsid w:val="634258E5"/>
    <w:rsid w:val="63433F66"/>
    <w:rsid w:val="6343463D"/>
    <w:rsid w:val="63436BE9"/>
    <w:rsid w:val="63440DE8"/>
    <w:rsid w:val="6344336F"/>
    <w:rsid w:val="63456869"/>
    <w:rsid w:val="634642EB"/>
    <w:rsid w:val="63472497"/>
    <w:rsid w:val="634877EE"/>
    <w:rsid w:val="634A6574"/>
    <w:rsid w:val="634B3FF6"/>
    <w:rsid w:val="634C5B28"/>
    <w:rsid w:val="634C61F4"/>
    <w:rsid w:val="634C688B"/>
    <w:rsid w:val="634D3C76"/>
    <w:rsid w:val="634E16F7"/>
    <w:rsid w:val="634E4F7A"/>
    <w:rsid w:val="634F7179"/>
    <w:rsid w:val="63511D57"/>
    <w:rsid w:val="63515EFF"/>
    <w:rsid w:val="63516C64"/>
    <w:rsid w:val="63523981"/>
    <w:rsid w:val="63531402"/>
    <w:rsid w:val="63534F55"/>
    <w:rsid w:val="63535997"/>
    <w:rsid w:val="63544033"/>
    <w:rsid w:val="63546E84"/>
    <w:rsid w:val="63554905"/>
    <w:rsid w:val="63554A0D"/>
    <w:rsid w:val="63562387"/>
    <w:rsid w:val="635653E7"/>
    <w:rsid w:val="6357614B"/>
    <w:rsid w:val="6358588A"/>
    <w:rsid w:val="63586B25"/>
    <w:rsid w:val="63590D8D"/>
    <w:rsid w:val="635976C3"/>
    <w:rsid w:val="635A2216"/>
    <w:rsid w:val="635A680F"/>
    <w:rsid w:val="635B1617"/>
    <w:rsid w:val="635B4290"/>
    <w:rsid w:val="635D095A"/>
    <w:rsid w:val="635D7793"/>
    <w:rsid w:val="635E5215"/>
    <w:rsid w:val="635F2C96"/>
    <w:rsid w:val="635F42CD"/>
    <w:rsid w:val="63600718"/>
    <w:rsid w:val="63615A0A"/>
    <w:rsid w:val="63636DBE"/>
    <w:rsid w:val="63636F83"/>
    <w:rsid w:val="636504FC"/>
    <w:rsid w:val="63660ED6"/>
    <w:rsid w:val="63662621"/>
    <w:rsid w:val="636700A3"/>
    <w:rsid w:val="636813A7"/>
    <w:rsid w:val="63682212"/>
    <w:rsid w:val="63685B24"/>
    <w:rsid w:val="636935A6"/>
    <w:rsid w:val="63696E29"/>
    <w:rsid w:val="636A48AB"/>
    <w:rsid w:val="636B232C"/>
    <w:rsid w:val="636B5105"/>
    <w:rsid w:val="636B6AA9"/>
    <w:rsid w:val="636C7DAE"/>
    <w:rsid w:val="636D582F"/>
    <w:rsid w:val="636D667E"/>
    <w:rsid w:val="636E32B1"/>
    <w:rsid w:val="636F0D32"/>
    <w:rsid w:val="636F2951"/>
    <w:rsid w:val="6370095A"/>
    <w:rsid w:val="63702430"/>
    <w:rsid w:val="637067B4"/>
    <w:rsid w:val="63710C42"/>
    <w:rsid w:val="63716434"/>
    <w:rsid w:val="63721CB7"/>
    <w:rsid w:val="63732A72"/>
    <w:rsid w:val="63735576"/>
    <w:rsid w:val="6374344C"/>
    <w:rsid w:val="63754E3A"/>
    <w:rsid w:val="637606BD"/>
    <w:rsid w:val="637628BB"/>
    <w:rsid w:val="63765563"/>
    <w:rsid w:val="6377033D"/>
    <w:rsid w:val="63791642"/>
    <w:rsid w:val="637A12C2"/>
    <w:rsid w:val="637B25C6"/>
    <w:rsid w:val="637C15CE"/>
    <w:rsid w:val="637C47C5"/>
    <w:rsid w:val="637D216D"/>
    <w:rsid w:val="637D7527"/>
    <w:rsid w:val="637E7CC8"/>
    <w:rsid w:val="637F0FCD"/>
    <w:rsid w:val="637F1640"/>
    <w:rsid w:val="637F3CAB"/>
    <w:rsid w:val="637F5749"/>
    <w:rsid w:val="638031CB"/>
    <w:rsid w:val="63803269"/>
    <w:rsid w:val="63806A4E"/>
    <w:rsid w:val="63810C4D"/>
    <w:rsid w:val="63822A9F"/>
    <w:rsid w:val="638259C1"/>
    <w:rsid w:val="638266CE"/>
    <w:rsid w:val="63836F3A"/>
    <w:rsid w:val="638379D3"/>
    <w:rsid w:val="63841BD1"/>
    <w:rsid w:val="63847AD9"/>
    <w:rsid w:val="63852ED6"/>
    <w:rsid w:val="63857653"/>
    <w:rsid w:val="63861052"/>
    <w:rsid w:val="638650D4"/>
    <w:rsid w:val="63871A2C"/>
    <w:rsid w:val="638763D9"/>
    <w:rsid w:val="63883E5B"/>
    <w:rsid w:val="638900D7"/>
    <w:rsid w:val="638918DC"/>
    <w:rsid w:val="63896059"/>
    <w:rsid w:val="638A735E"/>
    <w:rsid w:val="638B4DDF"/>
    <w:rsid w:val="638B6FDE"/>
    <w:rsid w:val="638C0197"/>
    <w:rsid w:val="638C2861"/>
    <w:rsid w:val="638C4A5F"/>
    <w:rsid w:val="638D7235"/>
    <w:rsid w:val="638E5BFC"/>
    <w:rsid w:val="638E5D64"/>
    <w:rsid w:val="638E6635"/>
    <w:rsid w:val="638F37E5"/>
    <w:rsid w:val="638F59E4"/>
    <w:rsid w:val="63903465"/>
    <w:rsid w:val="63907D73"/>
    <w:rsid w:val="63910911"/>
    <w:rsid w:val="639112EC"/>
    <w:rsid w:val="639343EA"/>
    <w:rsid w:val="6394356A"/>
    <w:rsid w:val="639456EF"/>
    <w:rsid w:val="63953170"/>
    <w:rsid w:val="639578ED"/>
    <w:rsid w:val="63960BF2"/>
    <w:rsid w:val="63976673"/>
    <w:rsid w:val="639840F5"/>
    <w:rsid w:val="63991B77"/>
    <w:rsid w:val="639A75F8"/>
    <w:rsid w:val="639A7632"/>
    <w:rsid w:val="639B16A7"/>
    <w:rsid w:val="639B17F6"/>
    <w:rsid w:val="639C0AAF"/>
    <w:rsid w:val="639C2AFB"/>
    <w:rsid w:val="639D057D"/>
    <w:rsid w:val="639D4CF9"/>
    <w:rsid w:val="639D7B4D"/>
    <w:rsid w:val="639E277B"/>
    <w:rsid w:val="639E5FFE"/>
    <w:rsid w:val="639F01FD"/>
    <w:rsid w:val="639F3A80"/>
    <w:rsid w:val="639F518E"/>
    <w:rsid w:val="63A01501"/>
    <w:rsid w:val="63A0369D"/>
    <w:rsid w:val="63A14DDA"/>
    <w:rsid w:val="63A16F83"/>
    <w:rsid w:val="63A21181"/>
    <w:rsid w:val="63A26C03"/>
    <w:rsid w:val="63A36353"/>
    <w:rsid w:val="63A42106"/>
    <w:rsid w:val="63A47F08"/>
    <w:rsid w:val="63A57A90"/>
    <w:rsid w:val="63A6046B"/>
    <w:rsid w:val="63A6062F"/>
    <w:rsid w:val="63A61D83"/>
    <w:rsid w:val="63A6340B"/>
    <w:rsid w:val="63A70E8C"/>
    <w:rsid w:val="63A8690E"/>
    <w:rsid w:val="63A9658E"/>
    <w:rsid w:val="63AA35F8"/>
    <w:rsid w:val="63AA400F"/>
    <w:rsid w:val="63AA4467"/>
    <w:rsid w:val="63AB1A91"/>
    <w:rsid w:val="63AB2D6C"/>
    <w:rsid w:val="63AB5314"/>
    <w:rsid w:val="63AC5238"/>
    <w:rsid w:val="63AD0817"/>
    <w:rsid w:val="63AD4F94"/>
    <w:rsid w:val="63AD5074"/>
    <w:rsid w:val="63AD5DD7"/>
    <w:rsid w:val="63AE2A15"/>
    <w:rsid w:val="63AE6299"/>
    <w:rsid w:val="63AF0497"/>
    <w:rsid w:val="63B05F18"/>
    <w:rsid w:val="63B1399A"/>
    <w:rsid w:val="63B1721D"/>
    <w:rsid w:val="63B2141C"/>
    <w:rsid w:val="63B32720"/>
    <w:rsid w:val="63B40105"/>
    <w:rsid w:val="63B4491F"/>
    <w:rsid w:val="63B55C23"/>
    <w:rsid w:val="63B9462A"/>
    <w:rsid w:val="63BA20AB"/>
    <w:rsid w:val="63BB0188"/>
    <w:rsid w:val="63BB7B2D"/>
    <w:rsid w:val="63BC55AE"/>
    <w:rsid w:val="63BE0AB1"/>
    <w:rsid w:val="63BF2E3F"/>
    <w:rsid w:val="63BF6533"/>
    <w:rsid w:val="63C03FB5"/>
    <w:rsid w:val="63C274B8"/>
    <w:rsid w:val="63C61B2C"/>
    <w:rsid w:val="63C6393F"/>
    <w:rsid w:val="63C70091"/>
    <w:rsid w:val="63C705B2"/>
    <w:rsid w:val="63C77D26"/>
    <w:rsid w:val="63C86E42"/>
    <w:rsid w:val="63C87805"/>
    <w:rsid w:val="63C948C4"/>
    <w:rsid w:val="63CA2346"/>
    <w:rsid w:val="63CB3C77"/>
    <w:rsid w:val="63CB7DC7"/>
    <w:rsid w:val="63CC5849"/>
    <w:rsid w:val="63CE0D4C"/>
    <w:rsid w:val="63CE45CF"/>
    <w:rsid w:val="63CE5D8F"/>
    <w:rsid w:val="63CF2051"/>
    <w:rsid w:val="63D11CD0"/>
    <w:rsid w:val="63D15554"/>
    <w:rsid w:val="63D17EA6"/>
    <w:rsid w:val="63D22FD5"/>
    <w:rsid w:val="63D351D4"/>
    <w:rsid w:val="63D40BE9"/>
    <w:rsid w:val="63D41FBE"/>
    <w:rsid w:val="63D464D8"/>
    <w:rsid w:val="63D52998"/>
    <w:rsid w:val="63D53F5A"/>
    <w:rsid w:val="63D619DB"/>
    <w:rsid w:val="63D650DD"/>
    <w:rsid w:val="63D73BDA"/>
    <w:rsid w:val="63D7745D"/>
    <w:rsid w:val="63D8165B"/>
    <w:rsid w:val="63D8564E"/>
    <w:rsid w:val="63D92960"/>
    <w:rsid w:val="63D970DD"/>
    <w:rsid w:val="63DA03E2"/>
    <w:rsid w:val="63DA25E0"/>
    <w:rsid w:val="63DB0061"/>
    <w:rsid w:val="63DB5E63"/>
    <w:rsid w:val="63DB75A1"/>
    <w:rsid w:val="63DC38E5"/>
    <w:rsid w:val="63DD3565"/>
    <w:rsid w:val="63DE0FE6"/>
    <w:rsid w:val="63DE6DE8"/>
    <w:rsid w:val="63DF2257"/>
    <w:rsid w:val="63DF6A68"/>
    <w:rsid w:val="63E022EB"/>
    <w:rsid w:val="63E044E9"/>
    <w:rsid w:val="63E13995"/>
    <w:rsid w:val="63E23270"/>
    <w:rsid w:val="63E241AA"/>
    <w:rsid w:val="63E279EC"/>
    <w:rsid w:val="63E34F0E"/>
    <w:rsid w:val="63E3546E"/>
    <w:rsid w:val="63E42EEF"/>
    <w:rsid w:val="63E44975"/>
    <w:rsid w:val="63E46773"/>
    <w:rsid w:val="63E53A13"/>
    <w:rsid w:val="63E541F4"/>
    <w:rsid w:val="63E57025"/>
    <w:rsid w:val="63E73E74"/>
    <w:rsid w:val="63E91B17"/>
    <w:rsid w:val="63E92BFA"/>
    <w:rsid w:val="63E97377"/>
    <w:rsid w:val="63EA24F1"/>
    <w:rsid w:val="63EA4DF9"/>
    <w:rsid w:val="63EB287A"/>
    <w:rsid w:val="63EB3090"/>
    <w:rsid w:val="63EC3B7F"/>
    <w:rsid w:val="63ED1601"/>
    <w:rsid w:val="63EE7082"/>
    <w:rsid w:val="63EF4B04"/>
    <w:rsid w:val="63F02585"/>
    <w:rsid w:val="63F068E5"/>
    <w:rsid w:val="63F14784"/>
    <w:rsid w:val="63F1758C"/>
    <w:rsid w:val="63F209FC"/>
    <w:rsid w:val="63F25A88"/>
    <w:rsid w:val="63F41DB1"/>
    <w:rsid w:val="63F4318A"/>
    <w:rsid w:val="63F6448F"/>
    <w:rsid w:val="63F6668D"/>
    <w:rsid w:val="63F7410E"/>
    <w:rsid w:val="63F77D09"/>
    <w:rsid w:val="63F93EF7"/>
    <w:rsid w:val="63F97611"/>
    <w:rsid w:val="63FA0916"/>
    <w:rsid w:val="63FA2E95"/>
    <w:rsid w:val="63FA5FE0"/>
    <w:rsid w:val="63FA61A4"/>
    <w:rsid w:val="63FC3E19"/>
    <w:rsid w:val="63FD6018"/>
    <w:rsid w:val="63FE30B6"/>
    <w:rsid w:val="63FF151B"/>
    <w:rsid w:val="63FF1670"/>
    <w:rsid w:val="63FF4D9E"/>
    <w:rsid w:val="640026DC"/>
    <w:rsid w:val="64002820"/>
    <w:rsid w:val="640102A1"/>
    <w:rsid w:val="64014859"/>
    <w:rsid w:val="64014A1E"/>
    <w:rsid w:val="64020B82"/>
    <w:rsid w:val="6402249F"/>
    <w:rsid w:val="64025D23"/>
    <w:rsid w:val="640337A4"/>
    <w:rsid w:val="64034EC5"/>
    <w:rsid w:val="64037F21"/>
    <w:rsid w:val="64041226"/>
    <w:rsid w:val="64053424"/>
    <w:rsid w:val="6405643E"/>
    <w:rsid w:val="64056CA7"/>
    <w:rsid w:val="64064729"/>
    <w:rsid w:val="64066E18"/>
    <w:rsid w:val="640779B7"/>
    <w:rsid w:val="64091E2A"/>
    <w:rsid w:val="640956AE"/>
    <w:rsid w:val="640A78AC"/>
    <w:rsid w:val="640B0BB1"/>
    <w:rsid w:val="640C0830"/>
    <w:rsid w:val="640E1B35"/>
    <w:rsid w:val="640F4B4E"/>
    <w:rsid w:val="640F4EB9"/>
    <w:rsid w:val="640F5CFD"/>
    <w:rsid w:val="64102431"/>
    <w:rsid w:val="64105038"/>
    <w:rsid w:val="64107237"/>
    <w:rsid w:val="64112768"/>
    <w:rsid w:val="64112ABA"/>
    <w:rsid w:val="64114CB8"/>
    <w:rsid w:val="6411743B"/>
    <w:rsid w:val="6412053C"/>
    <w:rsid w:val="6412273A"/>
    <w:rsid w:val="641309B4"/>
    <w:rsid w:val="64133A3F"/>
    <w:rsid w:val="64135FBD"/>
    <w:rsid w:val="641414C0"/>
    <w:rsid w:val="64151D68"/>
    <w:rsid w:val="64151F2C"/>
    <w:rsid w:val="641536BE"/>
    <w:rsid w:val="64161140"/>
    <w:rsid w:val="64162907"/>
    <w:rsid w:val="64162ACB"/>
    <w:rsid w:val="641644E4"/>
    <w:rsid w:val="641649C3"/>
    <w:rsid w:val="64172445"/>
    <w:rsid w:val="64176BC2"/>
    <w:rsid w:val="64184044"/>
    <w:rsid w:val="64184643"/>
    <w:rsid w:val="641920C5"/>
    <w:rsid w:val="64195948"/>
    <w:rsid w:val="641B0E4B"/>
    <w:rsid w:val="641D434E"/>
    <w:rsid w:val="641D6FC0"/>
    <w:rsid w:val="641E0C4D"/>
    <w:rsid w:val="641E657E"/>
    <w:rsid w:val="641E6734"/>
    <w:rsid w:val="641F7851"/>
    <w:rsid w:val="6420238B"/>
    <w:rsid w:val="642052D3"/>
    <w:rsid w:val="64212D54"/>
    <w:rsid w:val="64236257"/>
    <w:rsid w:val="64244E7C"/>
    <w:rsid w:val="6425175A"/>
    <w:rsid w:val="64255857"/>
    <w:rsid w:val="642665BA"/>
    <w:rsid w:val="64276DCF"/>
    <w:rsid w:val="64276F94"/>
    <w:rsid w:val="64290EE7"/>
    <w:rsid w:val="642A1A86"/>
    <w:rsid w:val="642A1C4A"/>
    <w:rsid w:val="642A5BE2"/>
    <w:rsid w:val="642B10E5"/>
    <w:rsid w:val="642B3664"/>
    <w:rsid w:val="642C1431"/>
    <w:rsid w:val="642C1952"/>
    <w:rsid w:val="642C31C3"/>
    <w:rsid w:val="642D04CF"/>
    <w:rsid w:val="642D45E8"/>
    <w:rsid w:val="642D7291"/>
    <w:rsid w:val="642E206A"/>
    <w:rsid w:val="642E473C"/>
    <w:rsid w:val="642E704C"/>
    <w:rsid w:val="642E73B7"/>
    <w:rsid w:val="642F7AEC"/>
    <w:rsid w:val="64312FEF"/>
    <w:rsid w:val="64320A70"/>
    <w:rsid w:val="643273F2"/>
    <w:rsid w:val="643364F2"/>
    <w:rsid w:val="643407A7"/>
    <w:rsid w:val="64343F73"/>
    <w:rsid w:val="64351345"/>
    <w:rsid w:val="643519F5"/>
    <w:rsid w:val="64355278"/>
    <w:rsid w:val="64367476"/>
    <w:rsid w:val="6437077B"/>
    <w:rsid w:val="643861FD"/>
    <w:rsid w:val="643A1700"/>
    <w:rsid w:val="643A5574"/>
    <w:rsid w:val="643A5E7D"/>
    <w:rsid w:val="643B5F4F"/>
    <w:rsid w:val="643C4C03"/>
    <w:rsid w:val="643D6E01"/>
    <w:rsid w:val="643E0106"/>
    <w:rsid w:val="643E4883"/>
    <w:rsid w:val="643F2304"/>
    <w:rsid w:val="643F5B88"/>
    <w:rsid w:val="64403609"/>
    <w:rsid w:val="64407D86"/>
    <w:rsid w:val="64412342"/>
    <w:rsid w:val="64423289"/>
    <w:rsid w:val="64430D0B"/>
    <w:rsid w:val="6443458E"/>
    <w:rsid w:val="6443678C"/>
    <w:rsid w:val="6444200F"/>
    <w:rsid w:val="64444295"/>
    <w:rsid w:val="64451C8F"/>
    <w:rsid w:val="64454D98"/>
    <w:rsid w:val="64465512"/>
    <w:rsid w:val="64466571"/>
    <w:rsid w:val="64475192"/>
    <w:rsid w:val="64480A16"/>
    <w:rsid w:val="64482C14"/>
    <w:rsid w:val="644A1063"/>
    <w:rsid w:val="644B199A"/>
    <w:rsid w:val="644B741C"/>
    <w:rsid w:val="644C3930"/>
    <w:rsid w:val="644C4E9D"/>
    <w:rsid w:val="644D291F"/>
    <w:rsid w:val="644D709C"/>
    <w:rsid w:val="644E03A0"/>
    <w:rsid w:val="644E4B1D"/>
    <w:rsid w:val="644F259F"/>
    <w:rsid w:val="64500020"/>
    <w:rsid w:val="645038A3"/>
    <w:rsid w:val="64511325"/>
    <w:rsid w:val="64523523"/>
    <w:rsid w:val="64526DA7"/>
    <w:rsid w:val="64546A26"/>
    <w:rsid w:val="645544A8"/>
    <w:rsid w:val="64557D2B"/>
    <w:rsid w:val="645779AB"/>
    <w:rsid w:val="64580187"/>
    <w:rsid w:val="64580CB0"/>
    <w:rsid w:val="6458542D"/>
    <w:rsid w:val="64592EAE"/>
    <w:rsid w:val="645A09F8"/>
    <w:rsid w:val="645A4B51"/>
    <w:rsid w:val="645B1C35"/>
    <w:rsid w:val="645B3E33"/>
    <w:rsid w:val="645B63B1"/>
    <w:rsid w:val="645C76B6"/>
    <w:rsid w:val="645D6AA5"/>
    <w:rsid w:val="645E2BB9"/>
    <w:rsid w:val="645E4DB7"/>
    <w:rsid w:val="645F2839"/>
    <w:rsid w:val="646002BB"/>
    <w:rsid w:val="646101D2"/>
    <w:rsid w:val="64613B3E"/>
    <w:rsid w:val="64615D3C"/>
    <w:rsid w:val="646215BF"/>
    <w:rsid w:val="64633872"/>
    <w:rsid w:val="64642544"/>
    <w:rsid w:val="64654742"/>
    <w:rsid w:val="646621C4"/>
    <w:rsid w:val="646714E1"/>
    <w:rsid w:val="646734C9"/>
    <w:rsid w:val="64677C45"/>
    <w:rsid w:val="64680F4A"/>
    <w:rsid w:val="64682077"/>
    <w:rsid w:val="646856C7"/>
    <w:rsid w:val="64693149"/>
    <w:rsid w:val="646A444D"/>
    <w:rsid w:val="646B11DF"/>
    <w:rsid w:val="646B1ECF"/>
    <w:rsid w:val="646B664C"/>
    <w:rsid w:val="646C40CD"/>
    <w:rsid w:val="646C7950"/>
    <w:rsid w:val="646D1B4F"/>
    <w:rsid w:val="646D2593"/>
    <w:rsid w:val="646D53D2"/>
    <w:rsid w:val="646E3B0C"/>
    <w:rsid w:val="646F46AB"/>
    <w:rsid w:val="646F5052"/>
    <w:rsid w:val="64702AD3"/>
    <w:rsid w:val="64705249"/>
    <w:rsid w:val="64706357"/>
    <w:rsid w:val="64710555"/>
    <w:rsid w:val="64713DD8"/>
    <w:rsid w:val="64725FD6"/>
    <w:rsid w:val="64733A58"/>
    <w:rsid w:val="647372DB"/>
    <w:rsid w:val="64737361"/>
    <w:rsid w:val="647508DA"/>
    <w:rsid w:val="647527DE"/>
    <w:rsid w:val="647548B5"/>
    <w:rsid w:val="6476245E"/>
    <w:rsid w:val="64771E53"/>
    <w:rsid w:val="6477283B"/>
    <w:rsid w:val="64772D5C"/>
    <w:rsid w:val="64785961"/>
    <w:rsid w:val="647933E3"/>
    <w:rsid w:val="647A6C66"/>
    <w:rsid w:val="647B46E8"/>
    <w:rsid w:val="647B4B09"/>
    <w:rsid w:val="647B68E6"/>
    <w:rsid w:val="647C2169"/>
    <w:rsid w:val="647C7BEB"/>
    <w:rsid w:val="647D1DE9"/>
    <w:rsid w:val="647D446A"/>
    <w:rsid w:val="647E30EE"/>
    <w:rsid w:val="647E77BF"/>
    <w:rsid w:val="647E786B"/>
    <w:rsid w:val="647F52EC"/>
    <w:rsid w:val="64800B74"/>
    <w:rsid w:val="648107EF"/>
    <w:rsid w:val="648222B1"/>
    <w:rsid w:val="64837576"/>
    <w:rsid w:val="64844FF7"/>
    <w:rsid w:val="648543C8"/>
    <w:rsid w:val="64855539"/>
    <w:rsid w:val="648604FA"/>
    <w:rsid w:val="64865018"/>
    <w:rsid w:val="648A6F00"/>
    <w:rsid w:val="648B4982"/>
    <w:rsid w:val="648C1B70"/>
    <w:rsid w:val="648D254B"/>
    <w:rsid w:val="648D7E85"/>
    <w:rsid w:val="648F3388"/>
    <w:rsid w:val="64900E0A"/>
    <w:rsid w:val="64904827"/>
    <w:rsid w:val="64911D90"/>
    <w:rsid w:val="64915201"/>
    <w:rsid w:val="64921199"/>
    <w:rsid w:val="64921BDB"/>
    <w:rsid w:val="64925D9F"/>
    <w:rsid w:val="64931D8E"/>
    <w:rsid w:val="64937ECC"/>
    <w:rsid w:val="649479AB"/>
    <w:rsid w:val="64947D16"/>
    <w:rsid w:val="64960891"/>
    <w:rsid w:val="64960A56"/>
    <w:rsid w:val="64971FCF"/>
    <w:rsid w:val="64976216"/>
    <w:rsid w:val="649829A9"/>
    <w:rsid w:val="64982B6D"/>
    <w:rsid w:val="64983C98"/>
    <w:rsid w:val="64991719"/>
    <w:rsid w:val="64993547"/>
    <w:rsid w:val="649B4AC0"/>
    <w:rsid w:val="649C04A0"/>
    <w:rsid w:val="649C3C91"/>
    <w:rsid w:val="649C565F"/>
    <w:rsid w:val="649C5F21"/>
    <w:rsid w:val="649D011F"/>
    <w:rsid w:val="649D39A3"/>
    <w:rsid w:val="649E1424"/>
    <w:rsid w:val="649E5BA1"/>
    <w:rsid w:val="649F6EA6"/>
    <w:rsid w:val="649F75B2"/>
    <w:rsid w:val="64A010A4"/>
    <w:rsid w:val="64A04927"/>
    <w:rsid w:val="64A245A7"/>
    <w:rsid w:val="64A31746"/>
    <w:rsid w:val="64A3242D"/>
    <w:rsid w:val="64A358AC"/>
    <w:rsid w:val="64A47AAA"/>
    <w:rsid w:val="64A50DAF"/>
    <w:rsid w:val="64A5243A"/>
    <w:rsid w:val="64A5552C"/>
    <w:rsid w:val="64A62FAD"/>
    <w:rsid w:val="64A64F1F"/>
    <w:rsid w:val="64A742B2"/>
    <w:rsid w:val="64A75ABD"/>
    <w:rsid w:val="64A864B1"/>
    <w:rsid w:val="64A93F32"/>
    <w:rsid w:val="64A96E72"/>
    <w:rsid w:val="64A977B5"/>
    <w:rsid w:val="64AA19B4"/>
    <w:rsid w:val="64AA7A10"/>
    <w:rsid w:val="64AB05AF"/>
    <w:rsid w:val="64AB2CB8"/>
    <w:rsid w:val="64AD61BC"/>
    <w:rsid w:val="64AE3C3D"/>
    <w:rsid w:val="64AE5E3B"/>
    <w:rsid w:val="64AF16BF"/>
    <w:rsid w:val="64AF3265"/>
    <w:rsid w:val="64AF38BD"/>
    <w:rsid w:val="64B03E04"/>
    <w:rsid w:val="64B1428F"/>
    <w:rsid w:val="64B14A91"/>
    <w:rsid w:val="64B14BC2"/>
    <w:rsid w:val="64B24842"/>
    <w:rsid w:val="64B25D57"/>
    <w:rsid w:val="64B322C3"/>
    <w:rsid w:val="64B472D0"/>
    <w:rsid w:val="64B47D45"/>
    <w:rsid w:val="64B51049"/>
    <w:rsid w:val="64B60A0D"/>
    <w:rsid w:val="64B63248"/>
    <w:rsid w:val="64B66ACB"/>
    <w:rsid w:val="64B7454D"/>
    <w:rsid w:val="64B941CC"/>
    <w:rsid w:val="64BA1C4E"/>
    <w:rsid w:val="64BA34FF"/>
    <w:rsid w:val="64BA54D1"/>
    <w:rsid w:val="64BB2D09"/>
    <w:rsid w:val="64BB2F53"/>
    <w:rsid w:val="64BB76D0"/>
    <w:rsid w:val="64BC09D4"/>
    <w:rsid w:val="64BC4A78"/>
    <w:rsid w:val="64BC5151"/>
    <w:rsid w:val="64BD5616"/>
    <w:rsid w:val="64BE0654"/>
    <w:rsid w:val="64BF1959"/>
    <w:rsid w:val="64BF60D6"/>
    <w:rsid w:val="64BF72F8"/>
    <w:rsid w:val="64C061E0"/>
    <w:rsid w:val="64C115D9"/>
    <w:rsid w:val="64C21846"/>
    <w:rsid w:val="64C3035F"/>
    <w:rsid w:val="64C34ADC"/>
    <w:rsid w:val="64C53799"/>
    <w:rsid w:val="64C55A61"/>
    <w:rsid w:val="64C612E4"/>
    <w:rsid w:val="64C70F64"/>
    <w:rsid w:val="64C847E7"/>
    <w:rsid w:val="64C85A75"/>
    <w:rsid w:val="64C869E5"/>
    <w:rsid w:val="64C9644F"/>
    <w:rsid w:val="64CA7CEA"/>
    <w:rsid w:val="64CB576C"/>
    <w:rsid w:val="64CB796A"/>
    <w:rsid w:val="64CC0C6F"/>
    <w:rsid w:val="64CC2A37"/>
    <w:rsid w:val="64CC31ED"/>
    <w:rsid w:val="64CC53EB"/>
    <w:rsid w:val="64CD1105"/>
    <w:rsid w:val="64CD1CA4"/>
    <w:rsid w:val="64CD66F0"/>
    <w:rsid w:val="64CE08EF"/>
    <w:rsid w:val="64CE1093"/>
    <w:rsid w:val="64CE267E"/>
    <w:rsid w:val="64CF1BF3"/>
    <w:rsid w:val="64CF321D"/>
    <w:rsid w:val="64D03DBB"/>
    <w:rsid w:val="64D03DF2"/>
    <w:rsid w:val="64D07675"/>
    <w:rsid w:val="64D11873"/>
    <w:rsid w:val="64D150F6"/>
    <w:rsid w:val="64D305FA"/>
    <w:rsid w:val="64D34D76"/>
    <w:rsid w:val="64D53AFD"/>
    <w:rsid w:val="64D57287"/>
    <w:rsid w:val="64D7377C"/>
    <w:rsid w:val="64D77000"/>
    <w:rsid w:val="64D81563"/>
    <w:rsid w:val="64D84A81"/>
    <w:rsid w:val="64D92503"/>
    <w:rsid w:val="64D96C80"/>
    <w:rsid w:val="64DA2918"/>
    <w:rsid w:val="64DA367B"/>
    <w:rsid w:val="64DA4701"/>
    <w:rsid w:val="64DB4055"/>
    <w:rsid w:val="64DB5214"/>
    <w:rsid w:val="64DB5A06"/>
    <w:rsid w:val="64DB6907"/>
    <w:rsid w:val="64DC4BF4"/>
    <w:rsid w:val="64DC5686"/>
    <w:rsid w:val="64DC7C04"/>
    <w:rsid w:val="64DD0F09"/>
    <w:rsid w:val="64DD1B9F"/>
    <w:rsid w:val="64DD2FE4"/>
    <w:rsid w:val="64DD55CE"/>
    <w:rsid w:val="64DF660A"/>
    <w:rsid w:val="64DF6B47"/>
    <w:rsid w:val="64E01E8E"/>
    <w:rsid w:val="64E0408C"/>
    <w:rsid w:val="64E076E5"/>
    <w:rsid w:val="64E10284"/>
    <w:rsid w:val="64E20E23"/>
    <w:rsid w:val="64E32E12"/>
    <w:rsid w:val="64E35011"/>
    <w:rsid w:val="64E40894"/>
    <w:rsid w:val="64E419AA"/>
    <w:rsid w:val="64E421D7"/>
    <w:rsid w:val="64E42A92"/>
    <w:rsid w:val="64E52D76"/>
    <w:rsid w:val="64E56E4D"/>
    <w:rsid w:val="64E73A17"/>
    <w:rsid w:val="64E84D1C"/>
    <w:rsid w:val="64E97165"/>
    <w:rsid w:val="64E9731B"/>
    <w:rsid w:val="64EA021F"/>
    <w:rsid w:val="64EA6A8F"/>
    <w:rsid w:val="64EB52A1"/>
    <w:rsid w:val="64EC051E"/>
    <w:rsid w:val="64EC3722"/>
    <w:rsid w:val="64EE6C25"/>
    <w:rsid w:val="64EF2635"/>
    <w:rsid w:val="64EF27FA"/>
    <w:rsid w:val="64EF46A6"/>
    <w:rsid w:val="64EF616E"/>
    <w:rsid w:val="64F02128"/>
    <w:rsid w:val="64F102BF"/>
    <w:rsid w:val="64F17BAA"/>
    <w:rsid w:val="64F2474D"/>
    <w:rsid w:val="64F531DE"/>
    <w:rsid w:val="64F565B0"/>
    <w:rsid w:val="64F56864"/>
    <w:rsid w:val="64F64031"/>
    <w:rsid w:val="64F67403"/>
    <w:rsid w:val="64F87534"/>
    <w:rsid w:val="64F90B96"/>
    <w:rsid w:val="64F920B9"/>
    <w:rsid w:val="64FA2A38"/>
    <w:rsid w:val="64FA78C8"/>
    <w:rsid w:val="64FC41D1"/>
    <w:rsid w:val="64FD143E"/>
    <w:rsid w:val="64FD39BC"/>
    <w:rsid w:val="64FD4BAB"/>
    <w:rsid w:val="64FE5585"/>
    <w:rsid w:val="64FE574A"/>
    <w:rsid w:val="64FE6EBF"/>
    <w:rsid w:val="64FF4941"/>
    <w:rsid w:val="65015C46"/>
    <w:rsid w:val="65017E44"/>
    <w:rsid w:val="650236C7"/>
    <w:rsid w:val="65031149"/>
    <w:rsid w:val="65040DC9"/>
    <w:rsid w:val="65046BCA"/>
    <w:rsid w:val="6505684A"/>
    <w:rsid w:val="65063A90"/>
    <w:rsid w:val="650642CC"/>
    <w:rsid w:val="65071D4D"/>
    <w:rsid w:val="65083052"/>
    <w:rsid w:val="65090AD4"/>
    <w:rsid w:val="650A2CD2"/>
    <w:rsid w:val="650A63BE"/>
    <w:rsid w:val="650B0753"/>
    <w:rsid w:val="650B3FD7"/>
    <w:rsid w:val="650B7121"/>
    <w:rsid w:val="650C61D5"/>
    <w:rsid w:val="650D3C56"/>
    <w:rsid w:val="650D74DA"/>
    <w:rsid w:val="650E16D8"/>
    <w:rsid w:val="650F29DD"/>
    <w:rsid w:val="650F715A"/>
    <w:rsid w:val="6510045E"/>
    <w:rsid w:val="651025ED"/>
    <w:rsid w:val="65104BDB"/>
    <w:rsid w:val="65123962"/>
    <w:rsid w:val="65134704"/>
    <w:rsid w:val="651435E1"/>
    <w:rsid w:val="65145E42"/>
    <w:rsid w:val="65146E65"/>
    <w:rsid w:val="65155D05"/>
    <w:rsid w:val="65156591"/>
    <w:rsid w:val="65156AE4"/>
    <w:rsid w:val="65162368"/>
    <w:rsid w:val="65164566"/>
    <w:rsid w:val="65165479"/>
    <w:rsid w:val="65170E82"/>
    <w:rsid w:val="65177DE9"/>
    <w:rsid w:val="65180933"/>
    <w:rsid w:val="65187A69"/>
    <w:rsid w:val="651932EC"/>
    <w:rsid w:val="651954EB"/>
    <w:rsid w:val="651A2F6C"/>
    <w:rsid w:val="651B09EE"/>
    <w:rsid w:val="651B2C0F"/>
    <w:rsid w:val="651B67EF"/>
    <w:rsid w:val="651C646F"/>
    <w:rsid w:val="651D1CF3"/>
    <w:rsid w:val="651D7774"/>
    <w:rsid w:val="651E1972"/>
    <w:rsid w:val="651E51F6"/>
    <w:rsid w:val="651F2C77"/>
    <w:rsid w:val="65204E75"/>
    <w:rsid w:val="6521617A"/>
    <w:rsid w:val="652201F3"/>
    <w:rsid w:val="65220379"/>
    <w:rsid w:val="652203B7"/>
    <w:rsid w:val="65223BFC"/>
    <w:rsid w:val="65230D92"/>
    <w:rsid w:val="6523167D"/>
    <w:rsid w:val="65235DFA"/>
    <w:rsid w:val="6524387C"/>
    <w:rsid w:val="652512FD"/>
    <w:rsid w:val="6525230A"/>
    <w:rsid w:val="65254B81"/>
    <w:rsid w:val="65262602"/>
    <w:rsid w:val="65266989"/>
    <w:rsid w:val="65270084"/>
    <w:rsid w:val="65293587"/>
    <w:rsid w:val="65294FC1"/>
    <w:rsid w:val="652B3207"/>
    <w:rsid w:val="652C0C88"/>
    <w:rsid w:val="652D418B"/>
    <w:rsid w:val="652D670A"/>
    <w:rsid w:val="652E102B"/>
    <w:rsid w:val="652E1C0D"/>
    <w:rsid w:val="652F1BCA"/>
    <w:rsid w:val="652F5490"/>
    <w:rsid w:val="652F768E"/>
    <w:rsid w:val="65302F12"/>
    <w:rsid w:val="65312B91"/>
    <w:rsid w:val="65323396"/>
    <w:rsid w:val="65326415"/>
    <w:rsid w:val="653346BC"/>
    <w:rsid w:val="65336094"/>
    <w:rsid w:val="65341918"/>
    <w:rsid w:val="65351598"/>
    <w:rsid w:val="65354E1B"/>
    <w:rsid w:val="65357399"/>
    <w:rsid w:val="6536289C"/>
    <w:rsid w:val="65367019"/>
    <w:rsid w:val="6537031E"/>
    <w:rsid w:val="65373578"/>
    <w:rsid w:val="65374A9B"/>
    <w:rsid w:val="65377536"/>
    <w:rsid w:val="6538251C"/>
    <w:rsid w:val="65397F9E"/>
    <w:rsid w:val="653A12A3"/>
    <w:rsid w:val="653A5A1F"/>
    <w:rsid w:val="653B34A1"/>
    <w:rsid w:val="653C0F22"/>
    <w:rsid w:val="653C35A1"/>
    <w:rsid w:val="653C47A6"/>
    <w:rsid w:val="653D2227"/>
    <w:rsid w:val="653E4426"/>
    <w:rsid w:val="653E4CDE"/>
    <w:rsid w:val="653E7CA9"/>
    <w:rsid w:val="653F1EA7"/>
    <w:rsid w:val="653F572A"/>
    <w:rsid w:val="65406093"/>
    <w:rsid w:val="65406257"/>
    <w:rsid w:val="65407929"/>
    <w:rsid w:val="65410C2D"/>
    <w:rsid w:val="6541453A"/>
    <w:rsid w:val="654153AA"/>
    <w:rsid w:val="65416C31"/>
    <w:rsid w:val="65424019"/>
    <w:rsid w:val="654266AF"/>
    <w:rsid w:val="654277D0"/>
    <w:rsid w:val="65433422"/>
    <w:rsid w:val="65434131"/>
    <w:rsid w:val="65440D49"/>
    <w:rsid w:val="65441BB2"/>
    <w:rsid w:val="65457634"/>
    <w:rsid w:val="654622C2"/>
    <w:rsid w:val="654672B3"/>
    <w:rsid w:val="65472B37"/>
    <w:rsid w:val="65474D35"/>
    <w:rsid w:val="6548459E"/>
    <w:rsid w:val="65490723"/>
    <w:rsid w:val="654943D9"/>
    <w:rsid w:val="65494F78"/>
    <w:rsid w:val="654A5CBA"/>
    <w:rsid w:val="654B153D"/>
    <w:rsid w:val="654B373B"/>
    <w:rsid w:val="654D24C2"/>
    <w:rsid w:val="654D6C3E"/>
    <w:rsid w:val="654D7C2E"/>
    <w:rsid w:val="654E7F43"/>
    <w:rsid w:val="654F11A7"/>
    <w:rsid w:val="65503446"/>
    <w:rsid w:val="65510EC8"/>
    <w:rsid w:val="65526949"/>
    <w:rsid w:val="65533E5D"/>
    <w:rsid w:val="655553D6"/>
    <w:rsid w:val="655561AD"/>
    <w:rsid w:val="655578CE"/>
    <w:rsid w:val="65565350"/>
    <w:rsid w:val="65565F75"/>
    <w:rsid w:val="6557694F"/>
    <w:rsid w:val="65580853"/>
    <w:rsid w:val="65587EC8"/>
    <w:rsid w:val="655962D4"/>
    <w:rsid w:val="655B17D7"/>
    <w:rsid w:val="655C2B7E"/>
    <w:rsid w:val="655C7259"/>
    <w:rsid w:val="655D3558"/>
    <w:rsid w:val="655F01DD"/>
    <w:rsid w:val="655F0AB3"/>
    <w:rsid w:val="655F4AD1"/>
    <w:rsid w:val="65605C5F"/>
    <w:rsid w:val="656136E1"/>
    <w:rsid w:val="65621162"/>
    <w:rsid w:val="65636BE4"/>
    <w:rsid w:val="65644665"/>
    <w:rsid w:val="6565189F"/>
    <w:rsid w:val="656520E7"/>
    <w:rsid w:val="65670E6D"/>
    <w:rsid w:val="65672E18"/>
    <w:rsid w:val="6567306B"/>
    <w:rsid w:val="65694370"/>
    <w:rsid w:val="6569656F"/>
    <w:rsid w:val="656A1DF2"/>
    <w:rsid w:val="656A3FF0"/>
    <w:rsid w:val="656B5ACE"/>
    <w:rsid w:val="656C52F5"/>
    <w:rsid w:val="656C64A8"/>
    <w:rsid w:val="656C666D"/>
    <w:rsid w:val="656C74F3"/>
    <w:rsid w:val="656D2D76"/>
    <w:rsid w:val="656D31F8"/>
    <w:rsid w:val="656D3445"/>
    <w:rsid w:val="656E284E"/>
    <w:rsid w:val="656E7A21"/>
    <w:rsid w:val="656F0478"/>
    <w:rsid w:val="656F0784"/>
    <w:rsid w:val="6570177D"/>
    <w:rsid w:val="65705EF9"/>
    <w:rsid w:val="65711CFD"/>
    <w:rsid w:val="657213FC"/>
    <w:rsid w:val="65732701"/>
    <w:rsid w:val="65733E15"/>
    <w:rsid w:val="657370C3"/>
    <w:rsid w:val="657449A8"/>
    <w:rsid w:val="65752381"/>
    <w:rsid w:val="65765D68"/>
    <w:rsid w:val="65767E03"/>
    <w:rsid w:val="65771107"/>
    <w:rsid w:val="65775884"/>
    <w:rsid w:val="65776907"/>
    <w:rsid w:val="65783306"/>
    <w:rsid w:val="65790D87"/>
    <w:rsid w:val="657A208C"/>
    <w:rsid w:val="657B5941"/>
    <w:rsid w:val="657B681A"/>
    <w:rsid w:val="657E2C91"/>
    <w:rsid w:val="657E520F"/>
    <w:rsid w:val="657F0712"/>
    <w:rsid w:val="657F40AF"/>
    <w:rsid w:val="657F6514"/>
    <w:rsid w:val="65804A89"/>
    <w:rsid w:val="65806194"/>
    <w:rsid w:val="65821697"/>
    <w:rsid w:val="65834F1A"/>
    <w:rsid w:val="65837118"/>
    <w:rsid w:val="6583773F"/>
    <w:rsid w:val="65844B9A"/>
    <w:rsid w:val="6585261B"/>
    <w:rsid w:val="6586009D"/>
    <w:rsid w:val="65863920"/>
    <w:rsid w:val="658835A0"/>
    <w:rsid w:val="65893B33"/>
    <w:rsid w:val="658A2326"/>
    <w:rsid w:val="658B4525"/>
    <w:rsid w:val="658B4EE7"/>
    <w:rsid w:val="658B6F7C"/>
    <w:rsid w:val="658B7DA8"/>
    <w:rsid w:val="658C1FA6"/>
    <w:rsid w:val="658C582A"/>
    <w:rsid w:val="658D32AB"/>
    <w:rsid w:val="658D7A28"/>
    <w:rsid w:val="658F073C"/>
    <w:rsid w:val="658F67AE"/>
    <w:rsid w:val="65901116"/>
    <w:rsid w:val="65904230"/>
    <w:rsid w:val="65911CB1"/>
    <w:rsid w:val="6592268F"/>
    <w:rsid w:val="65927733"/>
    <w:rsid w:val="65931931"/>
    <w:rsid w:val="6593322E"/>
    <w:rsid w:val="659351B4"/>
    <w:rsid w:val="65942C36"/>
    <w:rsid w:val="65943C08"/>
    <w:rsid w:val="65966139"/>
    <w:rsid w:val="65973989"/>
    <w:rsid w:val="65973BBB"/>
    <w:rsid w:val="6598383A"/>
    <w:rsid w:val="659970BE"/>
    <w:rsid w:val="659A4B3F"/>
    <w:rsid w:val="659A5186"/>
    <w:rsid w:val="659A6D3E"/>
    <w:rsid w:val="659A7E37"/>
    <w:rsid w:val="659B47BF"/>
    <w:rsid w:val="659C0042"/>
    <w:rsid w:val="659E0FC7"/>
    <w:rsid w:val="659E5744"/>
    <w:rsid w:val="659F31C5"/>
    <w:rsid w:val="65A00C47"/>
    <w:rsid w:val="65A11BF2"/>
    <w:rsid w:val="65A11F4C"/>
    <w:rsid w:val="65A157A3"/>
    <w:rsid w:val="65A166C8"/>
    <w:rsid w:val="65A2414A"/>
    <w:rsid w:val="65A26342"/>
    <w:rsid w:val="65A279CD"/>
    <w:rsid w:val="65A31BCC"/>
    <w:rsid w:val="65A42ED0"/>
    <w:rsid w:val="65A476F6"/>
    <w:rsid w:val="65A50295"/>
    <w:rsid w:val="65A50952"/>
    <w:rsid w:val="65A62B50"/>
    <w:rsid w:val="65A663D3"/>
    <w:rsid w:val="65A75EDC"/>
    <w:rsid w:val="65A86053"/>
    <w:rsid w:val="65A93AD5"/>
    <w:rsid w:val="65AA1556"/>
    <w:rsid w:val="65AA3925"/>
    <w:rsid w:val="65AA44C4"/>
    <w:rsid w:val="65AB285B"/>
    <w:rsid w:val="65AB4E9E"/>
    <w:rsid w:val="65AC0E0D"/>
    <w:rsid w:val="65AC4A59"/>
    <w:rsid w:val="65AD65DC"/>
    <w:rsid w:val="65AD7C0D"/>
    <w:rsid w:val="65AE59DE"/>
    <w:rsid w:val="65AF1261"/>
    <w:rsid w:val="65AF3460"/>
    <w:rsid w:val="65AF7B55"/>
    <w:rsid w:val="65AF7D19"/>
    <w:rsid w:val="65B0017A"/>
    <w:rsid w:val="65B110CD"/>
    <w:rsid w:val="65B14764"/>
    <w:rsid w:val="65B221E6"/>
    <w:rsid w:val="65B243E4"/>
    <w:rsid w:val="65B456E9"/>
    <w:rsid w:val="65B5316B"/>
    <w:rsid w:val="65B57676"/>
    <w:rsid w:val="65B5782C"/>
    <w:rsid w:val="65B60BEC"/>
    <w:rsid w:val="65B6666E"/>
    <w:rsid w:val="65B66FA0"/>
    <w:rsid w:val="65B752FD"/>
    <w:rsid w:val="65B7603D"/>
    <w:rsid w:val="65B8702E"/>
    <w:rsid w:val="65BA5074"/>
    <w:rsid w:val="65BA6C0C"/>
    <w:rsid w:val="65BB2AF6"/>
    <w:rsid w:val="65BD5FF9"/>
    <w:rsid w:val="65BE3A7A"/>
    <w:rsid w:val="65BF14FC"/>
    <w:rsid w:val="65C06F7D"/>
    <w:rsid w:val="65C14BBC"/>
    <w:rsid w:val="65C37F02"/>
    <w:rsid w:val="65C42009"/>
    <w:rsid w:val="65C45983"/>
    <w:rsid w:val="65C46CD4"/>
    <w:rsid w:val="65C5024C"/>
    <w:rsid w:val="65C502FA"/>
    <w:rsid w:val="65C5081A"/>
    <w:rsid w:val="65C57872"/>
    <w:rsid w:val="65C60DEB"/>
    <w:rsid w:val="65C7198A"/>
    <w:rsid w:val="65C82364"/>
    <w:rsid w:val="65C91E0B"/>
    <w:rsid w:val="65C95A3A"/>
    <w:rsid w:val="65CA38DD"/>
    <w:rsid w:val="65CA788D"/>
    <w:rsid w:val="65CB530E"/>
    <w:rsid w:val="65CC501A"/>
    <w:rsid w:val="65CF1796"/>
    <w:rsid w:val="65CF6F6D"/>
    <w:rsid w:val="65CF7598"/>
    <w:rsid w:val="65D05019"/>
    <w:rsid w:val="65D2051C"/>
    <w:rsid w:val="65D2271B"/>
    <w:rsid w:val="65D2410F"/>
    <w:rsid w:val="65D3019C"/>
    <w:rsid w:val="65D327C2"/>
    <w:rsid w:val="65D33363"/>
    <w:rsid w:val="65D336CE"/>
    <w:rsid w:val="65D33A39"/>
    <w:rsid w:val="65D33DA4"/>
    <w:rsid w:val="65D35F9E"/>
    <w:rsid w:val="65D45C1E"/>
    <w:rsid w:val="65D514A1"/>
    <w:rsid w:val="65D648DA"/>
    <w:rsid w:val="65D649A4"/>
    <w:rsid w:val="65D72426"/>
    <w:rsid w:val="65D76BA2"/>
    <w:rsid w:val="65D84624"/>
    <w:rsid w:val="65D86017"/>
    <w:rsid w:val="65D920A6"/>
    <w:rsid w:val="65D95929"/>
    <w:rsid w:val="65D969F1"/>
    <w:rsid w:val="65DA7590"/>
    <w:rsid w:val="65DB0E2C"/>
    <w:rsid w:val="65DB55A9"/>
    <w:rsid w:val="65DC04C1"/>
    <w:rsid w:val="65DC302A"/>
    <w:rsid w:val="65DC68AD"/>
    <w:rsid w:val="65DD0AAC"/>
    <w:rsid w:val="65DD14E3"/>
    <w:rsid w:val="65DE03FB"/>
    <w:rsid w:val="65DE1DB1"/>
    <w:rsid w:val="65DF2A5C"/>
    <w:rsid w:val="65DF37BF"/>
    <w:rsid w:val="65DF3FAF"/>
    <w:rsid w:val="65E01A30"/>
    <w:rsid w:val="65E052B4"/>
    <w:rsid w:val="65E06E0D"/>
    <w:rsid w:val="65E12D35"/>
    <w:rsid w:val="65E174B2"/>
    <w:rsid w:val="65E207B7"/>
    <w:rsid w:val="65E24F34"/>
    <w:rsid w:val="65E2561F"/>
    <w:rsid w:val="65E36238"/>
    <w:rsid w:val="65E362B1"/>
    <w:rsid w:val="65E40437"/>
    <w:rsid w:val="65E41055"/>
    <w:rsid w:val="65E43CBA"/>
    <w:rsid w:val="65E603C8"/>
    <w:rsid w:val="65E70DA3"/>
    <w:rsid w:val="65E76E3D"/>
    <w:rsid w:val="65E826C0"/>
    <w:rsid w:val="65E848BE"/>
    <w:rsid w:val="65E92340"/>
    <w:rsid w:val="65EA307F"/>
    <w:rsid w:val="65EA5BC3"/>
    <w:rsid w:val="65EC32C5"/>
    <w:rsid w:val="65EC4433"/>
    <w:rsid w:val="65ED6B48"/>
    <w:rsid w:val="65EF204B"/>
    <w:rsid w:val="65EF654B"/>
    <w:rsid w:val="65EF7ACC"/>
    <w:rsid w:val="65F01CCB"/>
    <w:rsid w:val="65F0554E"/>
    <w:rsid w:val="65F07C46"/>
    <w:rsid w:val="65F31BDB"/>
    <w:rsid w:val="65F31D9F"/>
    <w:rsid w:val="65F32C4F"/>
    <w:rsid w:val="65F364D3"/>
    <w:rsid w:val="65F406D1"/>
    <w:rsid w:val="65F43F54"/>
    <w:rsid w:val="65F56152"/>
    <w:rsid w:val="65F71656"/>
    <w:rsid w:val="65F74ED9"/>
    <w:rsid w:val="65F8526B"/>
    <w:rsid w:val="65F870D7"/>
    <w:rsid w:val="65F903DC"/>
    <w:rsid w:val="65FA25DA"/>
    <w:rsid w:val="65FA5E5E"/>
    <w:rsid w:val="65FB005C"/>
    <w:rsid w:val="65FB00E6"/>
    <w:rsid w:val="65FB203F"/>
    <w:rsid w:val="65FB7383"/>
    <w:rsid w:val="65FC1361"/>
    <w:rsid w:val="65FC7F22"/>
    <w:rsid w:val="65FD355F"/>
    <w:rsid w:val="65FE4864"/>
    <w:rsid w:val="65FF07B9"/>
    <w:rsid w:val="65FF25D9"/>
    <w:rsid w:val="65FF44E4"/>
    <w:rsid w:val="65FF6A62"/>
    <w:rsid w:val="66001677"/>
    <w:rsid w:val="66001F65"/>
    <w:rsid w:val="66007D67"/>
    <w:rsid w:val="660157E8"/>
    <w:rsid w:val="6602326A"/>
    <w:rsid w:val="66025468"/>
    <w:rsid w:val="66030CEB"/>
    <w:rsid w:val="66032BD3"/>
    <w:rsid w:val="66032EEA"/>
    <w:rsid w:val="6603588E"/>
    <w:rsid w:val="66063E6E"/>
    <w:rsid w:val="660718F0"/>
    <w:rsid w:val="66080D5A"/>
    <w:rsid w:val="66082BF5"/>
    <w:rsid w:val="66087371"/>
    <w:rsid w:val="66090676"/>
    <w:rsid w:val="660A2875"/>
    <w:rsid w:val="660A3036"/>
    <w:rsid w:val="660C43EA"/>
    <w:rsid w:val="660D4F89"/>
    <w:rsid w:val="660D707D"/>
    <w:rsid w:val="660E5B28"/>
    <w:rsid w:val="660F66C6"/>
    <w:rsid w:val="660F6CFC"/>
    <w:rsid w:val="66100001"/>
    <w:rsid w:val="66107265"/>
    <w:rsid w:val="66115A83"/>
    <w:rsid w:val="661207DE"/>
    <w:rsid w:val="66130F86"/>
    <w:rsid w:val="6613137D"/>
    <w:rsid w:val="66135703"/>
    <w:rsid w:val="66141B92"/>
    <w:rsid w:val="66143184"/>
    <w:rsid w:val="66150C06"/>
    <w:rsid w:val="66154489"/>
    <w:rsid w:val="66161F0A"/>
    <w:rsid w:val="661632D0"/>
    <w:rsid w:val="66166687"/>
    <w:rsid w:val="66171B8A"/>
    <w:rsid w:val="66174109"/>
    <w:rsid w:val="66176972"/>
    <w:rsid w:val="66192E8F"/>
    <w:rsid w:val="66195F86"/>
    <w:rsid w:val="661A06AB"/>
    <w:rsid w:val="661A0911"/>
    <w:rsid w:val="661B6392"/>
    <w:rsid w:val="661B74FF"/>
    <w:rsid w:val="661C3E14"/>
    <w:rsid w:val="661C6631"/>
    <w:rsid w:val="661C7228"/>
    <w:rsid w:val="661C75DF"/>
    <w:rsid w:val="661C7ED9"/>
    <w:rsid w:val="661D0C3C"/>
    <w:rsid w:val="661D1895"/>
    <w:rsid w:val="661E1616"/>
    <w:rsid w:val="661E7317"/>
    <w:rsid w:val="661F1FF1"/>
    <w:rsid w:val="661F21B5"/>
    <w:rsid w:val="661F281A"/>
    <w:rsid w:val="6620029B"/>
    <w:rsid w:val="66207506"/>
    <w:rsid w:val="662242CD"/>
    <w:rsid w:val="66231220"/>
    <w:rsid w:val="66245845"/>
    <w:rsid w:val="66246CA2"/>
    <w:rsid w:val="66280D11"/>
    <w:rsid w:val="662A0BAB"/>
    <w:rsid w:val="662A1850"/>
    <w:rsid w:val="662B2FED"/>
    <w:rsid w:val="662B662D"/>
    <w:rsid w:val="662C40AE"/>
    <w:rsid w:val="662E5105"/>
    <w:rsid w:val="662F5033"/>
    <w:rsid w:val="662F5ADF"/>
    <w:rsid w:val="66317058"/>
    <w:rsid w:val="66320795"/>
    <w:rsid w:val="66331170"/>
    <w:rsid w:val="663372BC"/>
    <w:rsid w:val="663414BA"/>
    <w:rsid w:val="66344D3E"/>
    <w:rsid w:val="66360241"/>
    <w:rsid w:val="66363287"/>
    <w:rsid w:val="66373E26"/>
    <w:rsid w:val="66375CC2"/>
    <w:rsid w:val="66377EC1"/>
    <w:rsid w:val="66383744"/>
    <w:rsid w:val="6638454D"/>
    <w:rsid w:val="663933C4"/>
    <w:rsid w:val="66393B0C"/>
    <w:rsid w:val="663A0E45"/>
    <w:rsid w:val="663A2BAA"/>
    <w:rsid w:val="663B46C9"/>
    <w:rsid w:val="663B68C7"/>
    <w:rsid w:val="663C214A"/>
    <w:rsid w:val="663C4348"/>
    <w:rsid w:val="663D1DCA"/>
    <w:rsid w:val="663D7BCC"/>
    <w:rsid w:val="663D7E90"/>
    <w:rsid w:val="663E784C"/>
    <w:rsid w:val="663F15CE"/>
    <w:rsid w:val="663F52CD"/>
    <w:rsid w:val="66402D4F"/>
    <w:rsid w:val="664065D2"/>
    <w:rsid w:val="66414053"/>
    <w:rsid w:val="66421AD5"/>
    <w:rsid w:val="66433CD3"/>
    <w:rsid w:val="66434C5E"/>
    <w:rsid w:val="664571D6"/>
    <w:rsid w:val="664604DB"/>
    <w:rsid w:val="66466D76"/>
    <w:rsid w:val="66475F5D"/>
    <w:rsid w:val="664804B3"/>
    <w:rsid w:val="664839DE"/>
    <w:rsid w:val="66491460"/>
    <w:rsid w:val="664A6EE1"/>
    <w:rsid w:val="664B4963"/>
    <w:rsid w:val="664C2FA5"/>
    <w:rsid w:val="664C6B61"/>
    <w:rsid w:val="664D3B44"/>
    <w:rsid w:val="664E2064"/>
    <w:rsid w:val="664F3369"/>
    <w:rsid w:val="664F4EF8"/>
    <w:rsid w:val="664F5567"/>
    <w:rsid w:val="664F7AE6"/>
    <w:rsid w:val="66500DEB"/>
    <w:rsid w:val="66502FE9"/>
    <w:rsid w:val="66510A6B"/>
    <w:rsid w:val="6651686C"/>
    <w:rsid w:val="665264EC"/>
    <w:rsid w:val="66533F6E"/>
    <w:rsid w:val="66541127"/>
    <w:rsid w:val="665412EB"/>
    <w:rsid w:val="66551CC6"/>
    <w:rsid w:val="66555272"/>
    <w:rsid w:val="66557471"/>
    <w:rsid w:val="66564EF2"/>
    <w:rsid w:val="66570776"/>
    <w:rsid w:val="66572974"/>
    <w:rsid w:val="665761F7"/>
    <w:rsid w:val="665779AE"/>
    <w:rsid w:val="665803F5"/>
    <w:rsid w:val="66583C79"/>
    <w:rsid w:val="665947B7"/>
    <w:rsid w:val="66595E77"/>
    <w:rsid w:val="665A38F8"/>
    <w:rsid w:val="665A717C"/>
    <w:rsid w:val="665B4BFD"/>
    <w:rsid w:val="665B5EF5"/>
    <w:rsid w:val="665C267F"/>
    <w:rsid w:val="665C6DFC"/>
    <w:rsid w:val="665D0100"/>
    <w:rsid w:val="665D487D"/>
    <w:rsid w:val="665E5B82"/>
    <w:rsid w:val="665F3603"/>
    <w:rsid w:val="66601085"/>
    <w:rsid w:val="66605802"/>
    <w:rsid w:val="66612CC3"/>
    <w:rsid w:val="66620D05"/>
    <w:rsid w:val="66623861"/>
    <w:rsid w:val="66624588"/>
    <w:rsid w:val="6663200A"/>
    <w:rsid w:val="6663423B"/>
    <w:rsid w:val="66643459"/>
    <w:rsid w:val="66647A8B"/>
    <w:rsid w:val="66651C8A"/>
    <w:rsid w:val="66662F8E"/>
    <w:rsid w:val="66670A10"/>
    <w:rsid w:val="66673025"/>
    <w:rsid w:val="6667518D"/>
    <w:rsid w:val="66676D2D"/>
    <w:rsid w:val="66676EF2"/>
    <w:rsid w:val="66680690"/>
    <w:rsid w:val="66682C0E"/>
    <w:rsid w:val="66686491"/>
    <w:rsid w:val="66693E1B"/>
    <w:rsid w:val="666A0E45"/>
    <w:rsid w:val="666A1995"/>
    <w:rsid w:val="666A3B93"/>
    <w:rsid w:val="666B1271"/>
    <w:rsid w:val="666B7416"/>
    <w:rsid w:val="666C3A5C"/>
    <w:rsid w:val="666C4E98"/>
    <w:rsid w:val="666C7096"/>
    <w:rsid w:val="666D2919"/>
    <w:rsid w:val="666E039B"/>
    <w:rsid w:val="666F001B"/>
    <w:rsid w:val="666F5E1C"/>
    <w:rsid w:val="6670131F"/>
    <w:rsid w:val="6670389E"/>
    <w:rsid w:val="66705A9C"/>
    <w:rsid w:val="66720F9F"/>
    <w:rsid w:val="66724822"/>
    <w:rsid w:val="66725A80"/>
    <w:rsid w:val="6672718B"/>
    <w:rsid w:val="66736A21"/>
    <w:rsid w:val="667408C9"/>
    <w:rsid w:val="667444A2"/>
    <w:rsid w:val="66761C7D"/>
    <w:rsid w:val="667679A5"/>
    <w:rsid w:val="66770CAA"/>
    <w:rsid w:val="66782EA9"/>
    <w:rsid w:val="66783F59"/>
    <w:rsid w:val="6678672C"/>
    <w:rsid w:val="6679092A"/>
    <w:rsid w:val="66794933"/>
    <w:rsid w:val="667A1C2F"/>
    <w:rsid w:val="667A530E"/>
    <w:rsid w:val="667A63AC"/>
    <w:rsid w:val="667B3E2D"/>
    <w:rsid w:val="667B76B0"/>
    <w:rsid w:val="667C18AF"/>
    <w:rsid w:val="667C5132"/>
    <w:rsid w:val="667E4DB2"/>
    <w:rsid w:val="668002B5"/>
    <w:rsid w:val="668115BA"/>
    <w:rsid w:val="6682703B"/>
    <w:rsid w:val="668272FB"/>
    <w:rsid w:val="66836399"/>
    <w:rsid w:val="6684253E"/>
    <w:rsid w:val="668469F0"/>
    <w:rsid w:val="66854D92"/>
    <w:rsid w:val="6685767B"/>
    <w:rsid w:val="66861EEC"/>
    <w:rsid w:val="66865A41"/>
    <w:rsid w:val="6686630A"/>
    <w:rsid w:val="668734C3"/>
    <w:rsid w:val="66876CE5"/>
    <w:rsid w:val="66880F45"/>
    <w:rsid w:val="66882EA5"/>
    <w:rsid w:val="668869C6"/>
    <w:rsid w:val="66887883"/>
    <w:rsid w:val="66894448"/>
    <w:rsid w:val="668A0DFC"/>
    <w:rsid w:val="668A1EC9"/>
    <w:rsid w:val="668B794B"/>
    <w:rsid w:val="668D2E4E"/>
    <w:rsid w:val="668D30D8"/>
    <w:rsid w:val="668E08CF"/>
    <w:rsid w:val="668F26CF"/>
    <w:rsid w:val="668F2885"/>
    <w:rsid w:val="668F6351"/>
    <w:rsid w:val="66901C8E"/>
    <w:rsid w:val="66903DD3"/>
    <w:rsid w:val="6690502B"/>
    <w:rsid w:val="669051F0"/>
    <w:rsid w:val="66911096"/>
    <w:rsid w:val="669265A4"/>
    <w:rsid w:val="669272D6"/>
    <w:rsid w:val="66931839"/>
    <w:rsid w:val="66934D57"/>
    <w:rsid w:val="66937143"/>
    <w:rsid w:val="669427D9"/>
    <w:rsid w:val="66947B1D"/>
    <w:rsid w:val="6695025A"/>
    <w:rsid w:val="66961DF9"/>
    <w:rsid w:val="66965CDC"/>
    <w:rsid w:val="66972998"/>
    <w:rsid w:val="6697375D"/>
    <w:rsid w:val="669811DF"/>
    <w:rsid w:val="669A46E2"/>
    <w:rsid w:val="669B59E7"/>
    <w:rsid w:val="669C3468"/>
    <w:rsid w:val="669C5E64"/>
    <w:rsid w:val="669C7BE5"/>
    <w:rsid w:val="669D5667"/>
    <w:rsid w:val="669E30E8"/>
    <w:rsid w:val="669E42B5"/>
    <w:rsid w:val="669E73DD"/>
    <w:rsid w:val="669E75A1"/>
    <w:rsid w:val="66A0406D"/>
    <w:rsid w:val="66A065EB"/>
    <w:rsid w:val="66A22C31"/>
    <w:rsid w:val="66A25372"/>
    <w:rsid w:val="66A27570"/>
    <w:rsid w:val="66A32DF3"/>
    <w:rsid w:val="66A34FF2"/>
    <w:rsid w:val="66A40875"/>
    <w:rsid w:val="66A504F5"/>
    <w:rsid w:val="66A562F6"/>
    <w:rsid w:val="66A63D78"/>
    <w:rsid w:val="66A658E8"/>
    <w:rsid w:val="66A65F76"/>
    <w:rsid w:val="66A717F9"/>
    <w:rsid w:val="66A76486"/>
    <w:rsid w:val="66A81479"/>
    <w:rsid w:val="66A84CFD"/>
    <w:rsid w:val="66A8727B"/>
    <w:rsid w:val="66A9277E"/>
    <w:rsid w:val="66A96EFB"/>
    <w:rsid w:val="66AA03D9"/>
    <w:rsid w:val="66AB0DB4"/>
    <w:rsid w:val="66AB23FE"/>
    <w:rsid w:val="66AC3703"/>
    <w:rsid w:val="66AC7689"/>
    <w:rsid w:val="66AC7E7F"/>
    <w:rsid w:val="66AD1184"/>
    <w:rsid w:val="66AD68DD"/>
    <w:rsid w:val="66AE177D"/>
    <w:rsid w:val="66AE3090"/>
    <w:rsid w:val="66AE3383"/>
    <w:rsid w:val="66AE5B30"/>
    <w:rsid w:val="66AE6C06"/>
    <w:rsid w:val="66AF0E04"/>
    <w:rsid w:val="66AF4687"/>
    <w:rsid w:val="66B02109"/>
    <w:rsid w:val="66B051A7"/>
    <w:rsid w:val="66B14307"/>
    <w:rsid w:val="66B21D89"/>
    <w:rsid w:val="66B2560C"/>
    <w:rsid w:val="66B26720"/>
    <w:rsid w:val="66B3308E"/>
    <w:rsid w:val="66B3780A"/>
    <w:rsid w:val="66B4528C"/>
    <w:rsid w:val="66B6078F"/>
    <w:rsid w:val="66B61212"/>
    <w:rsid w:val="66B64012"/>
    <w:rsid w:val="66B71A94"/>
    <w:rsid w:val="66B71DB0"/>
    <w:rsid w:val="66B76211"/>
    <w:rsid w:val="66B81714"/>
    <w:rsid w:val="66B8278B"/>
    <w:rsid w:val="66B87515"/>
    <w:rsid w:val="66B97195"/>
    <w:rsid w:val="66BA2A18"/>
    <w:rsid w:val="66BB1790"/>
    <w:rsid w:val="66BC030D"/>
    <w:rsid w:val="66BC04C3"/>
    <w:rsid w:val="66BC5441"/>
    <w:rsid w:val="66BD5B9B"/>
    <w:rsid w:val="66BE361D"/>
    <w:rsid w:val="66BE7558"/>
    <w:rsid w:val="66BF00F7"/>
    <w:rsid w:val="66BF109E"/>
    <w:rsid w:val="66BF6EA0"/>
    <w:rsid w:val="66C00C96"/>
    <w:rsid w:val="66C06B20"/>
    <w:rsid w:val="66C145A2"/>
    <w:rsid w:val="66C22023"/>
    <w:rsid w:val="66C2204A"/>
    <w:rsid w:val="66C33328"/>
    <w:rsid w:val="66C40DA9"/>
    <w:rsid w:val="66C45526"/>
    <w:rsid w:val="66C54162"/>
    <w:rsid w:val="66C60A29"/>
    <w:rsid w:val="66C64630"/>
    <w:rsid w:val="66C7249B"/>
    <w:rsid w:val="66C7589F"/>
    <w:rsid w:val="66C83F2C"/>
    <w:rsid w:val="66C86279"/>
    <w:rsid w:val="66C877B0"/>
    <w:rsid w:val="66C919AE"/>
    <w:rsid w:val="66C942D8"/>
    <w:rsid w:val="66CA2CB3"/>
    <w:rsid w:val="66CA7430"/>
    <w:rsid w:val="66CB0734"/>
    <w:rsid w:val="66CB0F2F"/>
    <w:rsid w:val="66CB15A6"/>
    <w:rsid w:val="66CB4EB1"/>
    <w:rsid w:val="66CC1B88"/>
    <w:rsid w:val="66CC2933"/>
    <w:rsid w:val="66CD03B4"/>
    <w:rsid w:val="66CD3C37"/>
    <w:rsid w:val="66CE16B9"/>
    <w:rsid w:val="66CE5E36"/>
    <w:rsid w:val="66CF38B7"/>
    <w:rsid w:val="66CF3A21"/>
    <w:rsid w:val="66CF713B"/>
    <w:rsid w:val="66D04BBC"/>
    <w:rsid w:val="66D1263E"/>
    <w:rsid w:val="66D1483C"/>
    <w:rsid w:val="66D16DBA"/>
    <w:rsid w:val="66D37D3F"/>
    <w:rsid w:val="66D435C2"/>
    <w:rsid w:val="66D457C1"/>
    <w:rsid w:val="66D47276"/>
    <w:rsid w:val="66D60CC4"/>
    <w:rsid w:val="66D66AC5"/>
    <w:rsid w:val="66D74547"/>
    <w:rsid w:val="66D76745"/>
    <w:rsid w:val="66D85EBE"/>
    <w:rsid w:val="66D91C48"/>
    <w:rsid w:val="66D94BF1"/>
    <w:rsid w:val="66D95112"/>
    <w:rsid w:val="66D954CC"/>
    <w:rsid w:val="66D95632"/>
    <w:rsid w:val="66D97A4A"/>
    <w:rsid w:val="66DA2F4D"/>
    <w:rsid w:val="66DB09CF"/>
    <w:rsid w:val="66DC2BCD"/>
    <w:rsid w:val="66DD064E"/>
    <w:rsid w:val="66DE60D0"/>
    <w:rsid w:val="66E000AE"/>
    <w:rsid w:val="66E015D3"/>
    <w:rsid w:val="66E04E56"/>
    <w:rsid w:val="66E17055"/>
    <w:rsid w:val="66E2035A"/>
    <w:rsid w:val="66E217EC"/>
    <w:rsid w:val="66E32558"/>
    <w:rsid w:val="66E35DDB"/>
    <w:rsid w:val="66E47FD9"/>
    <w:rsid w:val="66E512DE"/>
    <w:rsid w:val="66E55A5B"/>
    <w:rsid w:val="66E64E7C"/>
    <w:rsid w:val="66E747E1"/>
    <w:rsid w:val="66E82263"/>
    <w:rsid w:val="66EA5766"/>
    <w:rsid w:val="66EB0348"/>
    <w:rsid w:val="66EB31E7"/>
    <w:rsid w:val="66EB5B17"/>
    <w:rsid w:val="66EC0C69"/>
    <w:rsid w:val="66ED18C1"/>
    <w:rsid w:val="66ED1A86"/>
    <w:rsid w:val="66ED5733"/>
    <w:rsid w:val="66ED66EB"/>
    <w:rsid w:val="66EE416C"/>
    <w:rsid w:val="66EF1BEE"/>
    <w:rsid w:val="66F12B72"/>
    <w:rsid w:val="66F35CB5"/>
    <w:rsid w:val="66F36075"/>
    <w:rsid w:val="66F3668F"/>
    <w:rsid w:val="66F37768"/>
    <w:rsid w:val="66F43AF7"/>
    <w:rsid w:val="66F44FD1"/>
    <w:rsid w:val="66F57DCC"/>
    <w:rsid w:val="66F607A6"/>
    <w:rsid w:val="66F71345"/>
    <w:rsid w:val="66F81EE4"/>
    <w:rsid w:val="66F928BE"/>
    <w:rsid w:val="66F97F7F"/>
    <w:rsid w:val="66FE5F4E"/>
    <w:rsid w:val="66FE6113"/>
    <w:rsid w:val="66FF1E88"/>
    <w:rsid w:val="670074C7"/>
    <w:rsid w:val="6700768C"/>
    <w:rsid w:val="67010066"/>
    <w:rsid w:val="67010C0E"/>
    <w:rsid w:val="67022E0D"/>
    <w:rsid w:val="67026690"/>
    <w:rsid w:val="67034111"/>
    <w:rsid w:val="67042D1C"/>
    <w:rsid w:val="67046310"/>
    <w:rsid w:val="670536F6"/>
    <w:rsid w:val="67053D91"/>
    <w:rsid w:val="67065096"/>
    <w:rsid w:val="67077294"/>
    <w:rsid w:val="67080599"/>
    <w:rsid w:val="67090D70"/>
    <w:rsid w:val="670963AD"/>
    <w:rsid w:val="670B371C"/>
    <w:rsid w:val="670B7AEA"/>
    <w:rsid w:val="670C04C4"/>
    <w:rsid w:val="670C119E"/>
    <w:rsid w:val="670D4A21"/>
    <w:rsid w:val="670D6C1F"/>
    <w:rsid w:val="670E1A3D"/>
    <w:rsid w:val="670E24A3"/>
    <w:rsid w:val="670E46A1"/>
    <w:rsid w:val="67107BA4"/>
    <w:rsid w:val="67110EA9"/>
    <w:rsid w:val="671230A7"/>
    <w:rsid w:val="671273F1"/>
    <w:rsid w:val="671275A7"/>
    <w:rsid w:val="67127912"/>
    <w:rsid w:val="67130B29"/>
    <w:rsid w:val="671343AC"/>
    <w:rsid w:val="671369AF"/>
    <w:rsid w:val="67141E2D"/>
    <w:rsid w:val="6715402C"/>
    <w:rsid w:val="671578AF"/>
    <w:rsid w:val="67170922"/>
    <w:rsid w:val="67184FB0"/>
    <w:rsid w:val="67185FD7"/>
    <w:rsid w:val="67191CD7"/>
    <w:rsid w:val="67192A32"/>
    <w:rsid w:val="671962B5"/>
    <w:rsid w:val="671A04B3"/>
    <w:rsid w:val="671B0D32"/>
    <w:rsid w:val="671B17B8"/>
    <w:rsid w:val="671B5F35"/>
    <w:rsid w:val="671C3DEE"/>
    <w:rsid w:val="671C58B1"/>
    <w:rsid w:val="671D1438"/>
    <w:rsid w:val="671D4CBB"/>
    <w:rsid w:val="671E5F06"/>
    <w:rsid w:val="671F01BE"/>
    <w:rsid w:val="671F124A"/>
    <w:rsid w:val="67201D84"/>
    <w:rsid w:val="67205C40"/>
    <w:rsid w:val="6721001D"/>
    <w:rsid w:val="67210FD7"/>
    <w:rsid w:val="67211863"/>
    <w:rsid w:val="67217E3E"/>
    <w:rsid w:val="67223341"/>
    <w:rsid w:val="67230DC3"/>
    <w:rsid w:val="67236BC5"/>
    <w:rsid w:val="67242135"/>
    <w:rsid w:val="67244646"/>
    <w:rsid w:val="67246844"/>
    <w:rsid w:val="672542C6"/>
    <w:rsid w:val="67261D48"/>
    <w:rsid w:val="672636AE"/>
    <w:rsid w:val="672755CB"/>
    <w:rsid w:val="672777C9"/>
    <w:rsid w:val="6728304C"/>
    <w:rsid w:val="67284C27"/>
    <w:rsid w:val="6728524B"/>
    <w:rsid w:val="67292CCC"/>
    <w:rsid w:val="672A074E"/>
    <w:rsid w:val="672B1A53"/>
    <w:rsid w:val="672B61CF"/>
    <w:rsid w:val="672C047C"/>
    <w:rsid w:val="672E29D7"/>
    <w:rsid w:val="672F0459"/>
    <w:rsid w:val="672F4040"/>
    <w:rsid w:val="672F4561"/>
    <w:rsid w:val="672F4BD5"/>
    <w:rsid w:val="67302657"/>
    <w:rsid w:val="67303132"/>
    <w:rsid w:val="6730396A"/>
    <w:rsid w:val="67305EDA"/>
    <w:rsid w:val="67311FC6"/>
    <w:rsid w:val="6731395C"/>
    <w:rsid w:val="673213DD"/>
    <w:rsid w:val="67325B5A"/>
    <w:rsid w:val="673335DC"/>
    <w:rsid w:val="67336E5F"/>
    <w:rsid w:val="673448E0"/>
    <w:rsid w:val="67352362"/>
    <w:rsid w:val="6736719C"/>
    <w:rsid w:val="67367DE4"/>
    <w:rsid w:val="67375865"/>
    <w:rsid w:val="67380715"/>
    <w:rsid w:val="67387A63"/>
    <w:rsid w:val="67390D68"/>
    <w:rsid w:val="673A09E8"/>
    <w:rsid w:val="673A282D"/>
    <w:rsid w:val="673A29F1"/>
    <w:rsid w:val="673A67EA"/>
    <w:rsid w:val="673B426B"/>
    <w:rsid w:val="673D196D"/>
    <w:rsid w:val="673D4944"/>
    <w:rsid w:val="673F2C72"/>
    <w:rsid w:val="673F58BB"/>
    <w:rsid w:val="674028F1"/>
    <w:rsid w:val="67410373"/>
    <w:rsid w:val="674175FB"/>
    <w:rsid w:val="67420199"/>
    <w:rsid w:val="67421678"/>
    <w:rsid w:val="67433876"/>
    <w:rsid w:val="674412F8"/>
    <w:rsid w:val="67444B7B"/>
    <w:rsid w:val="67446E17"/>
    <w:rsid w:val="674522B1"/>
    <w:rsid w:val="67462C8B"/>
    <w:rsid w:val="6746382A"/>
    <w:rsid w:val="6747227C"/>
    <w:rsid w:val="67473665"/>
    <w:rsid w:val="67483581"/>
    <w:rsid w:val="67491FBB"/>
    <w:rsid w:val="674A631B"/>
    <w:rsid w:val="674B0C82"/>
    <w:rsid w:val="674C6444"/>
    <w:rsid w:val="674C6704"/>
    <w:rsid w:val="674C7894"/>
    <w:rsid w:val="674D0098"/>
    <w:rsid w:val="674D0433"/>
    <w:rsid w:val="674D05F7"/>
    <w:rsid w:val="674F1B70"/>
    <w:rsid w:val="6750098D"/>
    <w:rsid w:val="67512F25"/>
    <w:rsid w:val="67523C88"/>
    <w:rsid w:val="67535201"/>
    <w:rsid w:val="6754503C"/>
    <w:rsid w:val="67547394"/>
    <w:rsid w:val="67554E15"/>
    <w:rsid w:val="67585D9A"/>
    <w:rsid w:val="6759381B"/>
    <w:rsid w:val="675A129D"/>
    <w:rsid w:val="675A1E0A"/>
    <w:rsid w:val="675A3622"/>
    <w:rsid w:val="675A6D1E"/>
    <w:rsid w:val="675C1AC8"/>
    <w:rsid w:val="675E4AC0"/>
    <w:rsid w:val="675F565F"/>
    <w:rsid w:val="67600C28"/>
    <w:rsid w:val="676166A9"/>
    <w:rsid w:val="67617776"/>
    <w:rsid w:val="67631BAC"/>
    <w:rsid w:val="6764762E"/>
    <w:rsid w:val="676550B0"/>
    <w:rsid w:val="676663B4"/>
    <w:rsid w:val="676705B3"/>
    <w:rsid w:val="67673E36"/>
    <w:rsid w:val="67674899"/>
    <w:rsid w:val="676818B7"/>
    <w:rsid w:val="67693AB6"/>
    <w:rsid w:val="67695728"/>
    <w:rsid w:val="676958DE"/>
    <w:rsid w:val="67697339"/>
    <w:rsid w:val="676A1537"/>
    <w:rsid w:val="676B283C"/>
    <w:rsid w:val="676B34F8"/>
    <w:rsid w:val="676B36AE"/>
    <w:rsid w:val="676B40F0"/>
    <w:rsid w:val="676C02BE"/>
    <w:rsid w:val="676D5D3F"/>
    <w:rsid w:val="676E05AF"/>
    <w:rsid w:val="676E37C1"/>
    <w:rsid w:val="676F0F89"/>
    <w:rsid w:val="676F1572"/>
    <w:rsid w:val="67710EC2"/>
    <w:rsid w:val="677130A1"/>
    <w:rsid w:val="67714745"/>
    <w:rsid w:val="67723C3F"/>
    <w:rsid w:val="67731E47"/>
    <w:rsid w:val="67734619"/>
    <w:rsid w:val="6775314C"/>
    <w:rsid w:val="6775534A"/>
    <w:rsid w:val="67755D57"/>
    <w:rsid w:val="67760BCD"/>
    <w:rsid w:val="67762DCB"/>
    <w:rsid w:val="677668F5"/>
    <w:rsid w:val="67770271"/>
    <w:rsid w:val="67770426"/>
    <w:rsid w:val="6777084D"/>
    <w:rsid w:val="677862CF"/>
    <w:rsid w:val="677879E5"/>
    <w:rsid w:val="67787CAA"/>
    <w:rsid w:val="67791B52"/>
    <w:rsid w:val="677961F6"/>
    <w:rsid w:val="67796A82"/>
    <w:rsid w:val="677A1223"/>
    <w:rsid w:val="677A33C6"/>
    <w:rsid w:val="677B1F86"/>
    <w:rsid w:val="677B7253"/>
    <w:rsid w:val="677C0558"/>
    <w:rsid w:val="677D3ED9"/>
    <w:rsid w:val="677D409D"/>
    <w:rsid w:val="677D5FDA"/>
    <w:rsid w:val="677E01D8"/>
    <w:rsid w:val="677E3A5B"/>
    <w:rsid w:val="677E6DAE"/>
    <w:rsid w:val="677F14DD"/>
    <w:rsid w:val="677F5C59"/>
    <w:rsid w:val="678036DB"/>
    <w:rsid w:val="67805FF1"/>
    <w:rsid w:val="67806F5E"/>
    <w:rsid w:val="6781115C"/>
    <w:rsid w:val="678149E0"/>
    <w:rsid w:val="67822461"/>
    <w:rsid w:val="67826BDE"/>
    <w:rsid w:val="67837EE3"/>
    <w:rsid w:val="678420E1"/>
    <w:rsid w:val="67857B63"/>
    <w:rsid w:val="678655E4"/>
    <w:rsid w:val="67873066"/>
    <w:rsid w:val="678802FD"/>
    <w:rsid w:val="67880AE7"/>
    <w:rsid w:val="6788436B"/>
    <w:rsid w:val="678B58B0"/>
    <w:rsid w:val="678C4F6F"/>
    <w:rsid w:val="678C6FED"/>
    <w:rsid w:val="678E6274"/>
    <w:rsid w:val="678F4653"/>
    <w:rsid w:val="678F5EF4"/>
    <w:rsid w:val="67901777"/>
    <w:rsid w:val="67903975"/>
    <w:rsid w:val="679171F9"/>
    <w:rsid w:val="6792321C"/>
    <w:rsid w:val="67924C7A"/>
    <w:rsid w:val="67926E78"/>
    <w:rsid w:val="67945BFF"/>
    <w:rsid w:val="67953680"/>
    <w:rsid w:val="679542C8"/>
    <w:rsid w:val="67955170"/>
    <w:rsid w:val="67961102"/>
    <w:rsid w:val="6796278B"/>
    <w:rsid w:val="679631B0"/>
    <w:rsid w:val="6796587F"/>
    <w:rsid w:val="67965B4A"/>
    <w:rsid w:val="67973300"/>
    <w:rsid w:val="67980D82"/>
    <w:rsid w:val="67984605"/>
    <w:rsid w:val="67992086"/>
    <w:rsid w:val="67996803"/>
    <w:rsid w:val="679A6CBC"/>
    <w:rsid w:val="679A77F5"/>
    <w:rsid w:val="679A7B08"/>
    <w:rsid w:val="679B1D79"/>
    <w:rsid w:val="679B558A"/>
    <w:rsid w:val="679C2918"/>
    <w:rsid w:val="679C300B"/>
    <w:rsid w:val="679D0A8D"/>
    <w:rsid w:val="679D5209"/>
    <w:rsid w:val="679E2C8B"/>
    <w:rsid w:val="679E3E90"/>
    <w:rsid w:val="679E650E"/>
    <w:rsid w:val="679F3F90"/>
    <w:rsid w:val="67A0618E"/>
    <w:rsid w:val="67A13C10"/>
    <w:rsid w:val="67A15FA8"/>
    <w:rsid w:val="67A24F14"/>
    <w:rsid w:val="67A36FC6"/>
    <w:rsid w:val="67A40418"/>
    <w:rsid w:val="67A42616"/>
    <w:rsid w:val="67A45EAE"/>
    <w:rsid w:val="67A4786A"/>
    <w:rsid w:val="67A50097"/>
    <w:rsid w:val="67A55102"/>
    <w:rsid w:val="67A55E99"/>
    <w:rsid w:val="67A7139C"/>
    <w:rsid w:val="67AA652A"/>
    <w:rsid w:val="67AA7DA2"/>
    <w:rsid w:val="67AB1FA1"/>
    <w:rsid w:val="67AB5A2C"/>
    <w:rsid w:val="67AC2BC3"/>
    <w:rsid w:val="67AC32A5"/>
    <w:rsid w:val="67AC7A22"/>
    <w:rsid w:val="67AD54A4"/>
    <w:rsid w:val="67AD6FA5"/>
    <w:rsid w:val="67AE67A9"/>
    <w:rsid w:val="67AE7B43"/>
    <w:rsid w:val="67AF051E"/>
    <w:rsid w:val="67AF422A"/>
    <w:rsid w:val="67B06428"/>
    <w:rsid w:val="67B11C5B"/>
    <w:rsid w:val="67B13EAA"/>
    <w:rsid w:val="67B1772D"/>
    <w:rsid w:val="67B22635"/>
    <w:rsid w:val="67B552EB"/>
    <w:rsid w:val="67B71637"/>
    <w:rsid w:val="67B97DDD"/>
    <w:rsid w:val="67BA25BB"/>
    <w:rsid w:val="67BB003D"/>
    <w:rsid w:val="67BC1D30"/>
    <w:rsid w:val="67BD2A93"/>
    <w:rsid w:val="67BF3E48"/>
    <w:rsid w:val="67BF6A43"/>
    <w:rsid w:val="67C03A60"/>
    <w:rsid w:val="67C044C4"/>
    <w:rsid w:val="67C049E6"/>
    <w:rsid w:val="67C04BAB"/>
    <w:rsid w:val="67C15585"/>
    <w:rsid w:val="67C21B9B"/>
    <w:rsid w:val="67C25449"/>
    <w:rsid w:val="67C26CC2"/>
    <w:rsid w:val="67C279C8"/>
    <w:rsid w:val="67C32ECB"/>
    <w:rsid w:val="67C4023B"/>
    <w:rsid w:val="67C50C16"/>
    <w:rsid w:val="67C563CE"/>
    <w:rsid w:val="67C617B4"/>
    <w:rsid w:val="67C63E4F"/>
    <w:rsid w:val="67C82D2D"/>
    <w:rsid w:val="67C9107F"/>
    <w:rsid w:val="67C942F6"/>
    <w:rsid w:val="67C94DD4"/>
    <w:rsid w:val="67CA2856"/>
    <w:rsid w:val="67CA42A6"/>
    <w:rsid w:val="67CC15DC"/>
    <w:rsid w:val="67CC5D59"/>
    <w:rsid w:val="67CD37DA"/>
    <w:rsid w:val="67CD63BE"/>
    <w:rsid w:val="67CD705D"/>
    <w:rsid w:val="67CF069A"/>
    <w:rsid w:val="67CF2561"/>
    <w:rsid w:val="67CF623D"/>
    <w:rsid w:val="67CF6CDD"/>
    <w:rsid w:val="67CF7936"/>
    <w:rsid w:val="67D11A4E"/>
    <w:rsid w:val="67D121E0"/>
    <w:rsid w:val="67D13936"/>
    <w:rsid w:val="67D225ED"/>
    <w:rsid w:val="67D27C62"/>
    <w:rsid w:val="67D356E3"/>
    <w:rsid w:val="67D43165"/>
    <w:rsid w:val="67D50BE7"/>
    <w:rsid w:val="67D61EEB"/>
    <w:rsid w:val="67D650DE"/>
    <w:rsid w:val="67D7796D"/>
    <w:rsid w:val="67D81B6B"/>
    <w:rsid w:val="67D853EE"/>
    <w:rsid w:val="67D92E70"/>
    <w:rsid w:val="67D971F6"/>
    <w:rsid w:val="67DB0571"/>
    <w:rsid w:val="67DC130D"/>
    <w:rsid w:val="67DC1E5B"/>
    <w:rsid w:val="67DC5FF3"/>
    <w:rsid w:val="67DD0343"/>
    <w:rsid w:val="67DD1876"/>
    <w:rsid w:val="67DD2A4B"/>
    <w:rsid w:val="67DD3A75"/>
    <w:rsid w:val="67DE7597"/>
    <w:rsid w:val="67DF4D79"/>
    <w:rsid w:val="67E027FB"/>
    <w:rsid w:val="67E1247B"/>
    <w:rsid w:val="67E25CFE"/>
    <w:rsid w:val="67E260DB"/>
    <w:rsid w:val="67E33780"/>
    <w:rsid w:val="67E3597E"/>
    <w:rsid w:val="67E36C7A"/>
    <w:rsid w:val="67E433FF"/>
    <w:rsid w:val="67E50E81"/>
    <w:rsid w:val="67E62186"/>
    <w:rsid w:val="67E66902"/>
    <w:rsid w:val="67E81E06"/>
    <w:rsid w:val="67E85689"/>
    <w:rsid w:val="67E92EA9"/>
    <w:rsid w:val="67E9310A"/>
    <w:rsid w:val="67E97887"/>
    <w:rsid w:val="67EA0B8C"/>
    <w:rsid w:val="67EC244A"/>
    <w:rsid w:val="67EC2B21"/>
    <w:rsid w:val="67ED14E8"/>
    <w:rsid w:val="67ED628D"/>
    <w:rsid w:val="67ED6375"/>
    <w:rsid w:val="67EE03D0"/>
    <w:rsid w:val="67EE3D0F"/>
    <w:rsid w:val="67EE7592"/>
    <w:rsid w:val="67EF7AB2"/>
    <w:rsid w:val="67F027BB"/>
    <w:rsid w:val="67F10517"/>
    <w:rsid w:val="67F22715"/>
    <w:rsid w:val="67F30197"/>
    <w:rsid w:val="67F32768"/>
    <w:rsid w:val="67F33A1A"/>
    <w:rsid w:val="67F46BD3"/>
    <w:rsid w:val="67F5111B"/>
    <w:rsid w:val="67F6499F"/>
    <w:rsid w:val="67F66B9D"/>
    <w:rsid w:val="67F678D8"/>
    <w:rsid w:val="67F7461E"/>
    <w:rsid w:val="67F820A0"/>
    <w:rsid w:val="67F87EA2"/>
    <w:rsid w:val="67FA55A3"/>
    <w:rsid w:val="67FA7D4C"/>
    <w:rsid w:val="67FB0E26"/>
    <w:rsid w:val="67FB41E6"/>
    <w:rsid w:val="67FB68A8"/>
    <w:rsid w:val="67FC0AA6"/>
    <w:rsid w:val="67FC3283"/>
    <w:rsid w:val="67FC4329"/>
    <w:rsid w:val="67FD1DAB"/>
    <w:rsid w:val="67FD6528"/>
    <w:rsid w:val="67FE6CF9"/>
    <w:rsid w:val="67FE782C"/>
    <w:rsid w:val="67FF1A2B"/>
    <w:rsid w:val="67FF52AE"/>
    <w:rsid w:val="68002D30"/>
    <w:rsid w:val="68003F7B"/>
    <w:rsid w:val="68014955"/>
    <w:rsid w:val="680256B8"/>
    <w:rsid w:val="68030431"/>
    <w:rsid w:val="68041736"/>
    <w:rsid w:val="68045EB2"/>
    <w:rsid w:val="68046A6D"/>
    <w:rsid w:val="68053934"/>
    <w:rsid w:val="680571B7"/>
    <w:rsid w:val="680613B6"/>
    <w:rsid w:val="68064C39"/>
    <w:rsid w:val="6808013C"/>
    <w:rsid w:val="68094ABE"/>
    <w:rsid w:val="68095BBE"/>
    <w:rsid w:val="680A363F"/>
    <w:rsid w:val="680A680D"/>
    <w:rsid w:val="680A7DBC"/>
    <w:rsid w:val="680B10C1"/>
    <w:rsid w:val="680B4215"/>
    <w:rsid w:val="680B501F"/>
    <w:rsid w:val="680B56F5"/>
    <w:rsid w:val="680B583D"/>
    <w:rsid w:val="680B72D0"/>
    <w:rsid w:val="680C4DB4"/>
    <w:rsid w:val="680C6B42"/>
    <w:rsid w:val="680D5952"/>
    <w:rsid w:val="680E64F1"/>
    <w:rsid w:val="680F1CC5"/>
    <w:rsid w:val="680F708F"/>
    <w:rsid w:val="680F7AC7"/>
    <w:rsid w:val="68105548"/>
    <w:rsid w:val="68107747"/>
    <w:rsid w:val="68107A6A"/>
    <w:rsid w:val="68110608"/>
    <w:rsid w:val="68112FCA"/>
    <w:rsid w:val="681151C8"/>
    <w:rsid w:val="68120A4B"/>
    <w:rsid w:val="68120FE3"/>
    <w:rsid w:val="6812496D"/>
    <w:rsid w:val="6814255B"/>
    <w:rsid w:val="681430FA"/>
    <w:rsid w:val="6814614D"/>
    <w:rsid w:val="68153BCE"/>
    <w:rsid w:val="68157452"/>
    <w:rsid w:val="68161650"/>
    <w:rsid w:val="681770D1"/>
    <w:rsid w:val="68184B53"/>
    <w:rsid w:val="68195E58"/>
    <w:rsid w:val="6819694F"/>
    <w:rsid w:val="68197B67"/>
    <w:rsid w:val="681A38D9"/>
    <w:rsid w:val="681A7329"/>
    <w:rsid w:val="681A77FC"/>
    <w:rsid w:val="681B7D03"/>
    <w:rsid w:val="681B7EC8"/>
    <w:rsid w:val="681C0A67"/>
    <w:rsid w:val="681C6DDC"/>
    <w:rsid w:val="681E1FDF"/>
    <w:rsid w:val="681E22E0"/>
    <w:rsid w:val="681E4749"/>
    <w:rsid w:val="681F6961"/>
    <w:rsid w:val="681F7D61"/>
    <w:rsid w:val="682057E3"/>
    <w:rsid w:val="68211994"/>
    <w:rsid w:val="68213264"/>
    <w:rsid w:val="68220CE6"/>
    <w:rsid w:val="682254AB"/>
    <w:rsid w:val="682575C3"/>
    <w:rsid w:val="682676EC"/>
    <w:rsid w:val="68272A1B"/>
    <w:rsid w:val="682730F1"/>
    <w:rsid w:val="682A2E18"/>
    <w:rsid w:val="682B15F5"/>
    <w:rsid w:val="682D4F2F"/>
    <w:rsid w:val="682E590A"/>
    <w:rsid w:val="682F7047"/>
    <w:rsid w:val="682F7FFB"/>
    <w:rsid w:val="68305A7D"/>
    <w:rsid w:val="68307BE6"/>
    <w:rsid w:val="683134FF"/>
    <w:rsid w:val="68326D82"/>
    <w:rsid w:val="683426D7"/>
    <w:rsid w:val="68347D07"/>
    <w:rsid w:val="68355788"/>
    <w:rsid w:val="68355A84"/>
    <w:rsid w:val="6836320A"/>
    <w:rsid w:val="68365042"/>
    <w:rsid w:val="683653AD"/>
    <w:rsid w:val="68370C8B"/>
    <w:rsid w:val="68375408"/>
    <w:rsid w:val="68382E89"/>
    <w:rsid w:val="683851C9"/>
    <w:rsid w:val="6838670D"/>
    <w:rsid w:val="683A1C10"/>
    <w:rsid w:val="683A638D"/>
    <w:rsid w:val="683B64A9"/>
    <w:rsid w:val="683C1890"/>
    <w:rsid w:val="683C5113"/>
    <w:rsid w:val="683C7CBB"/>
    <w:rsid w:val="683D2B94"/>
    <w:rsid w:val="683D7311"/>
    <w:rsid w:val="683F2814"/>
    <w:rsid w:val="683F6098"/>
    <w:rsid w:val="68415D17"/>
    <w:rsid w:val="6842701C"/>
    <w:rsid w:val="68430416"/>
    <w:rsid w:val="68430781"/>
    <w:rsid w:val="6843121A"/>
    <w:rsid w:val="68434A9E"/>
    <w:rsid w:val="68435627"/>
    <w:rsid w:val="6844251F"/>
    <w:rsid w:val="6844471E"/>
    <w:rsid w:val="68446002"/>
    <w:rsid w:val="68446C9C"/>
    <w:rsid w:val="68457FA1"/>
    <w:rsid w:val="68465A22"/>
    <w:rsid w:val="6846757A"/>
    <w:rsid w:val="68472BFE"/>
    <w:rsid w:val="684734A4"/>
    <w:rsid w:val="684756A2"/>
    <w:rsid w:val="68480F25"/>
    <w:rsid w:val="68483124"/>
    <w:rsid w:val="684969A7"/>
    <w:rsid w:val="684A6627"/>
    <w:rsid w:val="684B40A8"/>
    <w:rsid w:val="684C1B2A"/>
    <w:rsid w:val="684C53AD"/>
    <w:rsid w:val="684C792C"/>
    <w:rsid w:val="684D2E2F"/>
    <w:rsid w:val="684D75AC"/>
    <w:rsid w:val="684E08B0"/>
    <w:rsid w:val="684E58C1"/>
    <w:rsid w:val="68506FFE"/>
    <w:rsid w:val="68511835"/>
    <w:rsid w:val="685179D9"/>
    <w:rsid w:val="685314B5"/>
    <w:rsid w:val="685409C3"/>
    <w:rsid w:val="685427BA"/>
    <w:rsid w:val="685549B8"/>
    <w:rsid w:val="68563069"/>
    <w:rsid w:val="68565CBD"/>
    <w:rsid w:val="6857373E"/>
    <w:rsid w:val="68577EBB"/>
    <w:rsid w:val="685811C0"/>
    <w:rsid w:val="685847A6"/>
    <w:rsid w:val="68596C41"/>
    <w:rsid w:val="685A46C3"/>
    <w:rsid w:val="685B2144"/>
    <w:rsid w:val="685B68C1"/>
    <w:rsid w:val="685B745D"/>
    <w:rsid w:val="685C133F"/>
    <w:rsid w:val="685C1DC4"/>
    <w:rsid w:val="685C7BC6"/>
    <w:rsid w:val="685D2839"/>
    <w:rsid w:val="685D5648"/>
    <w:rsid w:val="685D7846"/>
    <w:rsid w:val="685E13B0"/>
    <w:rsid w:val="685E52C7"/>
    <w:rsid w:val="685E64FA"/>
    <w:rsid w:val="685F0B4B"/>
    <w:rsid w:val="685F2D49"/>
    <w:rsid w:val="686007CB"/>
    <w:rsid w:val="68602928"/>
    <w:rsid w:val="68610A2F"/>
    <w:rsid w:val="686134C7"/>
    <w:rsid w:val="6861368C"/>
    <w:rsid w:val="6861404E"/>
    <w:rsid w:val="68621ACF"/>
    <w:rsid w:val="68623877"/>
    <w:rsid w:val="686261C8"/>
    <w:rsid w:val="6863174F"/>
    <w:rsid w:val="68632C80"/>
    <w:rsid w:val="68642A54"/>
    <w:rsid w:val="68644FD2"/>
    <w:rsid w:val="686471D1"/>
    <w:rsid w:val="686504D6"/>
    <w:rsid w:val="68654C52"/>
    <w:rsid w:val="6865617D"/>
    <w:rsid w:val="68656D1C"/>
    <w:rsid w:val="686626D4"/>
    <w:rsid w:val="68665F57"/>
    <w:rsid w:val="686676F6"/>
    <w:rsid w:val="686739D9"/>
    <w:rsid w:val="68680C6F"/>
    <w:rsid w:val="6868145A"/>
    <w:rsid w:val="68685BD7"/>
    <w:rsid w:val="68696EDC"/>
    <w:rsid w:val="686A495D"/>
    <w:rsid w:val="686B23DF"/>
    <w:rsid w:val="686B6B5C"/>
    <w:rsid w:val="686C45DD"/>
    <w:rsid w:val="686C7E60"/>
    <w:rsid w:val="686D205F"/>
    <w:rsid w:val="686D58E2"/>
    <w:rsid w:val="686F0DE5"/>
    <w:rsid w:val="686F5562"/>
    <w:rsid w:val="68702FE3"/>
    <w:rsid w:val="6870620A"/>
    <w:rsid w:val="68706417"/>
    <w:rsid w:val="687065DC"/>
    <w:rsid w:val="68706867"/>
    <w:rsid w:val="68710A65"/>
    <w:rsid w:val="68721D6A"/>
    <w:rsid w:val="68723A04"/>
    <w:rsid w:val="68727990"/>
    <w:rsid w:val="687306F3"/>
    <w:rsid w:val="687419EA"/>
    <w:rsid w:val="6874746B"/>
    <w:rsid w:val="68760770"/>
    <w:rsid w:val="687703F0"/>
    <w:rsid w:val="687761F1"/>
    <w:rsid w:val="68783934"/>
    <w:rsid w:val="68783C73"/>
    <w:rsid w:val="687916F5"/>
    <w:rsid w:val="687A1374"/>
    <w:rsid w:val="687A7176"/>
    <w:rsid w:val="687C00FB"/>
    <w:rsid w:val="687C2679"/>
    <w:rsid w:val="687C724F"/>
    <w:rsid w:val="687C7414"/>
    <w:rsid w:val="687E098D"/>
    <w:rsid w:val="687E0D52"/>
    <w:rsid w:val="687E35FE"/>
    <w:rsid w:val="687E7D7B"/>
    <w:rsid w:val="687F107F"/>
    <w:rsid w:val="687F7FA5"/>
    <w:rsid w:val="68805514"/>
    <w:rsid w:val="68806B01"/>
    <w:rsid w:val="68812AA4"/>
    <w:rsid w:val="68814582"/>
    <w:rsid w:val="6882347F"/>
    <w:rsid w:val="68834BBC"/>
    <w:rsid w:val="68837A86"/>
    <w:rsid w:val="68845507"/>
    <w:rsid w:val="68845596"/>
    <w:rsid w:val="68852F89"/>
    <w:rsid w:val="68860A0A"/>
    <w:rsid w:val="68866CD3"/>
    <w:rsid w:val="688776AE"/>
    <w:rsid w:val="68883F0D"/>
    <w:rsid w:val="688A17C5"/>
    <w:rsid w:val="688A198A"/>
    <w:rsid w:val="688A7410"/>
    <w:rsid w:val="688B47FD"/>
    <w:rsid w:val="688C2D3E"/>
    <w:rsid w:val="688C3A50"/>
    <w:rsid w:val="688D0395"/>
    <w:rsid w:val="688D2938"/>
    <w:rsid w:val="688D38DD"/>
    <w:rsid w:val="688E5E17"/>
    <w:rsid w:val="688F3898"/>
    <w:rsid w:val="68900156"/>
    <w:rsid w:val="6890131A"/>
    <w:rsid w:val="68901650"/>
    <w:rsid w:val="689063CF"/>
    <w:rsid w:val="68916D9B"/>
    <w:rsid w:val="6892481D"/>
    <w:rsid w:val="68941085"/>
    <w:rsid w:val="68947D20"/>
    <w:rsid w:val="68953223"/>
    <w:rsid w:val="68960CA5"/>
    <w:rsid w:val="68981FA9"/>
    <w:rsid w:val="68983B76"/>
    <w:rsid w:val="68983D3B"/>
    <w:rsid w:val="689841A8"/>
    <w:rsid w:val="68997A2B"/>
    <w:rsid w:val="689A54AC"/>
    <w:rsid w:val="689B2F2E"/>
    <w:rsid w:val="689B512C"/>
    <w:rsid w:val="689C09B0"/>
    <w:rsid w:val="689C5115"/>
    <w:rsid w:val="689D3EB3"/>
    <w:rsid w:val="689D3FFD"/>
    <w:rsid w:val="689F3B33"/>
    <w:rsid w:val="68A04E37"/>
    <w:rsid w:val="68A128B9"/>
    <w:rsid w:val="68A12A5C"/>
    <w:rsid w:val="68A17036"/>
    <w:rsid w:val="68A2033A"/>
    <w:rsid w:val="68A23436"/>
    <w:rsid w:val="68A235FA"/>
    <w:rsid w:val="68A24AB7"/>
    <w:rsid w:val="68A35DBC"/>
    <w:rsid w:val="68A4383E"/>
    <w:rsid w:val="68A43EF6"/>
    <w:rsid w:val="68A512BF"/>
    <w:rsid w:val="68A634BD"/>
    <w:rsid w:val="68A66D41"/>
    <w:rsid w:val="68A70F3F"/>
    <w:rsid w:val="68A747C2"/>
    <w:rsid w:val="68A82244"/>
    <w:rsid w:val="68A869C0"/>
    <w:rsid w:val="68A903C8"/>
    <w:rsid w:val="68A90A0A"/>
    <w:rsid w:val="68A90BC0"/>
    <w:rsid w:val="68A910E0"/>
    <w:rsid w:val="68A97CC5"/>
    <w:rsid w:val="68AA0BDE"/>
    <w:rsid w:val="68AA0DA2"/>
    <w:rsid w:val="68AA1EC4"/>
    <w:rsid w:val="68AB31C8"/>
    <w:rsid w:val="68AC0C4A"/>
    <w:rsid w:val="68AC2E48"/>
    <w:rsid w:val="68AC2EBA"/>
    <w:rsid w:val="68AC53C7"/>
    <w:rsid w:val="68AC6ECB"/>
    <w:rsid w:val="68AF4E0D"/>
    <w:rsid w:val="68B07650"/>
    <w:rsid w:val="68B150D2"/>
    <w:rsid w:val="68B1654A"/>
    <w:rsid w:val="68B22B53"/>
    <w:rsid w:val="68B305D5"/>
    <w:rsid w:val="68B40255"/>
    <w:rsid w:val="68B4049D"/>
    <w:rsid w:val="68B43AD8"/>
    <w:rsid w:val="68B46056"/>
    <w:rsid w:val="68B51559"/>
    <w:rsid w:val="68B72779"/>
    <w:rsid w:val="68B74A5D"/>
    <w:rsid w:val="68B8118E"/>
    <w:rsid w:val="68B91BAE"/>
    <w:rsid w:val="68B93CF2"/>
    <w:rsid w:val="68B97F60"/>
    <w:rsid w:val="68BB3463"/>
    <w:rsid w:val="68BB7BDF"/>
    <w:rsid w:val="68BD30E3"/>
    <w:rsid w:val="68BE43E7"/>
    <w:rsid w:val="68BF08FC"/>
    <w:rsid w:val="68C04067"/>
    <w:rsid w:val="68C11AE9"/>
    <w:rsid w:val="68C11D22"/>
    <w:rsid w:val="68C2756A"/>
    <w:rsid w:val="68C3086F"/>
    <w:rsid w:val="68C34FEC"/>
    <w:rsid w:val="68C44151"/>
    <w:rsid w:val="68C462F1"/>
    <w:rsid w:val="68C54B2B"/>
    <w:rsid w:val="68C55F71"/>
    <w:rsid w:val="68C656C9"/>
    <w:rsid w:val="68C66268"/>
    <w:rsid w:val="68C71474"/>
    <w:rsid w:val="68C74541"/>
    <w:rsid w:val="68C76C42"/>
    <w:rsid w:val="68C77275"/>
    <w:rsid w:val="68C83E6B"/>
    <w:rsid w:val="68C84CF7"/>
    <w:rsid w:val="68C86EF5"/>
    <w:rsid w:val="68C901BB"/>
    <w:rsid w:val="68C94977"/>
    <w:rsid w:val="68CA23F8"/>
    <w:rsid w:val="68CB5C7C"/>
    <w:rsid w:val="68CC22D3"/>
    <w:rsid w:val="68CC36FD"/>
    <w:rsid w:val="68CC58FB"/>
    <w:rsid w:val="68CD2E71"/>
    <w:rsid w:val="68CD3FDE"/>
    <w:rsid w:val="68CD6C00"/>
    <w:rsid w:val="68CE0DFE"/>
    <w:rsid w:val="68CE4682"/>
    <w:rsid w:val="68CF6880"/>
    <w:rsid w:val="68D04302"/>
    <w:rsid w:val="68D04F89"/>
    <w:rsid w:val="68D07B85"/>
    <w:rsid w:val="68D11D83"/>
    <w:rsid w:val="68D15606"/>
    <w:rsid w:val="68D15963"/>
    <w:rsid w:val="68D27805"/>
    <w:rsid w:val="68D35286"/>
    <w:rsid w:val="68D4658B"/>
    <w:rsid w:val="68D50789"/>
    <w:rsid w:val="68D50FF4"/>
    <w:rsid w:val="68D511B8"/>
    <w:rsid w:val="68D5400D"/>
    <w:rsid w:val="68D57C80"/>
    <w:rsid w:val="68D61A8E"/>
    <w:rsid w:val="68D61B92"/>
    <w:rsid w:val="68D61D57"/>
    <w:rsid w:val="68D6620B"/>
    <w:rsid w:val="68D73C8C"/>
    <w:rsid w:val="68D7589B"/>
    <w:rsid w:val="68D8170E"/>
    <w:rsid w:val="68D8310B"/>
    <w:rsid w:val="68D84F91"/>
    <w:rsid w:val="68D92A13"/>
    <w:rsid w:val="68D93CAA"/>
    <w:rsid w:val="68D9718F"/>
    <w:rsid w:val="68DB5223"/>
    <w:rsid w:val="68DB5F16"/>
    <w:rsid w:val="68DC0114"/>
    <w:rsid w:val="68DD3617"/>
    <w:rsid w:val="68DF491C"/>
    <w:rsid w:val="68DF6B1A"/>
    <w:rsid w:val="68E0459C"/>
    <w:rsid w:val="68E11452"/>
    <w:rsid w:val="68E11616"/>
    <w:rsid w:val="68E1201D"/>
    <w:rsid w:val="68E17E1F"/>
    <w:rsid w:val="68E22B8F"/>
    <w:rsid w:val="68E27A9F"/>
    <w:rsid w:val="68E33322"/>
    <w:rsid w:val="68E33569"/>
    <w:rsid w:val="68E35521"/>
    <w:rsid w:val="68E40DA4"/>
    <w:rsid w:val="68E42FA2"/>
    <w:rsid w:val="68E50ABA"/>
    <w:rsid w:val="68E542A7"/>
    <w:rsid w:val="68E56825"/>
    <w:rsid w:val="68E61D28"/>
    <w:rsid w:val="68E76220"/>
    <w:rsid w:val="68E777AA"/>
    <w:rsid w:val="68E92CAD"/>
    <w:rsid w:val="68EA072F"/>
    <w:rsid w:val="68EB61B0"/>
    <w:rsid w:val="68EC3C32"/>
    <w:rsid w:val="68ED16B3"/>
    <w:rsid w:val="68F2667E"/>
    <w:rsid w:val="68F335BD"/>
    <w:rsid w:val="68F337B7"/>
    <w:rsid w:val="68F4103E"/>
    <w:rsid w:val="68F42A0B"/>
    <w:rsid w:val="68F56AC0"/>
    <w:rsid w:val="68F6116F"/>
    <w:rsid w:val="68F64541"/>
    <w:rsid w:val="68F71FC3"/>
    <w:rsid w:val="68F954C6"/>
    <w:rsid w:val="68FA2F47"/>
    <w:rsid w:val="68FD3ECC"/>
    <w:rsid w:val="68FD4A1F"/>
    <w:rsid w:val="68FD5F3D"/>
    <w:rsid w:val="68FE51D1"/>
    <w:rsid w:val="68FF0055"/>
    <w:rsid w:val="68FF2C52"/>
    <w:rsid w:val="68FF4E51"/>
    <w:rsid w:val="68FF7E90"/>
    <w:rsid w:val="690028D2"/>
    <w:rsid w:val="69010354"/>
    <w:rsid w:val="69011409"/>
    <w:rsid w:val="69023BD7"/>
    <w:rsid w:val="69024E7D"/>
    <w:rsid w:val="69025DD5"/>
    <w:rsid w:val="69031659"/>
    <w:rsid w:val="690347A6"/>
    <w:rsid w:val="690412D8"/>
    <w:rsid w:val="690470DA"/>
    <w:rsid w:val="690525DD"/>
    <w:rsid w:val="690540BF"/>
    <w:rsid w:val="69054B5C"/>
    <w:rsid w:val="69056D5A"/>
    <w:rsid w:val="6906005F"/>
    <w:rsid w:val="6906215D"/>
    <w:rsid w:val="690647DC"/>
    <w:rsid w:val="6907225D"/>
    <w:rsid w:val="69075AE0"/>
    <w:rsid w:val="69076303"/>
    <w:rsid w:val="69083562"/>
    <w:rsid w:val="69087CDF"/>
    <w:rsid w:val="69090FE4"/>
    <w:rsid w:val="69095760"/>
    <w:rsid w:val="690A6A65"/>
    <w:rsid w:val="690B44E7"/>
    <w:rsid w:val="690C1867"/>
    <w:rsid w:val="690C66E5"/>
    <w:rsid w:val="690D4166"/>
    <w:rsid w:val="690D79EA"/>
    <w:rsid w:val="690E151E"/>
    <w:rsid w:val="690E1BE8"/>
    <w:rsid w:val="690E546B"/>
    <w:rsid w:val="690F0FFE"/>
    <w:rsid w:val="690F2EED"/>
    <w:rsid w:val="690F397F"/>
    <w:rsid w:val="6910096E"/>
    <w:rsid w:val="6910451E"/>
    <w:rsid w:val="691050EB"/>
    <w:rsid w:val="69106EC8"/>
    <w:rsid w:val="691079C5"/>
    <w:rsid w:val="69114EF8"/>
    <w:rsid w:val="691163F0"/>
    <w:rsid w:val="691205EE"/>
    <w:rsid w:val="69136070"/>
    <w:rsid w:val="69143AF1"/>
    <w:rsid w:val="69147375"/>
    <w:rsid w:val="69151573"/>
    <w:rsid w:val="69154DF6"/>
    <w:rsid w:val="69156FF4"/>
    <w:rsid w:val="69157BAE"/>
    <w:rsid w:val="69160588"/>
    <w:rsid w:val="69185D7B"/>
    <w:rsid w:val="69187F79"/>
    <w:rsid w:val="691937FC"/>
    <w:rsid w:val="691959FB"/>
    <w:rsid w:val="691A347C"/>
    <w:rsid w:val="691A3DDD"/>
    <w:rsid w:val="691B0EFE"/>
    <w:rsid w:val="691B497C"/>
    <w:rsid w:val="691B6CFF"/>
    <w:rsid w:val="691C4781"/>
    <w:rsid w:val="691C697F"/>
    <w:rsid w:val="691D3990"/>
    <w:rsid w:val="691E1990"/>
    <w:rsid w:val="691E1E82"/>
    <w:rsid w:val="691E5706"/>
    <w:rsid w:val="6920000C"/>
    <w:rsid w:val="69200C09"/>
    <w:rsid w:val="69202CA9"/>
    <w:rsid w:val="69212E07"/>
    <w:rsid w:val="6921668A"/>
    <w:rsid w:val="69220889"/>
    <w:rsid w:val="6922293C"/>
    <w:rsid w:val="69231B8D"/>
    <w:rsid w:val="69232124"/>
    <w:rsid w:val="69243D8C"/>
    <w:rsid w:val="6924760F"/>
    <w:rsid w:val="69264077"/>
    <w:rsid w:val="69274C15"/>
    <w:rsid w:val="69286353"/>
    <w:rsid w:val="69290213"/>
    <w:rsid w:val="69296D2D"/>
    <w:rsid w:val="692A1518"/>
    <w:rsid w:val="692B3716"/>
    <w:rsid w:val="692B6F9A"/>
    <w:rsid w:val="692C1198"/>
    <w:rsid w:val="692C4A1B"/>
    <w:rsid w:val="692C5C4D"/>
    <w:rsid w:val="692D181F"/>
    <w:rsid w:val="692D19E3"/>
    <w:rsid w:val="692D249D"/>
    <w:rsid w:val="692E211D"/>
    <w:rsid w:val="692E3867"/>
    <w:rsid w:val="692E3F3D"/>
    <w:rsid w:val="69303421"/>
    <w:rsid w:val="69303AFB"/>
    <w:rsid w:val="69310EA3"/>
    <w:rsid w:val="693130A1"/>
    <w:rsid w:val="69316E0A"/>
    <w:rsid w:val="69316E2F"/>
    <w:rsid w:val="69320B23"/>
    <w:rsid w:val="69326925"/>
    <w:rsid w:val="693365A4"/>
    <w:rsid w:val="69341E28"/>
    <w:rsid w:val="6934554E"/>
    <w:rsid w:val="6934718B"/>
    <w:rsid w:val="69351AA8"/>
    <w:rsid w:val="693578A9"/>
    <w:rsid w:val="69360704"/>
    <w:rsid w:val="69362DAC"/>
    <w:rsid w:val="6936532B"/>
    <w:rsid w:val="69367529"/>
    <w:rsid w:val="6937082E"/>
    <w:rsid w:val="693712A3"/>
    <w:rsid w:val="69382A2C"/>
    <w:rsid w:val="69393D31"/>
    <w:rsid w:val="693A17B3"/>
    <w:rsid w:val="693A31F6"/>
    <w:rsid w:val="693A5F2F"/>
    <w:rsid w:val="693B39B1"/>
    <w:rsid w:val="693B7234"/>
    <w:rsid w:val="693C1432"/>
    <w:rsid w:val="693C476F"/>
    <w:rsid w:val="693C4933"/>
    <w:rsid w:val="693C6DF1"/>
    <w:rsid w:val="693D54D2"/>
    <w:rsid w:val="693E01B9"/>
    <w:rsid w:val="693E4935"/>
    <w:rsid w:val="694158BA"/>
    <w:rsid w:val="6942333C"/>
    <w:rsid w:val="69426BBF"/>
    <w:rsid w:val="69430DBD"/>
    <w:rsid w:val="694420C2"/>
    <w:rsid w:val="694542C0"/>
    <w:rsid w:val="694655C5"/>
    <w:rsid w:val="694677C3"/>
    <w:rsid w:val="69473047"/>
    <w:rsid w:val="69475245"/>
    <w:rsid w:val="69480AC8"/>
    <w:rsid w:val="69482CC7"/>
    <w:rsid w:val="694855A7"/>
    <w:rsid w:val="6948576C"/>
    <w:rsid w:val="69490748"/>
    <w:rsid w:val="69492A51"/>
    <w:rsid w:val="6949654A"/>
    <w:rsid w:val="694A15CE"/>
    <w:rsid w:val="694A1939"/>
    <w:rsid w:val="694A61CA"/>
    <w:rsid w:val="694B09D7"/>
    <w:rsid w:val="694B1A4D"/>
    <w:rsid w:val="694B76BF"/>
    <w:rsid w:val="694D0DFC"/>
    <w:rsid w:val="694E17D6"/>
    <w:rsid w:val="694E199B"/>
    <w:rsid w:val="694E2071"/>
    <w:rsid w:val="69503956"/>
    <w:rsid w:val="69503AB2"/>
    <w:rsid w:val="695113D8"/>
    <w:rsid w:val="6954235C"/>
    <w:rsid w:val="695518DE"/>
    <w:rsid w:val="69556F7E"/>
    <w:rsid w:val="69557143"/>
    <w:rsid w:val="69557DDE"/>
    <w:rsid w:val="69567B1D"/>
    <w:rsid w:val="695A4266"/>
    <w:rsid w:val="695D4726"/>
    <w:rsid w:val="695F6A02"/>
    <w:rsid w:val="695F789F"/>
    <w:rsid w:val="69613BF1"/>
    <w:rsid w:val="696403F8"/>
    <w:rsid w:val="696525F7"/>
    <w:rsid w:val="69655E7A"/>
    <w:rsid w:val="69660078"/>
    <w:rsid w:val="696638FC"/>
    <w:rsid w:val="69665AFA"/>
    <w:rsid w:val="6967137D"/>
    <w:rsid w:val="6967357B"/>
    <w:rsid w:val="696741AA"/>
    <w:rsid w:val="69680FFD"/>
    <w:rsid w:val="69684B84"/>
    <w:rsid w:val="69694880"/>
    <w:rsid w:val="69696A7E"/>
    <w:rsid w:val="696A4500"/>
    <w:rsid w:val="696B1F82"/>
    <w:rsid w:val="696B3FA3"/>
    <w:rsid w:val="696C5805"/>
    <w:rsid w:val="696C7A03"/>
    <w:rsid w:val="696D3286"/>
    <w:rsid w:val="696D5485"/>
    <w:rsid w:val="696E0D08"/>
    <w:rsid w:val="696E6789"/>
    <w:rsid w:val="696F0988"/>
    <w:rsid w:val="69702ECB"/>
    <w:rsid w:val="69704EF9"/>
    <w:rsid w:val="697138A5"/>
    <w:rsid w:val="69724608"/>
    <w:rsid w:val="69725190"/>
    <w:rsid w:val="6973738E"/>
    <w:rsid w:val="69740693"/>
    <w:rsid w:val="69744E10"/>
    <w:rsid w:val="69745B81"/>
    <w:rsid w:val="69750F1B"/>
    <w:rsid w:val="6975143C"/>
    <w:rsid w:val="69752891"/>
    <w:rsid w:val="69760313"/>
    <w:rsid w:val="69763B96"/>
    <w:rsid w:val="69766163"/>
    <w:rsid w:val="697678E2"/>
    <w:rsid w:val="69775D94"/>
    <w:rsid w:val="69777AD4"/>
    <w:rsid w:val="69780673"/>
    <w:rsid w:val="69780FAF"/>
    <w:rsid w:val="69787099"/>
    <w:rsid w:val="69794B1B"/>
    <w:rsid w:val="697A3B33"/>
    <w:rsid w:val="697A6D19"/>
    <w:rsid w:val="697C221C"/>
    <w:rsid w:val="697D3521"/>
    <w:rsid w:val="697D7C9D"/>
    <w:rsid w:val="697E31A1"/>
    <w:rsid w:val="697F0C22"/>
    <w:rsid w:val="697F5FDF"/>
    <w:rsid w:val="697F6A24"/>
    <w:rsid w:val="698066A4"/>
    <w:rsid w:val="698279A8"/>
    <w:rsid w:val="69827F32"/>
    <w:rsid w:val="69842EAC"/>
    <w:rsid w:val="6984338D"/>
    <w:rsid w:val="69852B2B"/>
    <w:rsid w:val="698605AD"/>
    <w:rsid w:val="69863E30"/>
    <w:rsid w:val="698663AF"/>
    <w:rsid w:val="698718B2"/>
    <w:rsid w:val="6987602F"/>
    <w:rsid w:val="69884B3C"/>
    <w:rsid w:val="69887333"/>
    <w:rsid w:val="69894DB5"/>
    <w:rsid w:val="698A2836"/>
    <w:rsid w:val="698A3DF2"/>
    <w:rsid w:val="698B02B8"/>
    <w:rsid w:val="698C24B6"/>
    <w:rsid w:val="698D37BB"/>
    <w:rsid w:val="698E59B9"/>
    <w:rsid w:val="698F343B"/>
    <w:rsid w:val="698F6CBE"/>
    <w:rsid w:val="69900EBC"/>
    <w:rsid w:val="699024A8"/>
    <w:rsid w:val="699121C1"/>
    <w:rsid w:val="6991693E"/>
    <w:rsid w:val="69923A21"/>
    <w:rsid w:val="69925493"/>
    <w:rsid w:val="69931E41"/>
    <w:rsid w:val="6993437B"/>
    <w:rsid w:val="6993489C"/>
    <w:rsid w:val="69934A52"/>
    <w:rsid w:val="699356C4"/>
    <w:rsid w:val="69943146"/>
    <w:rsid w:val="6994393A"/>
    <w:rsid w:val="69943CA5"/>
    <w:rsid w:val="699478C3"/>
    <w:rsid w:val="69955974"/>
    <w:rsid w:val="699566D7"/>
    <w:rsid w:val="69966649"/>
    <w:rsid w:val="699670B1"/>
    <w:rsid w:val="69981B4C"/>
    <w:rsid w:val="69983D4A"/>
    <w:rsid w:val="699917CC"/>
    <w:rsid w:val="699A1BA3"/>
    <w:rsid w:val="699A504F"/>
    <w:rsid w:val="699A724E"/>
    <w:rsid w:val="699B2AD1"/>
    <w:rsid w:val="699C0552"/>
    <w:rsid w:val="699C2751"/>
    <w:rsid w:val="699D5FD4"/>
    <w:rsid w:val="699E14D7"/>
    <w:rsid w:val="699E3A55"/>
    <w:rsid w:val="699F36D5"/>
    <w:rsid w:val="69A00347"/>
    <w:rsid w:val="69A00A1D"/>
    <w:rsid w:val="69A049DA"/>
    <w:rsid w:val="69A05F97"/>
    <w:rsid w:val="69A1245C"/>
    <w:rsid w:val="69A16BD8"/>
    <w:rsid w:val="69A1722F"/>
    <w:rsid w:val="69A17ABB"/>
    <w:rsid w:val="69A2465A"/>
    <w:rsid w:val="69A27EDD"/>
    <w:rsid w:val="69A3595F"/>
    <w:rsid w:val="69A41627"/>
    <w:rsid w:val="69A47B5D"/>
    <w:rsid w:val="69A50E62"/>
    <w:rsid w:val="69A63060"/>
    <w:rsid w:val="69A668E3"/>
    <w:rsid w:val="69A74365"/>
    <w:rsid w:val="69A84119"/>
    <w:rsid w:val="69A86563"/>
    <w:rsid w:val="69A93FE5"/>
    <w:rsid w:val="69A94AF3"/>
    <w:rsid w:val="69AA1A66"/>
    <w:rsid w:val="69AA5692"/>
    <w:rsid w:val="69AB2D6B"/>
    <w:rsid w:val="69AC07ED"/>
    <w:rsid w:val="69AD29EB"/>
    <w:rsid w:val="69AD626E"/>
    <w:rsid w:val="69AF0EE7"/>
    <w:rsid w:val="69AF1A85"/>
    <w:rsid w:val="69AF3970"/>
    <w:rsid w:val="69AF5EEE"/>
    <w:rsid w:val="69B013F1"/>
    <w:rsid w:val="69B018C1"/>
    <w:rsid w:val="69B1021E"/>
    <w:rsid w:val="69B14C74"/>
    <w:rsid w:val="69B30178"/>
    <w:rsid w:val="69B5367B"/>
    <w:rsid w:val="69B745FF"/>
    <w:rsid w:val="69B82081"/>
    <w:rsid w:val="69B905E2"/>
    <w:rsid w:val="69B97B02"/>
    <w:rsid w:val="69BA1345"/>
    <w:rsid w:val="69BA5584"/>
    <w:rsid w:val="69BB3005"/>
    <w:rsid w:val="69BD6509"/>
    <w:rsid w:val="69BE3E37"/>
    <w:rsid w:val="69BE3F8A"/>
    <w:rsid w:val="69C029FB"/>
    <w:rsid w:val="69C0748D"/>
    <w:rsid w:val="69C16F69"/>
    <w:rsid w:val="69C22990"/>
    <w:rsid w:val="69C30066"/>
    <w:rsid w:val="69C30412"/>
    <w:rsid w:val="69C53915"/>
    <w:rsid w:val="69C76E18"/>
    <w:rsid w:val="69C83532"/>
    <w:rsid w:val="69C8489A"/>
    <w:rsid w:val="69C94295"/>
    <w:rsid w:val="69CA3620"/>
    <w:rsid w:val="69CB581E"/>
    <w:rsid w:val="69CC69C6"/>
    <w:rsid w:val="69CC6B23"/>
    <w:rsid w:val="69CD0D21"/>
    <w:rsid w:val="69CD45A5"/>
    <w:rsid w:val="69CE2026"/>
    <w:rsid w:val="69CF0E9E"/>
    <w:rsid w:val="69CF1CA6"/>
    <w:rsid w:val="69CF7AA8"/>
    <w:rsid w:val="69D01A3D"/>
    <w:rsid w:val="69D05529"/>
    <w:rsid w:val="69D07728"/>
    <w:rsid w:val="69D12417"/>
    <w:rsid w:val="69D147A5"/>
    <w:rsid w:val="69D151A9"/>
    <w:rsid w:val="69D22DF1"/>
    <w:rsid w:val="69D306AC"/>
    <w:rsid w:val="69D4452F"/>
    <w:rsid w:val="69D44760"/>
    <w:rsid w:val="69D4612E"/>
    <w:rsid w:val="69D519B1"/>
    <w:rsid w:val="69D53BAF"/>
    <w:rsid w:val="69D72936"/>
    <w:rsid w:val="69D74EB4"/>
    <w:rsid w:val="69D7551A"/>
    <w:rsid w:val="69D770B2"/>
    <w:rsid w:val="69D84B34"/>
    <w:rsid w:val="69D87020"/>
    <w:rsid w:val="69D87D83"/>
    <w:rsid w:val="69D95E39"/>
    <w:rsid w:val="69DA0037"/>
    <w:rsid w:val="69DA12FC"/>
    <w:rsid w:val="69DB133C"/>
    <w:rsid w:val="69DB5AB9"/>
    <w:rsid w:val="69DC353A"/>
    <w:rsid w:val="69DE6A3D"/>
    <w:rsid w:val="69DF44BF"/>
    <w:rsid w:val="69DF7D42"/>
    <w:rsid w:val="69E0552B"/>
    <w:rsid w:val="69E057C4"/>
    <w:rsid w:val="69E13245"/>
    <w:rsid w:val="69E179C2"/>
    <w:rsid w:val="69E25443"/>
    <w:rsid w:val="69E36748"/>
    <w:rsid w:val="69E37643"/>
    <w:rsid w:val="69E40947"/>
    <w:rsid w:val="69E7734D"/>
    <w:rsid w:val="69E8167C"/>
    <w:rsid w:val="69E90652"/>
    <w:rsid w:val="69E94088"/>
    <w:rsid w:val="69E943C2"/>
    <w:rsid w:val="69EA02D1"/>
    <w:rsid w:val="69EA60D3"/>
    <w:rsid w:val="69EB1ABC"/>
    <w:rsid w:val="69EB5D53"/>
    <w:rsid w:val="69EC15D6"/>
    <w:rsid w:val="69EC37D4"/>
    <w:rsid w:val="69EC619F"/>
    <w:rsid w:val="69ED1256"/>
    <w:rsid w:val="69ED6D3E"/>
    <w:rsid w:val="69EF4759"/>
    <w:rsid w:val="69EF7FDC"/>
    <w:rsid w:val="69F00D16"/>
    <w:rsid w:val="69F05A5E"/>
    <w:rsid w:val="69F06D97"/>
    <w:rsid w:val="69F119F4"/>
    <w:rsid w:val="69F134E0"/>
    <w:rsid w:val="69F17C5C"/>
    <w:rsid w:val="69F20F61"/>
    <w:rsid w:val="69F223CE"/>
    <w:rsid w:val="69F256DE"/>
    <w:rsid w:val="69F3315F"/>
    <w:rsid w:val="69F44464"/>
    <w:rsid w:val="69F471D9"/>
    <w:rsid w:val="69F51EE6"/>
    <w:rsid w:val="69F640E4"/>
    <w:rsid w:val="69F82E6A"/>
    <w:rsid w:val="69F8719C"/>
    <w:rsid w:val="69F875E7"/>
    <w:rsid w:val="69F94E90"/>
    <w:rsid w:val="69FA0715"/>
    <w:rsid w:val="69FA2AEA"/>
    <w:rsid w:val="69FA636D"/>
    <w:rsid w:val="69FB056C"/>
    <w:rsid w:val="69FB3DEF"/>
    <w:rsid w:val="69FC1871"/>
    <w:rsid w:val="69FC1E52"/>
    <w:rsid w:val="69FC5FED"/>
    <w:rsid w:val="69FE14F0"/>
    <w:rsid w:val="69FF27F5"/>
    <w:rsid w:val="69FF49F3"/>
    <w:rsid w:val="6A000277"/>
    <w:rsid w:val="6A002475"/>
    <w:rsid w:val="6A015CF8"/>
    <w:rsid w:val="6A016082"/>
    <w:rsid w:val="6A017EF7"/>
    <w:rsid w:val="6A025978"/>
    <w:rsid w:val="6A026A5C"/>
    <w:rsid w:val="6A0311FB"/>
    <w:rsid w:val="6A0333FA"/>
    <w:rsid w:val="6A034C97"/>
    <w:rsid w:val="6A040E7B"/>
    <w:rsid w:val="6A046C7D"/>
    <w:rsid w:val="6A050B73"/>
    <w:rsid w:val="6A057564"/>
    <w:rsid w:val="6A0600AE"/>
    <w:rsid w:val="6A06093A"/>
    <w:rsid w:val="6A060CA6"/>
    <w:rsid w:val="6A0774B7"/>
    <w:rsid w:val="6A087881"/>
    <w:rsid w:val="6A0A2D85"/>
    <w:rsid w:val="6A0A6608"/>
    <w:rsid w:val="6A0B4089"/>
    <w:rsid w:val="6A0C1B0B"/>
    <w:rsid w:val="6A0C577D"/>
    <w:rsid w:val="6A0C6288"/>
    <w:rsid w:val="6A0D3D09"/>
    <w:rsid w:val="6A0D758C"/>
    <w:rsid w:val="6A0E178B"/>
    <w:rsid w:val="6A0F720C"/>
    <w:rsid w:val="6A100511"/>
    <w:rsid w:val="6A11270F"/>
    <w:rsid w:val="6A12254A"/>
    <w:rsid w:val="6A123A14"/>
    <w:rsid w:val="6A143694"/>
    <w:rsid w:val="6A146F17"/>
    <w:rsid w:val="6A154999"/>
    <w:rsid w:val="6A16241A"/>
    <w:rsid w:val="6A174619"/>
    <w:rsid w:val="6A177E9C"/>
    <w:rsid w:val="6A18591D"/>
    <w:rsid w:val="6A19339F"/>
    <w:rsid w:val="6A1A0E21"/>
    <w:rsid w:val="6A1B68A2"/>
    <w:rsid w:val="6A1C4030"/>
    <w:rsid w:val="6A1C4324"/>
    <w:rsid w:val="6A1C6F99"/>
    <w:rsid w:val="6A1F52A8"/>
    <w:rsid w:val="6A1F7CFB"/>
    <w:rsid w:val="6A21622D"/>
    <w:rsid w:val="6A223CAF"/>
    <w:rsid w:val="6A23573F"/>
    <w:rsid w:val="6A2471B2"/>
    <w:rsid w:val="6A2475B2"/>
    <w:rsid w:val="6A2536C5"/>
    <w:rsid w:val="6A257F8C"/>
    <w:rsid w:val="6A2626B5"/>
    <w:rsid w:val="6A270136"/>
    <w:rsid w:val="6A282268"/>
    <w:rsid w:val="6A292A7E"/>
    <w:rsid w:val="6A2A10BB"/>
    <w:rsid w:val="6A2A37E1"/>
    <w:rsid w:val="6A2D62D3"/>
    <w:rsid w:val="6A2E6CAD"/>
    <w:rsid w:val="6A2E7AC1"/>
    <w:rsid w:val="6A2F5543"/>
    <w:rsid w:val="6A2F7A10"/>
    <w:rsid w:val="6A303637"/>
    <w:rsid w:val="6A310DC4"/>
    <w:rsid w:val="6A321B28"/>
    <w:rsid w:val="6A321D4B"/>
    <w:rsid w:val="6A3377CC"/>
    <w:rsid w:val="6A342EDC"/>
    <w:rsid w:val="6A34524E"/>
    <w:rsid w:val="6A352CCF"/>
    <w:rsid w:val="6A360751"/>
    <w:rsid w:val="6A37294F"/>
    <w:rsid w:val="6A374FF4"/>
    <w:rsid w:val="6A3761D2"/>
    <w:rsid w:val="6A3803D1"/>
    <w:rsid w:val="6A3916D5"/>
    <w:rsid w:val="6A3938D4"/>
    <w:rsid w:val="6A396731"/>
    <w:rsid w:val="6A3A44B6"/>
    <w:rsid w:val="6A3A710B"/>
    <w:rsid w:val="6A3A7157"/>
    <w:rsid w:val="6A3B4BD9"/>
    <w:rsid w:val="6A3C1223"/>
    <w:rsid w:val="6A3C265A"/>
    <w:rsid w:val="6A3D00DC"/>
    <w:rsid w:val="6A3D22DA"/>
    <w:rsid w:val="6A3E1C4F"/>
    <w:rsid w:val="6A3E279B"/>
    <w:rsid w:val="6A3E5B5D"/>
    <w:rsid w:val="6A3E7D5B"/>
    <w:rsid w:val="6A3F35DF"/>
    <w:rsid w:val="6A3F57DD"/>
    <w:rsid w:val="6A401060"/>
    <w:rsid w:val="6A40325F"/>
    <w:rsid w:val="6A406AE2"/>
    <w:rsid w:val="6A410CE0"/>
    <w:rsid w:val="6A4110C0"/>
    <w:rsid w:val="6A411276"/>
    <w:rsid w:val="6A421FE5"/>
    <w:rsid w:val="6A425452"/>
    <w:rsid w:val="6A427A88"/>
    <w:rsid w:val="6A4341E3"/>
    <w:rsid w:val="6A437A66"/>
    <w:rsid w:val="6A457569"/>
    <w:rsid w:val="6A4576E6"/>
    <w:rsid w:val="6A460108"/>
    <w:rsid w:val="6A465168"/>
    <w:rsid w:val="6A471681"/>
    <w:rsid w:val="6A472BE9"/>
    <w:rsid w:val="6A47646D"/>
    <w:rsid w:val="6A483EEE"/>
    <w:rsid w:val="6A491970"/>
    <w:rsid w:val="6A4A73F1"/>
    <w:rsid w:val="6A4B4E73"/>
    <w:rsid w:val="6A4C7071"/>
    <w:rsid w:val="6A4E628A"/>
    <w:rsid w:val="6A5012FB"/>
    <w:rsid w:val="6A50293B"/>
    <w:rsid w:val="6A502CA6"/>
    <w:rsid w:val="6A5034F9"/>
    <w:rsid w:val="6A510F7A"/>
    <w:rsid w:val="6A511D44"/>
    <w:rsid w:val="6A511EFA"/>
    <w:rsid w:val="6A51241A"/>
    <w:rsid w:val="6A516D7C"/>
    <w:rsid w:val="6A520EC7"/>
    <w:rsid w:val="6A5247FE"/>
    <w:rsid w:val="6A5269FC"/>
    <w:rsid w:val="6A531ADF"/>
    <w:rsid w:val="6A53227F"/>
    <w:rsid w:val="6A541EFF"/>
    <w:rsid w:val="6A555782"/>
    <w:rsid w:val="6A563204"/>
    <w:rsid w:val="6A565402"/>
    <w:rsid w:val="6A584189"/>
    <w:rsid w:val="6A586707"/>
    <w:rsid w:val="6A591C0A"/>
    <w:rsid w:val="6A596387"/>
    <w:rsid w:val="6A5A768C"/>
    <w:rsid w:val="6A5B510D"/>
    <w:rsid w:val="6A5B7C61"/>
    <w:rsid w:val="6A5C730C"/>
    <w:rsid w:val="6A5D4D8D"/>
    <w:rsid w:val="6A5D6907"/>
    <w:rsid w:val="6A5E280F"/>
    <w:rsid w:val="6A5F0290"/>
    <w:rsid w:val="6A5F2917"/>
    <w:rsid w:val="6A5F3B13"/>
    <w:rsid w:val="6A601595"/>
    <w:rsid w:val="6A605D12"/>
    <w:rsid w:val="6A613E90"/>
    <w:rsid w:val="6A621215"/>
    <w:rsid w:val="6A624A2F"/>
    <w:rsid w:val="6A63251A"/>
    <w:rsid w:val="6A633EF0"/>
    <w:rsid w:val="6A635409"/>
    <w:rsid w:val="6A636C96"/>
    <w:rsid w:val="6A644718"/>
    <w:rsid w:val="6A652199"/>
    <w:rsid w:val="6A655A1D"/>
    <w:rsid w:val="6A6600BF"/>
    <w:rsid w:val="6A66349E"/>
    <w:rsid w:val="6A667C1B"/>
    <w:rsid w:val="6A670F20"/>
    <w:rsid w:val="6A67569D"/>
    <w:rsid w:val="6A68311E"/>
    <w:rsid w:val="6A6921D7"/>
    <w:rsid w:val="6A694423"/>
    <w:rsid w:val="6A696621"/>
    <w:rsid w:val="6A6A0285"/>
    <w:rsid w:val="6A6A1EA4"/>
    <w:rsid w:val="6A6A40A3"/>
    <w:rsid w:val="6A6B7926"/>
    <w:rsid w:val="6A6C53A8"/>
    <w:rsid w:val="6A6D5027"/>
    <w:rsid w:val="6A6E08AB"/>
    <w:rsid w:val="6A6E2AA9"/>
    <w:rsid w:val="6A6E721F"/>
    <w:rsid w:val="6A6F052B"/>
    <w:rsid w:val="6A6F632C"/>
    <w:rsid w:val="6A70182F"/>
    <w:rsid w:val="6A70797F"/>
    <w:rsid w:val="6A71051E"/>
    <w:rsid w:val="6A7172B1"/>
    <w:rsid w:val="6A7214AF"/>
    <w:rsid w:val="6A724D32"/>
    <w:rsid w:val="6A7327B4"/>
    <w:rsid w:val="6A736F31"/>
    <w:rsid w:val="6A742635"/>
    <w:rsid w:val="6A743278"/>
    <w:rsid w:val="6A763BAE"/>
    <w:rsid w:val="6A7711BA"/>
    <w:rsid w:val="6A774588"/>
    <w:rsid w:val="6A7833B8"/>
    <w:rsid w:val="6A785127"/>
    <w:rsid w:val="6A786C3C"/>
    <w:rsid w:val="6A790E3A"/>
    <w:rsid w:val="6A7A213F"/>
    <w:rsid w:val="6A7A3556"/>
    <w:rsid w:val="6A7A68BC"/>
    <w:rsid w:val="6A7B433D"/>
    <w:rsid w:val="6A7B723E"/>
    <w:rsid w:val="6A7C1DBF"/>
    <w:rsid w:val="6A7C5642"/>
    <w:rsid w:val="6A7D30C3"/>
    <w:rsid w:val="6A7E0B45"/>
    <w:rsid w:val="6A7F65C7"/>
    <w:rsid w:val="6A804048"/>
    <w:rsid w:val="6A811ACA"/>
    <w:rsid w:val="6A82754B"/>
    <w:rsid w:val="6A834FCD"/>
    <w:rsid w:val="6A865F51"/>
    <w:rsid w:val="6A866C80"/>
    <w:rsid w:val="6A86769D"/>
    <w:rsid w:val="6A8739D3"/>
    <w:rsid w:val="6A880A51"/>
    <w:rsid w:val="6A881455"/>
    <w:rsid w:val="6A886ED6"/>
    <w:rsid w:val="6A8917B4"/>
    <w:rsid w:val="6A894958"/>
    <w:rsid w:val="6A8A218E"/>
    <w:rsid w:val="6A8A23D9"/>
    <w:rsid w:val="6A8B35E2"/>
    <w:rsid w:val="6A8B38CC"/>
    <w:rsid w:val="6A8C58DC"/>
    <w:rsid w:val="6A8D335E"/>
    <w:rsid w:val="6A8D4C80"/>
    <w:rsid w:val="6A9042E2"/>
    <w:rsid w:val="6A911D64"/>
    <w:rsid w:val="6A920310"/>
    <w:rsid w:val="6A9277E6"/>
    <w:rsid w:val="6A941A4E"/>
    <w:rsid w:val="6A942CE9"/>
    <w:rsid w:val="6A9525EC"/>
    <w:rsid w:val="6A961A6F"/>
    <w:rsid w:val="6A9739A1"/>
    <w:rsid w:val="6A973C6D"/>
    <w:rsid w:val="6A9816EF"/>
    <w:rsid w:val="6A984F72"/>
    <w:rsid w:val="6A98708D"/>
    <w:rsid w:val="6A9A0475"/>
    <w:rsid w:val="6A9A4BF2"/>
    <w:rsid w:val="6A9A681C"/>
    <w:rsid w:val="6A9C3978"/>
    <w:rsid w:val="6A9D076F"/>
    <w:rsid w:val="6A9D0933"/>
    <w:rsid w:val="6A9E35F8"/>
    <w:rsid w:val="6A9F48FD"/>
    <w:rsid w:val="6AA06AF9"/>
    <w:rsid w:val="6AA06AFB"/>
    <w:rsid w:val="6AA1131A"/>
    <w:rsid w:val="6AA116A2"/>
    <w:rsid w:val="6AA11FFE"/>
    <w:rsid w:val="6AA1457D"/>
    <w:rsid w:val="6AA17E00"/>
    <w:rsid w:val="6AA25882"/>
    <w:rsid w:val="6AA33303"/>
    <w:rsid w:val="6AA3499E"/>
    <w:rsid w:val="6AA50A05"/>
    <w:rsid w:val="6AA56806"/>
    <w:rsid w:val="6AA64288"/>
    <w:rsid w:val="6AA66486"/>
    <w:rsid w:val="6AA67D9D"/>
    <w:rsid w:val="6AA701F3"/>
    <w:rsid w:val="6AA70C73"/>
    <w:rsid w:val="6AA70FDE"/>
    <w:rsid w:val="6AA71D09"/>
    <w:rsid w:val="6AA77490"/>
    <w:rsid w:val="6AA81989"/>
    <w:rsid w:val="6AA8778B"/>
    <w:rsid w:val="6AA91285"/>
    <w:rsid w:val="6AA9176C"/>
    <w:rsid w:val="6AA9520C"/>
    <w:rsid w:val="6AA9740B"/>
    <w:rsid w:val="6AAA0710"/>
    <w:rsid w:val="6AAA2146"/>
    <w:rsid w:val="6AAB290E"/>
    <w:rsid w:val="6AAC038F"/>
    <w:rsid w:val="6AAC3C13"/>
    <w:rsid w:val="6AAD1694"/>
    <w:rsid w:val="6AAE3893"/>
    <w:rsid w:val="6AAE4C37"/>
    <w:rsid w:val="6AAE7116"/>
    <w:rsid w:val="6AAF1314"/>
    <w:rsid w:val="6AAF57D6"/>
    <w:rsid w:val="6AB02619"/>
    <w:rsid w:val="6AB1009A"/>
    <w:rsid w:val="6AB16F13"/>
    <w:rsid w:val="6AB25B1C"/>
    <w:rsid w:val="6AB278EE"/>
    <w:rsid w:val="6AB302C8"/>
    <w:rsid w:val="6AB4579C"/>
    <w:rsid w:val="6AB51A05"/>
    <w:rsid w:val="6AB53E91"/>
    <w:rsid w:val="6AB56AA1"/>
    <w:rsid w:val="6AB60C9F"/>
    <w:rsid w:val="6AB623DF"/>
    <w:rsid w:val="6AB62F7E"/>
    <w:rsid w:val="6AB71FA4"/>
    <w:rsid w:val="6AB724ED"/>
    <w:rsid w:val="6AB841A2"/>
    <w:rsid w:val="6AB87A25"/>
    <w:rsid w:val="6AB91C24"/>
    <w:rsid w:val="6ABA5127"/>
    <w:rsid w:val="6ABA5C34"/>
    <w:rsid w:val="6ABB09AA"/>
    <w:rsid w:val="6ABB2BA8"/>
    <w:rsid w:val="6ABC062A"/>
    <w:rsid w:val="6ABF15AE"/>
    <w:rsid w:val="6AC01E63"/>
    <w:rsid w:val="6AC04E32"/>
    <w:rsid w:val="6AC07030"/>
    <w:rsid w:val="6AC128B3"/>
    <w:rsid w:val="6AC25DB6"/>
    <w:rsid w:val="6AC33B77"/>
    <w:rsid w:val="6AC33DB7"/>
    <w:rsid w:val="6AC34B1A"/>
    <w:rsid w:val="6AC37FB5"/>
    <w:rsid w:val="6AC406DC"/>
    <w:rsid w:val="6AC412B9"/>
    <w:rsid w:val="6AC55036"/>
    <w:rsid w:val="6AC647BD"/>
    <w:rsid w:val="6AC8443C"/>
    <w:rsid w:val="6AC87FE6"/>
    <w:rsid w:val="6AC90B84"/>
    <w:rsid w:val="6ACA31C3"/>
    <w:rsid w:val="6ACB0C44"/>
    <w:rsid w:val="6ACB53C1"/>
    <w:rsid w:val="6ACC2E43"/>
    <w:rsid w:val="6ACC66C6"/>
    <w:rsid w:val="6ACD08C4"/>
    <w:rsid w:val="6ACD4147"/>
    <w:rsid w:val="6ACE1BC9"/>
    <w:rsid w:val="6ACE43D9"/>
    <w:rsid w:val="6ACE6346"/>
    <w:rsid w:val="6ACF3DC7"/>
    <w:rsid w:val="6ACF764A"/>
    <w:rsid w:val="6AD050CC"/>
    <w:rsid w:val="6AD14D4C"/>
    <w:rsid w:val="6AD1632C"/>
    <w:rsid w:val="6AD16ECB"/>
    <w:rsid w:val="6AD172CA"/>
    <w:rsid w:val="6AD205CF"/>
    <w:rsid w:val="6AD27A6A"/>
    <w:rsid w:val="6AD36051"/>
    <w:rsid w:val="6AD43AD2"/>
    <w:rsid w:val="6AD4522E"/>
    <w:rsid w:val="6AD45CD0"/>
    <w:rsid w:val="6AD46C1B"/>
    <w:rsid w:val="6AD51554"/>
    <w:rsid w:val="6AD53752"/>
    <w:rsid w:val="6AD611D4"/>
    <w:rsid w:val="6AD66FD5"/>
    <w:rsid w:val="6AD74A57"/>
    <w:rsid w:val="6AD83C99"/>
    <w:rsid w:val="6AD959DC"/>
    <w:rsid w:val="6AD97F5A"/>
    <w:rsid w:val="6ADB0EDF"/>
    <w:rsid w:val="6ADB565B"/>
    <w:rsid w:val="6ADC30DD"/>
    <w:rsid w:val="6ADE1E63"/>
    <w:rsid w:val="6ADF4469"/>
    <w:rsid w:val="6AE01AE3"/>
    <w:rsid w:val="6AE1287C"/>
    <w:rsid w:val="6AE17565"/>
    <w:rsid w:val="6AE4490D"/>
    <w:rsid w:val="6AE517EE"/>
    <w:rsid w:val="6AE6604A"/>
    <w:rsid w:val="6AE74CF1"/>
    <w:rsid w:val="6AE76BE9"/>
    <w:rsid w:val="6AE82773"/>
    <w:rsid w:val="6AE901F4"/>
    <w:rsid w:val="6AEB16DA"/>
    <w:rsid w:val="6AEC1179"/>
    <w:rsid w:val="6AEF20FE"/>
    <w:rsid w:val="6AEF4EA3"/>
    <w:rsid w:val="6AF07B7F"/>
    <w:rsid w:val="6AF13082"/>
    <w:rsid w:val="6AF15601"/>
    <w:rsid w:val="6AF164A8"/>
    <w:rsid w:val="6AF20B04"/>
    <w:rsid w:val="6AF26E82"/>
    <w:rsid w:val="6AF44007"/>
    <w:rsid w:val="6AF47095"/>
    <w:rsid w:val="6AF6750A"/>
    <w:rsid w:val="6AF72513"/>
    <w:rsid w:val="6AF82A0D"/>
    <w:rsid w:val="6AF830B1"/>
    <w:rsid w:val="6AF87E20"/>
    <w:rsid w:val="6AF9048F"/>
    <w:rsid w:val="6AFC3D3C"/>
    <w:rsid w:val="6AFE019A"/>
    <w:rsid w:val="6AFE4916"/>
    <w:rsid w:val="6AFE7CBB"/>
    <w:rsid w:val="6AFE7E7F"/>
    <w:rsid w:val="6AFF0859"/>
    <w:rsid w:val="6AFF2398"/>
    <w:rsid w:val="6AFF6C3F"/>
    <w:rsid w:val="6B00369D"/>
    <w:rsid w:val="6B007E19"/>
    <w:rsid w:val="6B02331D"/>
    <w:rsid w:val="6B0420A3"/>
    <w:rsid w:val="6B043EEA"/>
    <w:rsid w:val="6B0542A1"/>
    <w:rsid w:val="6B065463"/>
    <w:rsid w:val="6B0655A6"/>
    <w:rsid w:val="6B065627"/>
    <w:rsid w:val="6B0777A4"/>
    <w:rsid w:val="6B080AA9"/>
    <w:rsid w:val="6B085226"/>
    <w:rsid w:val="6B0869DC"/>
    <w:rsid w:val="6B090119"/>
    <w:rsid w:val="6B090729"/>
    <w:rsid w:val="6B09652B"/>
    <w:rsid w:val="6B0A3FAC"/>
    <w:rsid w:val="6B0B1692"/>
    <w:rsid w:val="6B0B1856"/>
    <w:rsid w:val="6B0B1A2E"/>
    <w:rsid w:val="6B0B3C2C"/>
    <w:rsid w:val="6B0C206C"/>
    <w:rsid w:val="6B0D2DCF"/>
    <w:rsid w:val="6B0D4F31"/>
    <w:rsid w:val="6B0F2632"/>
    <w:rsid w:val="6B0F4348"/>
    <w:rsid w:val="6B1000B4"/>
    <w:rsid w:val="6B1113B9"/>
    <w:rsid w:val="6B113937"/>
    <w:rsid w:val="6B1235B7"/>
    <w:rsid w:val="6B126E3A"/>
    <w:rsid w:val="6B131038"/>
    <w:rsid w:val="6B1348BC"/>
    <w:rsid w:val="6B136E3A"/>
    <w:rsid w:val="6B136FFE"/>
    <w:rsid w:val="6B161FBD"/>
    <w:rsid w:val="6B165840"/>
    <w:rsid w:val="6B17192C"/>
    <w:rsid w:val="6B1732C2"/>
    <w:rsid w:val="6B177A3F"/>
    <w:rsid w:val="6B180D44"/>
    <w:rsid w:val="6B1967C5"/>
    <w:rsid w:val="6B1A09C3"/>
    <w:rsid w:val="6B1A4247"/>
    <w:rsid w:val="6B1A4B5B"/>
    <w:rsid w:val="6B1B02AE"/>
    <w:rsid w:val="6B1B5180"/>
    <w:rsid w:val="6B1B6445"/>
    <w:rsid w:val="6B1C774A"/>
    <w:rsid w:val="6B1D00CC"/>
    <w:rsid w:val="6B1F06CE"/>
    <w:rsid w:val="6B200811"/>
    <w:rsid w:val="6B206150"/>
    <w:rsid w:val="6B21034E"/>
    <w:rsid w:val="6B2111EB"/>
    <w:rsid w:val="6B221D8A"/>
    <w:rsid w:val="6B221F4E"/>
    <w:rsid w:val="6B223851"/>
    <w:rsid w:val="6B225DD0"/>
    <w:rsid w:val="6B2312D3"/>
    <w:rsid w:val="6B232928"/>
    <w:rsid w:val="6B2334C7"/>
    <w:rsid w:val="6B243EA1"/>
    <w:rsid w:val="6B244066"/>
    <w:rsid w:val="6B246D54"/>
    <w:rsid w:val="6B2547D6"/>
    <w:rsid w:val="6B260059"/>
    <w:rsid w:val="6B262257"/>
    <w:rsid w:val="6B264B93"/>
    <w:rsid w:val="6B2655DF"/>
    <w:rsid w:val="6B275ADB"/>
    <w:rsid w:val="6B275FB9"/>
    <w:rsid w:val="6B28355C"/>
    <w:rsid w:val="6B296FCD"/>
    <w:rsid w:val="6B2A00D0"/>
    <w:rsid w:val="6B2A44E1"/>
    <w:rsid w:val="6B2A6A5F"/>
    <w:rsid w:val="6B2B1F62"/>
    <w:rsid w:val="6B2B30F7"/>
    <w:rsid w:val="6B2B4A32"/>
    <w:rsid w:val="6B2B4F53"/>
    <w:rsid w:val="6B2B66DF"/>
    <w:rsid w:val="6B2C4161"/>
    <w:rsid w:val="6B2E2BC2"/>
    <w:rsid w:val="6B2E2D87"/>
    <w:rsid w:val="6B2E7664"/>
    <w:rsid w:val="6B2F0969"/>
    <w:rsid w:val="6B302B67"/>
    <w:rsid w:val="6B3063EA"/>
    <w:rsid w:val="6B314CDA"/>
    <w:rsid w:val="6B322639"/>
    <w:rsid w:val="6B32606A"/>
    <w:rsid w:val="6B333AEC"/>
    <w:rsid w:val="6B33736F"/>
    <w:rsid w:val="6B34156D"/>
    <w:rsid w:val="6B3602F4"/>
    <w:rsid w:val="6B360F09"/>
    <w:rsid w:val="6B375D75"/>
    <w:rsid w:val="6B390327"/>
    <w:rsid w:val="6B391278"/>
    <w:rsid w:val="6B3931E5"/>
    <w:rsid w:val="6B3959F5"/>
    <w:rsid w:val="6B3A3BBF"/>
    <w:rsid w:val="6B3B4599"/>
    <w:rsid w:val="6B3B697A"/>
    <w:rsid w:val="6B3C21FD"/>
    <w:rsid w:val="6B3D1E7D"/>
    <w:rsid w:val="6B3D5B12"/>
    <w:rsid w:val="6B3E5700"/>
    <w:rsid w:val="6B3E78FE"/>
    <w:rsid w:val="6B3F3181"/>
    <w:rsid w:val="6B3F5380"/>
    <w:rsid w:val="6B4007C8"/>
    <w:rsid w:val="6B400C03"/>
    <w:rsid w:val="6B402E01"/>
    <w:rsid w:val="6B410883"/>
    <w:rsid w:val="6B416685"/>
    <w:rsid w:val="6B421B88"/>
    <w:rsid w:val="6B452B0C"/>
    <w:rsid w:val="6B46058E"/>
    <w:rsid w:val="6B463546"/>
    <w:rsid w:val="6B464D0B"/>
    <w:rsid w:val="6B48020E"/>
    <w:rsid w:val="6B481F0D"/>
    <w:rsid w:val="6B483A91"/>
    <w:rsid w:val="6B486135"/>
    <w:rsid w:val="6B491513"/>
    <w:rsid w:val="6B4A74E9"/>
    <w:rsid w:val="6B4B024C"/>
    <w:rsid w:val="6B4B4A16"/>
    <w:rsid w:val="6B4C17C5"/>
    <w:rsid w:val="6B4C2497"/>
    <w:rsid w:val="6B4D7F19"/>
    <w:rsid w:val="6B4E2D3E"/>
    <w:rsid w:val="6B4F38DD"/>
    <w:rsid w:val="6B514C91"/>
    <w:rsid w:val="6B51691F"/>
    <w:rsid w:val="6B5243A0"/>
    <w:rsid w:val="6B525830"/>
    <w:rsid w:val="6B54608E"/>
    <w:rsid w:val="6B546F6D"/>
    <w:rsid w:val="6B555325"/>
    <w:rsid w:val="6B56437F"/>
    <w:rsid w:val="6B56531F"/>
    <w:rsid w:val="6B570828"/>
    <w:rsid w:val="6B570EC0"/>
    <w:rsid w:val="6B581C23"/>
    <w:rsid w:val="6B5862AA"/>
    <w:rsid w:val="6B593D2B"/>
    <w:rsid w:val="6B5A17AD"/>
    <w:rsid w:val="6B5A319C"/>
    <w:rsid w:val="6B5A3D3B"/>
    <w:rsid w:val="6B5A722E"/>
    <w:rsid w:val="6B5B4CB0"/>
    <w:rsid w:val="6B5C2732"/>
    <w:rsid w:val="6B5D01B3"/>
    <w:rsid w:val="6B5F36B6"/>
    <w:rsid w:val="6B5F7207"/>
    <w:rsid w:val="6B601138"/>
    <w:rsid w:val="6B616BB9"/>
    <w:rsid w:val="6B62243D"/>
    <w:rsid w:val="6B627EBE"/>
    <w:rsid w:val="6B635940"/>
    <w:rsid w:val="6B644471"/>
    <w:rsid w:val="6B647753"/>
    <w:rsid w:val="6B647B3E"/>
    <w:rsid w:val="6B653436"/>
    <w:rsid w:val="6B6555BF"/>
    <w:rsid w:val="6B655F65"/>
    <w:rsid w:val="6B662AA2"/>
    <w:rsid w:val="6B663041"/>
    <w:rsid w:val="6B663FD5"/>
    <w:rsid w:val="6B6668C4"/>
    <w:rsid w:val="6B670AC3"/>
    <w:rsid w:val="6B674B73"/>
    <w:rsid w:val="6B681DC7"/>
    <w:rsid w:val="6B68554D"/>
    <w:rsid w:val="6B686544"/>
    <w:rsid w:val="6B693FC6"/>
    <w:rsid w:val="6B696C8B"/>
    <w:rsid w:val="6B697849"/>
    <w:rsid w:val="6B6A1A47"/>
    <w:rsid w:val="6B6A52CA"/>
    <w:rsid w:val="6B6B2D4C"/>
    <w:rsid w:val="6B6C0BDE"/>
    <w:rsid w:val="6B6C4F4A"/>
    <w:rsid w:val="6B6D29CC"/>
    <w:rsid w:val="6B6E231B"/>
    <w:rsid w:val="6B703894"/>
    <w:rsid w:val="6B7071D4"/>
    <w:rsid w:val="6B714C55"/>
    <w:rsid w:val="6B7226D7"/>
    <w:rsid w:val="6B726E54"/>
    <w:rsid w:val="6B731183"/>
    <w:rsid w:val="6B747DD8"/>
    <w:rsid w:val="6B75585A"/>
    <w:rsid w:val="6B757AC3"/>
    <w:rsid w:val="6B770D5D"/>
    <w:rsid w:val="6B7815F6"/>
    <w:rsid w:val="6B781BDB"/>
    <w:rsid w:val="6B7845E0"/>
    <w:rsid w:val="6B7A7AE3"/>
    <w:rsid w:val="6B7B2FE6"/>
    <w:rsid w:val="6B7C0A68"/>
    <w:rsid w:val="6B7D64E9"/>
    <w:rsid w:val="6B7E06E8"/>
    <w:rsid w:val="6B7E3F6B"/>
    <w:rsid w:val="6B7E5C45"/>
    <w:rsid w:val="6B803BEB"/>
    <w:rsid w:val="6B80746E"/>
    <w:rsid w:val="6B81166C"/>
    <w:rsid w:val="6B822971"/>
    <w:rsid w:val="6B8270EE"/>
    <w:rsid w:val="6B8312D6"/>
    <w:rsid w:val="6B834B70"/>
    <w:rsid w:val="6B8425F1"/>
    <w:rsid w:val="6B850073"/>
    <w:rsid w:val="6B8535B2"/>
    <w:rsid w:val="6B8538F6"/>
    <w:rsid w:val="6B863F8C"/>
    <w:rsid w:val="6B865AF4"/>
    <w:rsid w:val="6B873576"/>
    <w:rsid w:val="6B876DF9"/>
    <w:rsid w:val="6B880FF7"/>
    <w:rsid w:val="6B8818B6"/>
    <w:rsid w:val="6B88487B"/>
    <w:rsid w:val="6B8922FC"/>
    <w:rsid w:val="6B8A44FA"/>
    <w:rsid w:val="6B8A6C42"/>
    <w:rsid w:val="6B8A7D7E"/>
    <w:rsid w:val="6B8C3281"/>
    <w:rsid w:val="6B8C547F"/>
    <w:rsid w:val="6B8D0D02"/>
    <w:rsid w:val="6B8D2F01"/>
    <w:rsid w:val="6B8E0982"/>
    <w:rsid w:val="6B8F210E"/>
    <w:rsid w:val="6B8F4205"/>
    <w:rsid w:val="6B8F6404"/>
    <w:rsid w:val="6B903E85"/>
    <w:rsid w:val="6B927388"/>
    <w:rsid w:val="6B93068D"/>
    <w:rsid w:val="6B934E0A"/>
    <w:rsid w:val="6B94288B"/>
    <w:rsid w:val="6B94610F"/>
    <w:rsid w:val="6B94633D"/>
    <w:rsid w:val="6B95030D"/>
    <w:rsid w:val="6B953B90"/>
    <w:rsid w:val="6B961612"/>
    <w:rsid w:val="6B965D8F"/>
    <w:rsid w:val="6B967A7B"/>
    <w:rsid w:val="6B977093"/>
    <w:rsid w:val="6B980FF3"/>
    <w:rsid w:val="6B9919CE"/>
    <w:rsid w:val="6B996D13"/>
    <w:rsid w:val="6B9A256C"/>
    <w:rsid w:val="6B9A2731"/>
    <w:rsid w:val="6B9B2216"/>
    <w:rsid w:val="6B9B5A9A"/>
    <w:rsid w:val="6B9C351B"/>
    <w:rsid w:val="6B9C3CAA"/>
    <w:rsid w:val="6B9C7C98"/>
    <w:rsid w:val="6B9D0F9D"/>
    <w:rsid w:val="6B9D1D9E"/>
    <w:rsid w:val="6B9E6A1E"/>
    <w:rsid w:val="6B9F0C1C"/>
    <w:rsid w:val="6B9F5BFD"/>
    <w:rsid w:val="6B9F679B"/>
    <w:rsid w:val="6BA01F21"/>
    <w:rsid w:val="6BA0669E"/>
    <w:rsid w:val="6BA14120"/>
    <w:rsid w:val="6BA17ED9"/>
    <w:rsid w:val="6BA32EA6"/>
    <w:rsid w:val="6BA350A4"/>
    <w:rsid w:val="6BA37623"/>
    <w:rsid w:val="6BA42B26"/>
    <w:rsid w:val="6BA505A7"/>
    <w:rsid w:val="6BA563A9"/>
    <w:rsid w:val="6BA63569"/>
    <w:rsid w:val="6BA63E2B"/>
    <w:rsid w:val="6BA66029"/>
    <w:rsid w:val="6BA718AC"/>
    <w:rsid w:val="6BA8152C"/>
    <w:rsid w:val="6BA94DAF"/>
    <w:rsid w:val="6BA96FAE"/>
    <w:rsid w:val="6BAB6A35"/>
    <w:rsid w:val="6BAC75D4"/>
    <w:rsid w:val="6BAC7F32"/>
    <w:rsid w:val="6BAD2A21"/>
    <w:rsid w:val="6BAE0B4D"/>
    <w:rsid w:val="6BAE16EB"/>
    <w:rsid w:val="6BAE2195"/>
    <w:rsid w:val="6BB02C64"/>
    <w:rsid w:val="6BB06970"/>
    <w:rsid w:val="6BB17C3D"/>
    <w:rsid w:val="6BB40BC2"/>
    <w:rsid w:val="6BB4591A"/>
    <w:rsid w:val="6BB564B9"/>
    <w:rsid w:val="6BB71B46"/>
    <w:rsid w:val="6BB77A32"/>
    <w:rsid w:val="6BB875C8"/>
    <w:rsid w:val="6BB9116F"/>
    <w:rsid w:val="6BB9504A"/>
    <w:rsid w:val="6BBA1B4A"/>
    <w:rsid w:val="6BBB054D"/>
    <w:rsid w:val="6BBC3C61"/>
    <w:rsid w:val="6BBC5FCE"/>
    <w:rsid w:val="6BBD3F31"/>
    <w:rsid w:val="6BBE14D1"/>
    <w:rsid w:val="6BBF6F53"/>
    <w:rsid w:val="6BC06753"/>
    <w:rsid w:val="6BC27ED8"/>
    <w:rsid w:val="6BC333DB"/>
    <w:rsid w:val="6BC51FA8"/>
    <w:rsid w:val="6BC568DE"/>
    <w:rsid w:val="6BC6435F"/>
    <w:rsid w:val="6BC7335C"/>
    <w:rsid w:val="6BC73521"/>
    <w:rsid w:val="6BC84A99"/>
    <w:rsid w:val="6BC85664"/>
    <w:rsid w:val="6BC87862"/>
    <w:rsid w:val="6BC905D3"/>
    <w:rsid w:val="6BC952E4"/>
    <w:rsid w:val="6BCA0B67"/>
    <w:rsid w:val="6BCA2D65"/>
    <w:rsid w:val="6BCA61D7"/>
    <w:rsid w:val="6BCB07E7"/>
    <w:rsid w:val="6BCB4152"/>
    <w:rsid w:val="6BCB6A79"/>
    <w:rsid w:val="6BCB6BB1"/>
    <w:rsid w:val="6BCC1AEC"/>
    <w:rsid w:val="6BCC32A4"/>
    <w:rsid w:val="6BCC6269"/>
    <w:rsid w:val="6BCD3CEA"/>
    <w:rsid w:val="6BCD756D"/>
    <w:rsid w:val="6BCE176C"/>
    <w:rsid w:val="6BCF1867"/>
    <w:rsid w:val="6BCF2A70"/>
    <w:rsid w:val="6BD004F2"/>
    <w:rsid w:val="6BD04C6F"/>
    <w:rsid w:val="6BD126F0"/>
    <w:rsid w:val="6BD15F74"/>
    <w:rsid w:val="6BD20172"/>
    <w:rsid w:val="6BD237BA"/>
    <w:rsid w:val="6BD2397F"/>
    <w:rsid w:val="6BD239F5"/>
    <w:rsid w:val="6BD35BF3"/>
    <w:rsid w:val="6BD44EF8"/>
    <w:rsid w:val="6BD46EF8"/>
    <w:rsid w:val="6BD5497A"/>
    <w:rsid w:val="6BD8207B"/>
    <w:rsid w:val="6BD858FE"/>
    <w:rsid w:val="6BD90EEB"/>
    <w:rsid w:val="6BD915C1"/>
    <w:rsid w:val="6BD97AFD"/>
    <w:rsid w:val="6BDA09CA"/>
    <w:rsid w:val="6BDA1B01"/>
    <w:rsid w:val="6BDA1CC5"/>
    <w:rsid w:val="6BDA557E"/>
    <w:rsid w:val="6BDB3000"/>
    <w:rsid w:val="6BDB6883"/>
    <w:rsid w:val="6BDC307A"/>
    <w:rsid w:val="6BDC4305"/>
    <w:rsid w:val="6BDC47B9"/>
    <w:rsid w:val="6BDD3C18"/>
    <w:rsid w:val="6BDD3F84"/>
    <w:rsid w:val="6BDE1A06"/>
    <w:rsid w:val="6BDE47B7"/>
    <w:rsid w:val="6BDE7808"/>
    <w:rsid w:val="6BDF5289"/>
    <w:rsid w:val="6BDF7488"/>
    <w:rsid w:val="6BE02D0B"/>
    <w:rsid w:val="6BE1078C"/>
    <w:rsid w:val="6BE1298B"/>
    <w:rsid w:val="6BE168CF"/>
    <w:rsid w:val="6BE2040C"/>
    <w:rsid w:val="6BE2746D"/>
    <w:rsid w:val="6BE37E48"/>
    <w:rsid w:val="6BE42896"/>
    <w:rsid w:val="6BE54C14"/>
    <w:rsid w:val="6BE62AFE"/>
    <w:rsid w:val="6BE64D01"/>
    <w:rsid w:val="6BE6558D"/>
    <w:rsid w:val="6BE66E12"/>
    <w:rsid w:val="6BE70117"/>
    <w:rsid w:val="6BE73BE9"/>
    <w:rsid w:val="6BE85B99"/>
    <w:rsid w:val="6BE9361A"/>
    <w:rsid w:val="6BE97D97"/>
    <w:rsid w:val="6BEB618E"/>
    <w:rsid w:val="6BEB6B1D"/>
    <w:rsid w:val="6BED2021"/>
    <w:rsid w:val="6BED7707"/>
    <w:rsid w:val="6BEE7AA2"/>
    <w:rsid w:val="6BEF1470"/>
    <w:rsid w:val="6BEF5524"/>
    <w:rsid w:val="6BF02FA5"/>
    <w:rsid w:val="6BF10A27"/>
    <w:rsid w:val="6BF22C25"/>
    <w:rsid w:val="6BF23772"/>
    <w:rsid w:val="6BF306A7"/>
    <w:rsid w:val="6BF542DC"/>
    <w:rsid w:val="6BF56C52"/>
    <w:rsid w:val="6BF56FBD"/>
    <w:rsid w:val="6BF574DE"/>
    <w:rsid w:val="6BF65CF0"/>
    <w:rsid w:val="6BF66428"/>
    <w:rsid w:val="6BF803B2"/>
    <w:rsid w:val="6BF82A20"/>
    <w:rsid w:val="6BFA0F1A"/>
    <w:rsid w:val="6BFA10DE"/>
    <w:rsid w:val="6BFA38B5"/>
    <w:rsid w:val="6BFB1336"/>
    <w:rsid w:val="6BFB1AB8"/>
    <w:rsid w:val="6BFB1C7D"/>
    <w:rsid w:val="6BFB6DB8"/>
    <w:rsid w:val="6BFC0FB6"/>
    <w:rsid w:val="6BFD22BB"/>
    <w:rsid w:val="6BFD6A38"/>
    <w:rsid w:val="6BFE7D3C"/>
    <w:rsid w:val="6BFF1F3B"/>
    <w:rsid w:val="6BFF476F"/>
    <w:rsid w:val="6BFF57BE"/>
    <w:rsid w:val="6C003240"/>
    <w:rsid w:val="6C005EAC"/>
    <w:rsid w:val="6C01543E"/>
    <w:rsid w:val="6C016886"/>
    <w:rsid w:val="6C0233D3"/>
    <w:rsid w:val="6C026743"/>
    <w:rsid w:val="6C027260"/>
    <w:rsid w:val="6C040D59"/>
    <w:rsid w:val="6C0463C2"/>
    <w:rsid w:val="6C050161"/>
    <w:rsid w:val="6C0576C7"/>
    <w:rsid w:val="6C057FAC"/>
    <w:rsid w:val="6C065149"/>
    <w:rsid w:val="6C072AB5"/>
    <w:rsid w:val="6C084DC9"/>
    <w:rsid w:val="6C09284A"/>
    <w:rsid w:val="6C0960CD"/>
    <w:rsid w:val="6C0A4A08"/>
    <w:rsid w:val="6C0C1250"/>
    <w:rsid w:val="6C0C37CF"/>
    <w:rsid w:val="6C0C7052"/>
    <w:rsid w:val="6C0C7CB9"/>
    <w:rsid w:val="6C0D11B2"/>
    <w:rsid w:val="6C0D4AD4"/>
    <w:rsid w:val="6C0D76BF"/>
    <w:rsid w:val="6C0F0C37"/>
    <w:rsid w:val="6C0F7FD7"/>
    <w:rsid w:val="6C1121B0"/>
    <w:rsid w:val="6C1156D8"/>
    <w:rsid w:val="6C1175BA"/>
    <w:rsid w:val="6C120F5B"/>
    <w:rsid w:val="6C122F13"/>
    <w:rsid w:val="6C12315A"/>
    <w:rsid w:val="6C123C0C"/>
    <w:rsid w:val="6C123DC2"/>
    <w:rsid w:val="6C133015"/>
    <w:rsid w:val="6C1369DD"/>
    <w:rsid w:val="6C14445E"/>
    <w:rsid w:val="6C14665D"/>
    <w:rsid w:val="6C1653E3"/>
    <w:rsid w:val="6C1765A4"/>
    <w:rsid w:val="6C1808E6"/>
    <w:rsid w:val="6C1A3DE9"/>
    <w:rsid w:val="6C1B186B"/>
    <w:rsid w:val="6C1C260E"/>
    <w:rsid w:val="6C1C27D3"/>
    <w:rsid w:val="6C1C72EC"/>
    <w:rsid w:val="6C1D4D6E"/>
    <w:rsid w:val="6C1E3D4C"/>
    <w:rsid w:val="6C1F48EA"/>
    <w:rsid w:val="6C2052C5"/>
    <w:rsid w:val="6C213774"/>
    <w:rsid w:val="6C2152D1"/>
    <w:rsid w:val="6C2211F6"/>
    <w:rsid w:val="6C2341B9"/>
    <w:rsid w:val="6C236C77"/>
    <w:rsid w:val="6C26132F"/>
    <w:rsid w:val="6C27567D"/>
    <w:rsid w:val="6C284B77"/>
    <w:rsid w:val="6C2945EC"/>
    <w:rsid w:val="6C2A4B84"/>
    <w:rsid w:val="6C2A6602"/>
    <w:rsid w:val="6C2B4084"/>
    <w:rsid w:val="6C2C1B05"/>
    <w:rsid w:val="6C2C7587"/>
    <w:rsid w:val="6C2D1816"/>
    <w:rsid w:val="6C2E7676"/>
    <w:rsid w:val="6C2F0D7C"/>
    <w:rsid w:val="6C303D8F"/>
    <w:rsid w:val="6C305F8D"/>
    <w:rsid w:val="6C307AAE"/>
    <w:rsid w:val="6C311952"/>
    <w:rsid w:val="6C327292"/>
    <w:rsid w:val="6C332ECB"/>
    <w:rsid w:val="6C340216"/>
    <w:rsid w:val="6C344993"/>
    <w:rsid w:val="6C354444"/>
    <w:rsid w:val="6C354FE2"/>
    <w:rsid w:val="6C355C98"/>
    <w:rsid w:val="6C36371A"/>
    <w:rsid w:val="6C367E96"/>
    <w:rsid w:val="6C37119B"/>
    <w:rsid w:val="6C3A04AE"/>
    <w:rsid w:val="6C3A2120"/>
    <w:rsid w:val="6C3B104D"/>
    <w:rsid w:val="6C3B431E"/>
    <w:rsid w:val="6C3C1BEC"/>
    <w:rsid w:val="6C3C1DA0"/>
    <w:rsid w:val="6C3C5623"/>
    <w:rsid w:val="6C3D278A"/>
    <w:rsid w:val="6C3D2E83"/>
    <w:rsid w:val="6C3D30A4"/>
    <w:rsid w:val="6C3E52A3"/>
    <w:rsid w:val="6C3F1329"/>
    <w:rsid w:val="6C3F2D24"/>
    <w:rsid w:val="6C3F65A7"/>
    <w:rsid w:val="6C4007A6"/>
    <w:rsid w:val="6C404029"/>
    <w:rsid w:val="6C41527C"/>
    <w:rsid w:val="6C416227"/>
    <w:rsid w:val="6C42752C"/>
    <w:rsid w:val="6C43172A"/>
    <w:rsid w:val="6C434FAE"/>
    <w:rsid w:val="6C442A2F"/>
    <w:rsid w:val="6C444C2E"/>
    <w:rsid w:val="6C447F32"/>
    <w:rsid w:val="6C4526AF"/>
    <w:rsid w:val="6C460131"/>
    <w:rsid w:val="6C4614AB"/>
    <w:rsid w:val="6C475BB2"/>
    <w:rsid w:val="6C481435"/>
    <w:rsid w:val="6C483634"/>
    <w:rsid w:val="6C4910B5"/>
    <w:rsid w:val="6C4A6B37"/>
    <w:rsid w:val="6C4B23BA"/>
    <w:rsid w:val="6C4B45B8"/>
    <w:rsid w:val="6C4C203A"/>
    <w:rsid w:val="6C4C7E3C"/>
    <w:rsid w:val="6C4D3CBC"/>
    <w:rsid w:val="6C4D6279"/>
    <w:rsid w:val="6C4D7ABB"/>
    <w:rsid w:val="6C4E0DC0"/>
    <w:rsid w:val="6C4E553D"/>
    <w:rsid w:val="6C4F2FBF"/>
    <w:rsid w:val="6C4F762D"/>
    <w:rsid w:val="6C5001CC"/>
    <w:rsid w:val="6C5042C3"/>
    <w:rsid w:val="6C5164C2"/>
    <w:rsid w:val="6C523F43"/>
    <w:rsid w:val="6C5319C5"/>
    <w:rsid w:val="6C535248"/>
    <w:rsid w:val="6C547446"/>
    <w:rsid w:val="6C562949"/>
    <w:rsid w:val="6C5661CD"/>
    <w:rsid w:val="6C5703CB"/>
    <w:rsid w:val="6C573C4E"/>
    <w:rsid w:val="6C5A7C87"/>
    <w:rsid w:val="6C5B2654"/>
    <w:rsid w:val="6C5B6DD1"/>
    <w:rsid w:val="6C5C00D6"/>
    <w:rsid w:val="6C5C22D4"/>
    <w:rsid w:val="6C5C4853"/>
    <w:rsid w:val="6C5C5DC2"/>
    <w:rsid w:val="6C5C664E"/>
    <w:rsid w:val="6C5E35D9"/>
    <w:rsid w:val="6C5E57D7"/>
    <w:rsid w:val="6C5F105B"/>
    <w:rsid w:val="6C5F3259"/>
    <w:rsid w:val="6C600CDA"/>
    <w:rsid w:val="6C606ADC"/>
    <w:rsid w:val="6C6153F8"/>
    <w:rsid w:val="6C621FDF"/>
    <w:rsid w:val="6C6241DE"/>
    <w:rsid w:val="6C636C38"/>
    <w:rsid w:val="6C637A61"/>
    <w:rsid w:val="6C642F64"/>
    <w:rsid w:val="6C6454E2"/>
    <w:rsid w:val="6C6476E1"/>
    <w:rsid w:val="6C6509E5"/>
    <w:rsid w:val="6C655162"/>
    <w:rsid w:val="6C6608C4"/>
    <w:rsid w:val="6C666467"/>
    <w:rsid w:val="6C670665"/>
    <w:rsid w:val="6C673EE9"/>
    <w:rsid w:val="6C6860E7"/>
    <w:rsid w:val="6C691A23"/>
    <w:rsid w:val="6C693B68"/>
    <w:rsid w:val="6C6A15EA"/>
    <w:rsid w:val="6C6A4E6D"/>
    <w:rsid w:val="6C6B0755"/>
    <w:rsid w:val="6C6B28EF"/>
    <w:rsid w:val="6C6C0370"/>
    <w:rsid w:val="6C6C4AF3"/>
    <w:rsid w:val="6C6C7746"/>
    <w:rsid w:val="6C6D256F"/>
    <w:rsid w:val="6C6E6C0B"/>
    <w:rsid w:val="6C6E7FF0"/>
    <w:rsid w:val="6C6F12F5"/>
    <w:rsid w:val="6C700348"/>
    <w:rsid w:val="6C706D77"/>
    <w:rsid w:val="6C710D22"/>
    <w:rsid w:val="6C710F75"/>
    <w:rsid w:val="6C7147F8"/>
    <w:rsid w:val="6C73229B"/>
    <w:rsid w:val="6C737CFB"/>
    <w:rsid w:val="6C74577D"/>
    <w:rsid w:val="6C7531FE"/>
    <w:rsid w:val="6C753814"/>
    <w:rsid w:val="6C764577"/>
    <w:rsid w:val="6C783B29"/>
    <w:rsid w:val="6C784183"/>
    <w:rsid w:val="6C786381"/>
    <w:rsid w:val="6C7A1884"/>
    <w:rsid w:val="6C7B05E2"/>
    <w:rsid w:val="6C7D1B5B"/>
    <w:rsid w:val="6C7D608C"/>
    <w:rsid w:val="6C7E3B0E"/>
    <w:rsid w:val="6C7F158F"/>
    <w:rsid w:val="6C7F30D3"/>
    <w:rsid w:val="6C7F3298"/>
    <w:rsid w:val="6C807011"/>
    <w:rsid w:val="6C814811"/>
    <w:rsid w:val="6C814A92"/>
    <w:rsid w:val="6C822514"/>
    <w:rsid w:val="6C832C74"/>
    <w:rsid w:val="6C837F96"/>
    <w:rsid w:val="6C846764"/>
    <w:rsid w:val="6C860F1A"/>
    <w:rsid w:val="6C866672"/>
    <w:rsid w:val="6C866827"/>
    <w:rsid w:val="6C867EA1"/>
    <w:rsid w:val="6C870A40"/>
    <w:rsid w:val="6C8753A4"/>
    <w:rsid w:val="6C87699C"/>
    <w:rsid w:val="6C88441D"/>
    <w:rsid w:val="6C8847AD"/>
    <w:rsid w:val="6C892993"/>
    <w:rsid w:val="6C8A6C2E"/>
    <w:rsid w:val="6C8B53A2"/>
    <w:rsid w:val="6C8E61E8"/>
    <w:rsid w:val="6C8F3DA8"/>
    <w:rsid w:val="6C90182A"/>
    <w:rsid w:val="6C907761"/>
    <w:rsid w:val="6C9172AB"/>
    <w:rsid w:val="6C920E9E"/>
    <w:rsid w:val="6C924D2D"/>
    <w:rsid w:val="6C931878"/>
    <w:rsid w:val="6C9327AE"/>
    <w:rsid w:val="6C942417"/>
    <w:rsid w:val="6C943AB3"/>
    <w:rsid w:val="6C954150"/>
    <w:rsid w:val="6C955CB1"/>
    <w:rsid w:val="6C966FB6"/>
    <w:rsid w:val="6C967F0D"/>
    <w:rsid w:val="6C974A38"/>
    <w:rsid w:val="6C9824B9"/>
    <w:rsid w:val="6C985AA7"/>
    <w:rsid w:val="6C997F3B"/>
    <w:rsid w:val="6C9A59BC"/>
    <w:rsid w:val="6C9C30BE"/>
    <w:rsid w:val="6C9D0B3F"/>
    <w:rsid w:val="6C9D43C3"/>
    <w:rsid w:val="6C9D6941"/>
    <w:rsid w:val="6C9E1E44"/>
    <w:rsid w:val="6C9E65C1"/>
    <w:rsid w:val="6C9F78C6"/>
    <w:rsid w:val="6CA01AC4"/>
    <w:rsid w:val="6CA05347"/>
    <w:rsid w:val="6CA17546"/>
    <w:rsid w:val="6CA2084A"/>
    <w:rsid w:val="6CA247C8"/>
    <w:rsid w:val="6CA24FC7"/>
    <w:rsid w:val="6CA32A49"/>
    <w:rsid w:val="6CA33B4D"/>
    <w:rsid w:val="6CA362CC"/>
    <w:rsid w:val="6CA404CA"/>
    <w:rsid w:val="6CA43D4D"/>
    <w:rsid w:val="6CA468E0"/>
    <w:rsid w:val="6CA517CF"/>
    <w:rsid w:val="6CA55F4C"/>
    <w:rsid w:val="6CA6001D"/>
    <w:rsid w:val="6CA639CD"/>
    <w:rsid w:val="6CA709F7"/>
    <w:rsid w:val="6CA7144F"/>
    <w:rsid w:val="6CA74CD2"/>
    <w:rsid w:val="6CA82754"/>
    <w:rsid w:val="6CA91F70"/>
    <w:rsid w:val="6CA94952"/>
    <w:rsid w:val="6CAA23D4"/>
    <w:rsid w:val="6CAA5C57"/>
    <w:rsid w:val="6CAB36D8"/>
    <w:rsid w:val="6CAC47AA"/>
    <w:rsid w:val="6CAD3358"/>
    <w:rsid w:val="6CAD6BDB"/>
    <w:rsid w:val="6CAE465D"/>
    <w:rsid w:val="6CAE685B"/>
    <w:rsid w:val="6CAF20DF"/>
    <w:rsid w:val="6CAF42DD"/>
    <w:rsid w:val="6CB155E2"/>
    <w:rsid w:val="6CB177E0"/>
    <w:rsid w:val="6CB23868"/>
    <w:rsid w:val="6CB25261"/>
    <w:rsid w:val="6CB30AE5"/>
    <w:rsid w:val="6CB33D8F"/>
    <w:rsid w:val="6CB40765"/>
    <w:rsid w:val="6CB43BD9"/>
    <w:rsid w:val="6CB46566"/>
    <w:rsid w:val="6CB51A69"/>
    <w:rsid w:val="6CB53FE8"/>
    <w:rsid w:val="6CB561E6"/>
    <w:rsid w:val="6CB63C68"/>
    <w:rsid w:val="6CB674EB"/>
    <w:rsid w:val="6CB716E9"/>
    <w:rsid w:val="6CB74F6C"/>
    <w:rsid w:val="6CB829EE"/>
    <w:rsid w:val="6CB8716B"/>
    <w:rsid w:val="6CBA6439"/>
    <w:rsid w:val="6CBB3973"/>
    <w:rsid w:val="6CBB6FD8"/>
    <w:rsid w:val="6CBC5B71"/>
    <w:rsid w:val="6CBC7B76"/>
    <w:rsid w:val="6CBD0715"/>
    <w:rsid w:val="6CBD35F3"/>
    <w:rsid w:val="6CBE10EF"/>
    <w:rsid w:val="6CBE12B4"/>
    <w:rsid w:val="6CBE48F7"/>
    <w:rsid w:val="6CBF1AC9"/>
    <w:rsid w:val="6CC04577"/>
    <w:rsid w:val="6CC11FF9"/>
    <w:rsid w:val="6CC13DA5"/>
    <w:rsid w:val="6CC1587C"/>
    <w:rsid w:val="6CC24944"/>
    <w:rsid w:val="6CC268D7"/>
    <w:rsid w:val="6CC354FC"/>
    <w:rsid w:val="6CC45CF8"/>
    <w:rsid w:val="6CC56480"/>
    <w:rsid w:val="6CC67436"/>
    <w:rsid w:val="6CC71984"/>
    <w:rsid w:val="6CC77FD4"/>
    <w:rsid w:val="6CC809AF"/>
    <w:rsid w:val="6CC85207"/>
    <w:rsid w:val="6CC92C88"/>
    <w:rsid w:val="6CC94E87"/>
    <w:rsid w:val="6CCA070A"/>
    <w:rsid w:val="6CCA2908"/>
    <w:rsid w:val="6CCB038A"/>
    <w:rsid w:val="6CCB618B"/>
    <w:rsid w:val="6CCC30F0"/>
    <w:rsid w:val="6CCD04EB"/>
    <w:rsid w:val="6CCD388D"/>
    <w:rsid w:val="6CCD7110"/>
    <w:rsid w:val="6CCE4B92"/>
    <w:rsid w:val="6CCE55B8"/>
    <w:rsid w:val="6CCF2613"/>
    <w:rsid w:val="6CD00095"/>
    <w:rsid w:val="6CD04811"/>
    <w:rsid w:val="6CD12293"/>
    <w:rsid w:val="6CD17894"/>
    <w:rsid w:val="6CD23598"/>
    <w:rsid w:val="6CD30C48"/>
    <w:rsid w:val="6CD31019"/>
    <w:rsid w:val="6CD35796"/>
    <w:rsid w:val="6CD52386"/>
    <w:rsid w:val="6CD5451D"/>
    <w:rsid w:val="6CD738FF"/>
    <w:rsid w:val="6CD92F23"/>
    <w:rsid w:val="6CD9769F"/>
    <w:rsid w:val="6CDA09A4"/>
    <w:rsid w:val="6CDA5121"/>
    <w:rsid w:val="6CDA5BDB"/>
    <w:rsid w:val="6CDB5F08"/>
    <w:rsid w:val="6CDD3B27"/>
    <w:rsid w:val="6CDD49A9"/>
    <w:rsid w:val="6CDD60A6"/>
    <w:rsid w:val="6CDE10A7"/>
    <w:rsid w:val="6CDE73AA"/>
    <w:rsid w:val="6CDF3526"/>
    <w:rsid w:val="6CDF702A"/>
    <w:rsid w:val="6CE027E4"/>
    <w:rsid w:val="6CE04AAC"/>
    <w:rsid w:val="6CE1032F"/>
    <w:rsid w:val="6CE25DB1"/>
    <w:rsid w:val="6CE269DF"/>
    <w:rsid w:val="6CE33832"/>
    <w:rsid w:val="6CE412B4"/>
    <w:rsid w:val="6CE547B7"/>
    <w:rsid w:val="6CE62238"/>
    <w:rsid w:val="6CE6684F"/>
    <w:rsid w:val="6CE8573C"/>
    <w:rsid w:val="6CE931BD"/>
    <w:rsid w:val="6CEA0C3F"/>
    <w:rsid w:val="6CEA20A3"/>
    <w:rsid w:val="6CEB66C0"/>
    <w:rsid w:val="6CEC4142"/>
    <w:rsid w:val="6CED1BC3"/>
    <w:rsid w:val="6CED6224"/>
    <w:rsid w:val="6CEE4A35"/>
    <w:rsid w:val="6CEE52C1"/>
    <w:rsid w:val="6CF0610E"/>
    <w:rsid w:val="6CF062D3"/>
    <w:rsid w:val="6CF105C9"/>
    <w:rsid w:val="6CF157F9"/>
    <w:rsid w:val="6CF2784B"/>
    <w:rsid w:val="6CF30226"/>
    <w:rsid w:val="6CF33ACD"/>
    <w:rsid w:val="6CF40DC4"/>
    <w:rsid w:val="6CF62502"/>
    <w:rsid w:val="6CF724D3"/>
    <w:rsid w:val="6CF87F54"/>
    <w:rsid w:val="6CFA2479"/>
    <w:rsid w:val="6CFB475C"/>
    <w:rsid w:val="6CFC21DE"/>
    <w:rsid w:val="6CFC695A"/>
    <w:rsid w:val="6CFD43DC"/>
    <w:rsid w:val="6CFD7212"/>
    <w:rsid w:val="6CFD7C5F"/>
    <w:rsid w:val="6CFD7CAA"/>
    <w:rsid w:val="6CFE3029"/>
    <w:rsid w:val="6CFE56E1"/>
    <w:rsid w:val="6CFF5361"/>
    <w:rsid w:val="6D002DE2"/>
    <w:rsid w:val="6D016666"/>
    <w:rsid w:val="6D0240E7"/>
    <w:rsid w:val="6D033ED9"/>
    <w:rsid w:val="6D0417E8"/>
    <w:rsid w:val="6D0475EA"/>
    <w:rsid w:val="6D05506C"/>
    <w:rsid w:val="6D05726A"/>
    <w:rsid w:val="6D062AED"/>
    <w:rsid w:val="6D064CEC"/>
    <w:rsid w:val="6D0669CA"/>
    <w:rsid w:val="6D07276D"/>
    <w:rsid w:val="6D075FF0"/>
    <w:rsid w:val="6D076131"/>
    <w:rsid w:val="6D0801EF"/>
    <w:rsid w:val="6D083A72"/>
    <w:rsid w:val="6D09091E"/>
    <w:rsid w:val="6D0931DE"/>
    <w:rsid w:val="6D093C1F"/>
    <w:rsid w:val="6D095C70"/>
    <w:rsid w:val="6D0A1681"/>
    <w:rsid w:val="6D0A2B07"/>
    <w:rsid w:val="6D0A2E73"/>
    <w:rsid w:val="6D0A36F2"/>
    <w:rsid w:val="6D0A6F75"/>
    <w:rsid w:val="6D0B1173"/>
    <w:rsid w:val="6D0B14CF"/>
    <w:rsid w:val="6D0B1684"/>
    <w:rsid w:val="6D0B49F7"/>
    <w:rsid w:val="6D0D3798"/>
    <w:rsid w:val="6D0E20F8"/>
    <w:rsid w:val="6D0E597B"/>
    <w:rsid w:val="6D0F33FD"/>
    <w:rsid w:val="6D0F7B79"/>
    <w:rsid w:val="6D1055FB"/>
    <w:rsid w:val="6D1142D1"/>
    <w:rsid w:val="6D1160C5"/>
    <w:rsid w:val="6D116900"/>
    <w:rsid w:val="6D120AFE"/>
    <w:rsid w:val="6D124381"/>
    <w:rsid w:val="6D127803"/>
    <w:rsid w:val="6D131E03"/>
    <w:rsid w:val="6D140F40"/>
    <w:rsid w:val="6D144001"/>
    <w:rsid w:val="6D147885"/>
    <w:rsid w:val="6D164F86"/>
    <w:rsid w:val="6D172A07"/>
    <w:rsid w:val="6D175EDC"/>
    <w:rsid w:val="6D18386D"/>
    <w:rsid w:val="6D18628B"/>
    <w:rsid w:val="6D192AFE"/>
    <w:rsid w:val="6D193D0C"/>
    <w:rsid w:val="6D19440C"/>
    <w:rsid w:val="6D194538"/>
    <w:rsid w:val="6D195F0B"/>
    <w:rsid w:val="6D1A319F"/>
    <w:rsid w:val="6D1C4C91"/>
    <w:rsid w:val="6D1C6524"/>
    <w:rsid w:val="6D1C66E8"/>
    <w:rsid w:val="6D1D4911"/>
    <w:rsid w:val="6D1E0194"/>
    <w:rsid w:val="6D1E2392"/>
    <w:rsid w:val="6D1E5C16"/>
    <w:rsid w:val="6D1F3697"/>
    <w:rsid w:val="6D1F7E14"/>
    <w:rsid w:val="6D201119"/>
    <w:rsid w:val="6D213317"/>
    <w:rsid w:val="6D216B9A"/>
    <w:rsid w:val="6D23209D"/>
    <w:rsid w:val="6D233E90"/>
    <w:rsid w:val="6D241DD6"/>
    <w:rsid w:val="6D24429C"/>
    <w:rsid w:val="6D247B1F"/>
    <w:rsid w:val="6D26086E"/>
    <w:rsid w:val="6D263022"/>
    <w:rsid w:val="6D2630EF"/>
    <w:rsid w:val="6D26779F"/>
    <w:rsid w:val="6D276982"/>
    <w:rsid w:val="6D282CA2"/>
    <w:rsid w:val="6D286525"/>
    <w:rsid w:val="6D2900BF"/>
    <w:rsid w:val="6D290723"/>
    <w:rsid w:val="6D293FA7"/>
    <w:rsid w:val="6D2A1A28"/>
    <w:rsid w:val="6D2A25C0"/>
    <w:rsid w:val="6D2C16A8"/>
    <w:rsid w:val="6D2D29AD"/>
    <w:rsid w:val="6D2E042E"/>
    <w:rsid w:val="6D2E358B"/>
    <w:rsid w:val="6D2E4BAB"/>
    <w:rsid w:val="6D2F00AE"/>
    <w:rsid w:val="6D303931"/>
    <w:rsid w:val="6D305B30"/>
    <w:rsid w:val="6D3135B1"/>
    <w:rsid w:val="6D321033"/>
    <w:rsid w:val="6D336AB4"/>
    <w:rsid w:val="6D350D33"/>
    <w:rsid w:val="6D351FB7"/>
    <w:rsid w:val="6D357DB9"/>
    <w:rsid w:val="6D360E1C"/>
    <w:rsid w:val="6D36133C"/>
    <w:rsid w:val="6D3632BC"/>
    <w:rsid w:val="6D36583B"/>
    <w:rsid w:val="6D370D3E"/>
    <w:rsid w:val="6D377250"/>
    <w:rsid w:val="6D382F3C"/>
    <w:rsid w:val="6D3867BF"/>
    <w:rsid w:val="6D3909BE"/>
    <w:rsid w:val="6D394241"/>
    <w:rsid w:val="6D3A1CC2"/>
    <w:rsid w:val="6D3A43C4"/>
    <w:rsid w:val="6D3A643F"/>
    <w:rsid w:val="6D3C1942"/>
    <w:rsid w:val="6D3C57B3"/>
    <w:rsid w:val="6D3C6CAD"/>
    <w:rsid w:val="6D3D707A"/>
    <w:rsid w:val="6D3D73C4"/>
    <w:rsid w:val="6D3E4E45"/>
    <w:rsid w:val="6D3E7A54"/>
    <w:rsid w:val="6D3F614A"/>
    <w:rsid w:val="6D400349"/>
    <w:rsid w:val="6D41164D"/>
    <w:rsid w:val="6D411B6C"/>
    <w:rsid w:val="6D4228CF"/>
    <w:rsid w:val="6D42384C"/>
    <w:rsid w:val="6D4270CF"/>
    <w:rsid w:val="6D4312CD"/>
    <w:rsid w:val="6D4332A9"/>
    <w:rsid w:val="6D4348C6"/>
    <w:rsid w:val="6D434DE7"/>
    <w:rsid w:val="6D4425D2"/>
    <w:rsid w:val="6D446D4F"/>
    <w:rsid w:val="6D450054"/>
    <w:rsid w:val="6D452F22"/>
    <w:rsid w:val="6D4547D0"/>
    <w:rsid w:val="6D454822"/>
    <w:rsid w:val="6D462252"/>
    <w:rsid w:val="6D4653C0"/>
    <w:rsid w:val="6D465AD5"/>
    <w:rsid w:val="6D467CD3"/>
    <w:rsid w:val="6D473557"/>
    <w:rsid w:val="6D480FD8"/>
    <w:rsid w:val="6D486AFE"/>
    <w:rsid w:val="6D4A0A51"/>
    <w:rsid w:val="6D4A44DB"/>
    <w:rsid w:val="6D4B1F5D"/>
    <w:rsid w:val="6D4D2B68"/>
    <w:rsid w:val="6D4D5460"/>
    <w:rsid w:val="6D4E0963"/>
    <w:rsid w:val="6D4E3543"/>
    <w:rsid w:val="6D4F40E1"/>
    <w:rsid w:val="6D4F63E5"/>
    <w:rsid w:val="6D5118E8"/>
    <w:rsid w:val="6D527369"/>
    <w:rsid w:val="6D534DEB"/>
    <w:rsid w:val="6D536141"/>
    <w:rsid w:val="6D536D97"/>
    <w:rsid w:val="6D54286C"/>
    <w:rsid w:val="6D560DCE"/>
    <w:rsid w:val="6D565D6F"/>
    <w:rsid w:val="6D5737C1"/>
    <w:rsid w:val="6D590A0C"/>
    <w:rsid w:val="6D596CF4"/>
    <w:rsid w:val="6D5A4776"/>
    <w:rsid w:val="6D5B50DE"/>
    <w:rsid w:val="6D5D56FA"/>
    <w:rsid w:val="6D5E317C"/>
    <w:rsid w:val="6D5F0E02"/>
    <w:rsid w:val="6D601F02"/>
    <w:rsid w:val="6D60667F"/>
    <w:rsid w:val="6D614100"/>
    <w:rsid w:val="6D627650"/>
    <w:rsid w:val="6D632886"/>
    <w:rsid w:val="6D632E87"/>
    <w:rsid w:val="6D652B07"/>
    <w:rsid w:val="6D65638A"/>
    <w:rsid w:val="6D663E0B"/>
    <w:rsid w:val="6D67188D"/>
    <w:rsid w:val="6D673A8B"/>
    <w:rsid w:val="6D68150D"/>
    <w:rsid w:val="6D686AB5"/>
    <w:rsid w:val="6D68730F"/>
    <w:rsid w:val="6D694D90"/>
    <w:rsid w:val="6D696F8E"/>
    <w:rsid w:val="6D6B0293"/>
    <w:rsid w:val="6D6B0BCD"/>
    <w:rsid w:val="6D6C5D15"/>
    <w:rsid w:val="6D6D2146"/>
    <w:rsid w:val="6D6D3796"/>
    <w:rsid w:val="6D6D5995"/>
    <w:rsid w:val="6D6E2CE4"/>
    <w:rsid w:val="6D6E3416"/>
    <w:rsid w:val="6D6E6C99"/>
    <w:rsid w:val="6D6F0E98"/>
    <w:rsid w:val="6D6F36BE"/>
    <w:rsid w:val="6D6F471B"/>
    <w:rsid w:val="6D71190D"/>
    <w:rsid w:val="6D721E1C"/>
    <w:rsid w:val="6D7256A0"/>
    <w:rsid w:val="6D740BA3"/>
    <w:rsid w:val="6D741A8D"/>
    <w:rsid w:val="6D7478EE"/>
    <w:rsid w:val="6D752DA1"/>
    <w:rsid w:val="6D756624"/>
    <w:rsid w:val="6D760823"/>
    <w:rsid w:val="6D783D26"/>
    <w:rsid w:val="6D7917A7"/>
    <w:rsid w:val="6D792F7E"/>
    <w:rsid w:val="6D79502A"/>
    <w:rsid w:val="6D7A7229"/>
    <w:rsid w:val="6D7B052E"/>
    <w:rsid w:val="6D7B4CAA"/>
    <w:rsid w:val="6D7C4ED1"/>
    <w:rsid w:val="6D7C5FAF"/>
    <w:rsid w:val="6D7D01AD"/>
    <w:rsid w:val="6D7D3A31"/>
    <w:rsid w:val="6D7E14B2"/>
    <w:rsid w:val="6D7F1132"/>
    <w:rsid w:val="6D7F6F34"/>
    <w:rsid w:val="6D821C9F"/>
    <w:rsid w:val="6D8220B7"/>
    <w:rsid w:val="6D827EB8"/>
    <w:rsid w:val="6D83593A"/>
    <w:rsid w:val="6D8455BA"/>
    <w:rsid w:val="6D850E3D"/>
    <w:rsid w:val="6D860ABD"/>
    <w:rsid w:val="6D8754F4"/>
    <w:rsid w:val="6D87653E"/>
    <w:rsid w:val="6D883FC0"/>
    <w:rsid w:val="6D887843"/>
    <w:rsid w:val="6D891A42"/>
    <w:rsid w:val="6D8B4F45"/>
    <w:rsid w:val="6D8C09C0"/>
    <w:rsid w:val="6D8C29C6"/>
    <w:rsid w:val="6D8D0448"/>
    <w:rsid w:val="6D8D1723"/>
    <w:rsid w:val="6D8D3CCB"/>
    <w:rsid w:val="6D8E174D"/>
    <w:rsid w:val="6D8E5EC9"/>
    <w:rsid w:val="6D8F394B"/>
    <w:rsid w:val="6D8F71CE"/>
    <w:rsid w:val="6D920153"/>
    <w:rsid w:val="6D9248D0"/>
    <w:rsid w:val="6D932351"/>
    <w:rsid w:val="6D93423A"/>
    <w:rsid w:val="6D935BD4"/>
    <w:rsid w:val="6D936168"/>
    <w:rsid w:val="6D943656"/>
    <w:rsid w:val="6D946ECB"/>
    <w:rsid w:val="6D947DD3"/>
    <w:rsid w:val="6D9510D7"/>
    <w:rsid w:val="6D955854"/>
    <w:rsid w:val="6D96027F"/>
    <w:rsid w:val="6D9632D6"/>
    <w:rsid w:val="6D966B59"/>
    <w:rsid w:val="6D970E1E"/>
    <w:rsid w:val="6D98205C"/>
    <w:rsid w:val="6D98425A"/>
    <w:rsid w:val="6D991CDC"/>
    <w:rsid w:val="6D997ADE"/>
    <w:rsid w:val="6D9B21BC"/>
    <w:rsid w:val="6D9B2FE1"/>
    <w:rsid w:val="6D9C0A62"/>
    <w:rsid w:val="6D9C0B83"/>
    <w:rsid w:val="6D9C2C61"/>
    <w:rsid w:val="6D9C44AE"/>
    <w:rsid w:val="6D9D06E2"/>
    <w:rsid w:val="6D9D0818"/>
    <w:rsid w:val="6D9D5BEC"/>
    <w:rsid w:val="6D9E3F65"/>
    <w:rsid w:val="6D9E6164"/>
    <w:rsid w:val="6D9E7208"/>
    <w:rsid w:val="6D9F7164"/>
    <w:rsid w:val="6DA04EEA"/>
    <w:rsid w:val="6DA07D03"/>
    <w:rsid w:val="6DA170E8"/>
    <w:rsid w:val="6DA2127C"/>
    <w:rsid w:val="6DA24B6A"/>
    <w:rsid w:val="6DA25FB5"/>
    <w:rsid w:val="6DA31E1B"/>
    <w:rsid w:val="6DA55AEF"/>
    <w:rsid w:val="6DA66DF3"/>
    <w:rsid w:val="6DA74875"/>
    <w:rsid w:val="6DA7490C"/>
    <w:rsid w:val="6DA86A73"/>
    <w:rsid w:val="6DA944F5"/>
    <w:rsid w:val="6DAA3F57"/>
    <w:rsid w:val="6DAA57FA"/>
    <w:rsid w:val="6DAA73FE"/>
    <w:rsid w:val="6DAB327B"/>
    <w:rsid w:val="6DAC0B3C"/>
    <w:rsid w:val="6DAC0CFD"/>
    <w:rsid w:val="6DAC5479"/>
    <w:rsid w:val="6DAD677E"/>
    <w:rsid w:val="6DAE4200"/>
    <w:rsid w:val="6DAF2C53"/>
    <w:rsid w:val="6DB037F2"/>
    <w:rsid w:val="6DB07703"/>
    <w:rsid w:val="6DB141CC"/>
    <w:rsid w:val="6DB15184"/>
    <w:rsid w:val="6DB34098"/>
    <w:rsid w:val="6DB35909"/>
    <w:rsid w:val="6DB46109"/>
    <w:rsid w:val="6DB462E4"/>
    <w:rsid w:val="6DB545B6"/>
    <w:rsid w:val="6DB606E6"/>
    <w:rsid w:val="6DB6785C"/>
    <w:rsid w:val="6DB70DD5"/>
    <w:rsid w:val="6DB74B0F"/>
    <w:rsid w:val="6DB7708E"/>
    <w:rsid w:val="6DB90012"/>
    <w:rsid w:val="6DB91992"/>
    <w:rsid w:val="6DB9234E"/>
    <w:rsid w:val="6DBA52B1"/>
    <w:rsid w:val="6DBA7147"/>
    <w:rsid w:val="6DBB3515"/>
    <w:rsid w:val="6DBB3A8B"/>
    <w:rsid w:val="6DBC0F97"/>
    <w:rsid w:val="6DBC462A"/>
    <w:rsid w:val="6DBD6A19"/>
    <w:rsid w:val="6DBE449A"/>
    <w:rsid w:val="6DBE5BA3"/>
    <w:rsid w:val="6DBF6742"/>
    <w:rsid w:val="6DC22EA0"/>
    <w:rsid w:val="6DC41DD2"/>
    <w:rsid w:val="6DC527AC"/>
    <w:rsid w:val="6DC53E25"/>
    <w:rsid w:val="6DC61432"/>
    <w:rsid w:val="6DC615E8"/>
    <w:rsid w:val="6DC6202A"/>
    <w:rsid w:val="6DC6512A"/>
    <w:rsid w:val="6DC710C7"/>
    <w:rsid w:val="6DC87C44"/>
    <w:rsid w:val="6DC87FAF"/>
    <w:rsid w:val="6DC96001"/>
    <w:rsid w:val="6DCB15B1"/>
    <w:rsid w:val="6DCB757A"/>
    <w:rsid w:val="6DCC37B0"/>
    <w:rsid w:val="6DCD0AF3"/>
    <w:rsid w:val="6DCD1231"/>
    <w:rsid w:val="6DCD4AB5"/>
    <w:rsid w:val="6DCE1692"/>
    <w:rsid w:val="6DCE2536"/>
    <w:rsid w:val="6DCF4734"/>
    <w:rsid w:val="6DCF7FB8"/>
    <w:rsid w:val="6DD05A39"/>
    <w:rsid w:val="6DD134BB"/>
    <w:rsid w:val="6DD135E5"/>
    <w:rsid w:val="6DD156B9"/>
    <w:rsid w:val="6DD4443F"/>
    <w:rsid w:val="6DD464A7"/>
    <w:rsid w:val="6DD51EC1"/>
    <w:rsid w:val="6DD540BF"/>
    <w:rsid w:val="6DD56C75"/>
    <w:rsid w:val="6DD62421"/>
    <w:rsid w:val="6DD67943"/>
    <w:rsid w:val="6DD679D8"/>
    <w:rsid w:val="6DD703B2"/>
    <w:rsid w:val="6DD71B95"/>
    <w:rsid w:val="6DD72E46"/>
    <w:rsid w:val="6DD753C4"/>
    <w:rsid w:val="6DD775C2"/>
    <w:rsid w:val="6DD808C7"/>
    <w:rsid w:val="6DD80F51"/>
    <w:rsid w:val="6DD91AF0"/>
    <w:rsid w:val="6DD96349"/>
    <w:rsid w:val="6DDA0547"/>
    <w:rsid w:val="6DDA3DCA"/>
    <w:rsid w:val="6DDC3C07"/>
    <w:rsid w:val="6DDC4648"/>
    <w:rsid w:val="6DDD4D4F"/>
    <w:rsid w:val="6DDE6F4D"/>
    <w:rsid w:val="6DDF49CF"/>
    <w:rsid w:val="6DE02450"/>
    <w:rsid w:val="6DE02FB4"/>
    <w:rsid w:val="6DE05CD4"/>
    <w:rsid w:val="6DE066F9"/>
    <w:rsid w:val="6DE07298"/>
    <w:rsid w:val="6DE13755"/>
    <w:rsid w:val="6DE17ED2"/>
    <w:rsid w:val="6DE25953"/>
    <w:rsid w:val="6DE333D5"/>
    <w:rsid w:val="6DE36081"/>
    <w:rsid w:val="6DE446DA"/>
    <w:rsid w:val="6DE5215B"/>
    <w:rsid w:val="6DE52764"/>
    <w:rsid w:val="6DE54893"/>
    <w:rsid w:val="6DE67BDD"/>
    <w:rsid w:val="6DE71DDB"/>
    <w:rsid w:val="6DE73CDD"/>
    <w:rsid w:val="6DE830E0"/>
    <w:rsid w:val="6DE852DE"/>
    <w:rsid w:val="6DE8785D"/>
    <w:rsid w:val="6DE92D60"/>
    <w:rsid w:val="6DE9541A"/>
    <w:rsid w:val="6DEA07E1"/>
    <w:rsid w:val="6DEA5DF4"/>
    <w:rsid w:val="6DEA65E3"/>
    <w:rsid w:val="6DEB4065"/>
    <w:rsid w:val="6DEB6993"/>
    <w:rsid w:val="6DEC1AE6"/>
    <w:rsid w:val="6DED1766"/>
    <w:rsid w:val="6DED7568"/>
    <w:rsid w:val="6DEE0AAA"/>
    <w:rsid w:val="6DEE71E8"/>
    <w:rsid w:val="6DEF114A"/>
    <w:rsid w:val="6DEF4C69"/>
    <w:rsid w:val="6DF004EC"/>
    <w:rsid w:val="6DF139EF"/>
    <w:rsid w:val="6DF206A9"/>
    <w:rsid w:val="6DF21471"/>
    <w:rsid w:val="6DF2413B"/>
    <w:rsid w:val="6DF36EF3"/>
    <w:rsid w:val="6DF456B4"/>
    <w:rsid w:val="6DF45878"/>
    <w:rsid w:val="6DF46D05"/>
    <w:rsid w:val="6DF56417"/>
    <w:rsid w:val="6DF645F4"/>
    <w:rsid w:val="6DF72075"/>
    <w:rsid w:val="6DF758F9"/>
    <w:rsid w:val="6DF80F7B"/>
    <w:rsid w:val="6DF83A97"/>
    <w:rsid w:val="6DF90DFC"/>
    <w:rsid w:val="6DFA18E3"/>
    <w:rsid w:val="6DFA1AA7"/>
    <w:rsid w:val="6DFA687D"/>
    <w:rsid w:val="6DFB3020"/>
    <w:rsid w:val="6DFC1D81"/>
    <w:rsid w:val="6DFD3F7F"/>
    <w:rsid w:val="6DFD7802"/>
    <w:rsid w:val="6DFE1A00"/>
    <w:rsid w:val="6DFE3277"/>
    <w:rsid w:val="6DFE5284"/>
    <w:rsid w:val="6DFF5CD6"/>
    <w:rsid w:val="6E000787"/>
    <w:rsid w:val="6E002985"/>
    <w:rsid w:val="6E010407"/>
    <w:rsid w:val="6E027DEE"/>
    <w:rsid w:val="6E030604"/>
    <w:rsid w:val="6E03170B"/>
    <w:rsid w:val="6E036D5A"/>
    <w:rsid w:val="6E056E0D"/>
    <w:rsid w:val="6E062690"/>
    <w:rsid w:val="6E06488E"/>
    <w:rsid w:val="6E070112"/>
    <w:rsid w:val="6E072310"/>
    <w:rsid w:val="6E087D91"/>
    <w:rsid w:val="6E091096"/>
    <w:rsid w:val="6E0950DD"/>
    <w:rsid w:val="6E095596"/>
    <w:rsid w:val="6E0A3294"/>
    <w:rsid w:val="6E0A5F70"/>
    <w:rsid w:val="6E0A6B18"/>
    <w:rsid w:val="6E0B0D16"/>
    <w:rsid w:val="6E0B4599"/>
    <w:rsid w:val="6E0C201B"/>
    <w:rsid w:val="6E0C76AD"/>
    <w:rsid w:val="6E0D4219"/>
    <w:rsid w:val="6E0E1C9B"/>
    <w:rsid w:val="6E0E551E"/>
    <w:rsid w:val="6E0F2F9F"/>
    <w:rsid w:val="6E0F52F8"/>
    <w:rsid w:val="6E0F771C"/>
    <w:rsid w:val="6E10519E"/>
    <w:rsid w:val="6E112C1F"/>
    <w:rsid w:val="6E1164A3"/>
    <w:rsid w:val="6E136122"/>
    <w:rsid w:val="6E147427"/>
    <w:rsid w:val="6E155830"/>
    <w:rsid w:val="6E16292A"/>
    <w:rsid w:val="6E1663CE"/>
    <w:rsid w:val="6E173FF3"/>
    <w:rsid w:val="6E1A1331"/>
    <w:rsid w:val="6E1B2439"/>
    <w:rsid w:val="6E1B25FD"/>
    <w:rsid w:val="6E1B6DB2"/>
    <w:rsid w:val="6E1E69BD"/>
    <w:rsid w:val="6E1E7093"/>
    <w:rsid w:val="6E1E7D37"/>
    <w:rsid w:val="6E1F57B8"/>
    <w:rsid w:val="6E1F5C10"/>
    <w:rsid w:val="6E1F6131"/>
    <w:rsid w:val="6E20323A"/>
    <w:rsid w:val="6E216668"/>
    <w:rsid w:val="6E21673D"/>
    <w:rsid w:val="6E227042"/>
    <w:rsid w:val="6E231C40"/>
    <w:rsid w:val="6E240780"/>
    <w:rsid w:val="6E241BF1"/>
    <w:rsid w:val="6E255143"/>
    <w:rsid w:val="6E262897"/>
    <w:rsid w:val="6E262BC5"/>
    <w:rsid w:val="6E286C5B"/>
    <w:rsid w:val="6E291739"/>
    <w:rsid w:val="6E293B49"/>
    <w:rsid w:val="6E2949AF"/>
    <w:rsid w:val="6E2A554D"/>
    <w:rsid w:val="6E2C1505"/>
    <w:rsid w:val="6E2D2550"/>
    <w:rsid w:val="6E2D5DD3"/>
    <w:rsid w:val="6E2E3854"/>
    <w:rsid w:val="6E2E7FD1"/>
    <w:rsid w:val="6E2F0A19"/>
    <w:rsid w:val="6E2F12D6"/>
    <w:rsid w:val="6E2F5A53"/>
    <w:rsid w:val="6E3034D4"/>
    <w:rsid w:val="6E3147D9"/>
    <w:rsid w:val="6E32225B"/>
    <w:rsid w:val="6E322CF5"/>
    <w:rsid w:val="6E33426E"/>
    <w:rsid w:val="6E337CDC"/>
    <w:rsid w:val="6E3603E6"/>
    <w:rsid w:val="6E360C61"/>
    <w:rsid w:val="6E365B71"/>
    <w:rsid w:val="6E372E5F"/>
    <w:rsid w:val="6E376D60"/>
    <w:rsid w:val="6E3808E1"/>
    <w:rsid w:val="6E384164"/>
    <w:rsid w:val="6E3902D9"/>
    <w:rsid w:val="6E393DE4"/>
    <w:rsid w:val="6E3A1865"/>
    <w:rsid w:val="6E3A7667"/>
    <w:rsid w:val="6E3B1A16"/>
    <w:rsid w:val="6E3B360C"/>
    <w:rsid w:val="6E3B50E8"/>
    <w:rsid w:val="6E3C26AA"/>
    <w:rsid w:val="6E3C2B6A"/>
    <w:rsid w:val="6E3C2BCA"/>
    <w:rsid w:val="6E3D05EC"/>
    <w:rsid w:val="6E3D27EA"/>
    <w:rsid w:val="6E3E3B2E"/>
    <w:rsid w:val="6E3F4508"/>
    <w:rsid w:val="6E40376F"/>
    <w:rsid w:val="6E4111F0"/>
    <w:rsid w:val="6E424E4A"/>
    <w:rsid w:val="6E426C72"/>
    <w:rsid w:val="6E437F76"/>
    <w:rsid w:val="6E4512D6"/>
    <w:rsid w:val="6E45347A"/>
    <w:rsid w:val="6E457BF6"/>
    <w:rsid w:val="6E460EFB"/>
    <w:rsid w:val="6E465678"/>
    <w:rsid w:val="6E480B7B"/>
    <w:rsid w:val="6E4831CC"/>
    <w:rsid w:val="6E483229"/>
    <w:rsid w:val="6E491E80"/>
    <w:rsid w:val="6E4965FC"/>
    <w:rsid w:val="6E4A407E"/>
    <w:rsid w:val="6E4A53A7"/>
    <w:rsid w:val="6E4A5DE9"/>
    <w:rsid w:val="6E4B1B00"/>
    <w:rsid w:val="6E4B5383"/>
    <w:rsid w:val="6E4C2A0A"/>
    <w:rsid w:val="6E4C2E04"/>
    <w:rsid w:val="6E4D6055"/>
    <w:rsid w:val="6E4D6EE2"/>
    <w:rsid w:val="6E4E2A84"/>
    <w:rsid w:val="6E4F3D89"/>
    <w:rsid w:val="6E4F40BD"/>
    <w:rsid w:val="6E51148A"/>
    <w:rsid w:val="6E514CED"/>
    <w:rsid w:val="6E526F0C"/>
    <w:rsid w:val="6E53278F"/>
    <w:rsid w:val="6E53323C"/>
    <w:rsid w:val="6E53498E"/>
    <w:rsid w:val="6E540211"/>
    <w:rsid w:val="6E555C92"/>
    <w:rsid w:val="6E563714"/>
    <w:rsid w:val="6E565963"/>
    <w:rsid w:val="6E573394"/>
    <w:rsid w:val="6E580E15"/>
    <w:rsid w:val="6E584699"/>
    <w:rsid w:val="6E586C17"/>
    <w:rsid w:val="6E586EDC"/>
    <w:rsid w:val="6E5978B6"/>
    <w:rsid w:val="6E5A4318"/>
    <w:rsid w:val="6E5A7B9C"/>
    <w:rsid w:val="6E5B0E2F"/>
    <w:rsid w:val="6E5B1D9A"/>
    <w:rsid w:val="6E5C256C"/>
    <w:rsid w:val="6E5C309F"/>
    <w:rsid w:val="6E5C781B"/>
    <w:rsid w:val="6E5D0B20"/>
    <w:rsid w:val="6E5D2F46"/>
    <w:rsid w:val="6E5D529D"/>
    <w:rsid w:val="6E5E2D1F"/>
    <w:rsid w:val="6E5E3AE5"/>
    <w:rsid w:val="6E601AA5"/>
    <w:rsid w:val="6E615BFD"/>
    <w:rsid w:val="6E616BF4"/>
    <w:rsid w:val="6E617526"/>
    <w:rsid w:val="6E624FA8"/>
    <w:rsid w:val="6E632A2A"/>
    <w:rsid w:val="6E6371A6"/>
    <w:rsid w:val="6E6404AB"/>
    <w:rsid w:val="6E644C28"/>
    <w:rsid w:val="6E6526A9"/>
    <w:rsid w:val="6E66012B"/>
    <w:rsid w:val="6E6639AE"/>
    <w:rsid w:val="6E671430"/>
    <w:rsid w:val="6E672BEE"/>
    <w:rsid w:val="6E67773D"/>
    <w:rsid w:val="6E684B6A"/>
    <w:rsid w:val="6E6910B0"/>
    <w:rsid w:val="6E694933"/>
    <w:rsid w:val="6E696B31"/>
    <w:rsid w:val="6E6A23B4"/>
    <w:rsid w:val="6E6A45B3"/>
    <w:rsid w:val="6E6B2034"/>
    <w:rsid w:val="6E6B7E36"/>
    <w:rsid w:val="6E6C58B8"/>
    <w:rsid w:val="6E6C7AB6"/>
    <w:rsid w:val="6E6D5537"/>
    <w:rsid w:val="6E6D6A35"/>
    <w:rsid w:val="6E6E2FB9"/>
    <w:rsid w:val="6E6F0A3A"/>
    <w:rsid w:val="6E7064BC"/>
    <w:rsid w:val="6E7219BF"/>
    <w:rsid w:val="6E725242"/>
    <w:rsid w:val="6E732C64"/>
    <w:rsid w:val="6E732CC4"/>
    <w:rsid w:val="6E737441"/>
    <w:rsid w:val="6E744EC2"/>
    <w:rsid w:val="6E754EAA"/>
    <w:rsid w:val="6E7561C7"/>
    <w:rsid w:val="6E7603C5"/>
    <w:rsid w:val="6E7640FD"/>
    <w:rsid w:val="6E76461E"/>
    <w:rsid w:val="6E764D7C"/>
    <w:rsid w:val="6E7716CA"/>
    <w:rsid w:val="6E786E93"/>
    <w:rsid w:val="6E79134A"/>
    <w:rsid w:val="6E797A32"/>
    <w:rsid w:val="6E7B00D0"/>
    <w:rsid w:val="6E7B0DE6"/>
    <w:rsid w:val="6E7B0FAB"/>
    <w:rsid w:val="6E7C1985"/>
    <w:rsid w:val="6E7C1B49"/>
    <w:rsid w:val="6E7E1055"/>
    <w:rsid w:val="6E7F3A9C"/>
    <w:rsid w:val="6E7F5FAD"/>
    <w:rsid w:val="6E804558"/>
    <w:rsid w:val="6E810366"/>
    <w:rsid w:val="6E815015"/>
    <w:rsid w:val="6E825BB4"/>
    <w:rsid w:val="6E827A5B"/>
    <w:rsid w:val="6E842F5E"/>
    <w:rsid w:val="6E846BDC"/>
    <w:rsid w:val="6E84712D"/>
    <w:rsid w:val="6E8474D1"/>
    <w:rsid w:val="6E847687"/>
    <w:rsid w:val="6E8509E0"/>
    <w:rsid w:val="6E855CE3"/>
    <w:rsid w:val="6E857CCC"/>
    <w:rsid w:val="6E873EE3"/>
    <w:rsid w:val="6E881964"/>
    <w:rsid w:val="6E882982"/>
    <w:rsid w:val="6E8973E6"/>
    <w:rsid w:val="6E8A3EFB"/>
    <w:rsid w:val="6E8C5638"/>
    <w:rsid w:val="6E90012A"/>
    <w:rsid w:val="6E9047F2"/>
    <w:rsid w:val="6E912274"/>
    <w:rsid w:val="6E922241"/>
    <w:rsid w:val="6E927CF6"/>
    <w:rsid w:val="6E9309E1"/>
    <w:rsid w:val="6E930FFA"/>
    <w:rsid w:val="6E93126D"/>
    <w:rsid w:val="6E934195"/>
    <w:rsid w:val="6E9431F9"/>
    <w:rsid w:val="6E946A7C"/>
    <w:rsid w:val="6E950C7A"/>
    <w:rsid w:val="6E9544FD"/>
    <w:rsid w:val="6E961F7F"/>
    <w:rsid w:val="6E97417D"/>
    <w:rsid w:val="6E977A01"/>
    <w:rsid w:val="6E981BFF"/>
    <w:rsid w:val="6E985482"/>
    <w:rsid w:val="6E992F04"/>
    <w:rsid w:val="6E997680"/>
    <w:rsid w:val="6E9A0985"/>
    <w:rsid w:val="6E9A5102"/>
    <w:rsid w:val="6E9A7825"/>
    <w:rsid w:val="6E9B6407"/>
    <w:rsid w:val="6E9C0F62"/>
    <w:rsid w:val="6E9C3E88"/>
    <w:rsid w:val="6E9E3B08"/>
    <w:rsid w:val="6E9E738B"/>
    <w:rsid w:val="6E9F4E0D"/>
    <w:rsid w:val="6EA03A54"/>
    <w:rsid w:val="6EA047B7"/>
    <w:rsid w:val="6EA0700B"/>
    <w:rsid w:val="6EA1250E"/>
    <w:rsid w:val="6EA145F3"/>
    <w:rsid w:val="6EA14A8D"/>
    <w:rsid w:val="6EA24FCD"/>
    <w:rsid w:val="6EA25D92"/>
    <w:rsid w:val="6EA27F90"/>
    <w:rsid w:val="6EA35A11"/>
    <w:rsid w:val="6EA470E4"/>
    <w:rsid w:val="6EA50F15"/>
    <w:rsid w:val="6EA64798"/>
    <w:rsid w:val="6EA66996"/>
    <w:rsid w:val="6EA711FC"/>
    <w:rsid w:val="6EA72219"/>
    <w:rsid w:val="6EAA0C20"/>
    <w:rsid w:val="6EAB2E1E"/>
    <w:rsid w:val="6EAC4123"/>
    <w:rsid w:val="6EAD1BA4"/>
    <w:rsid w:val="6EAD6321"/>
    <w:rsid w:val="6EAE7626"/>
    <w:rsid w:val="6EAF1824"/>
    <w:rsid w:val="6EAF6592"/>
    <w:rsid w:val="6EAF69A4"/>
    <w:rsid w:val="6EAF6E1E"/>
    <w:rsid w:val="6EB02B29"/>
    <w:rsid w:val="6EB05D06"/>
    <w:rsid w:val="6EB072A6"/>
    <w:rsid w:val="6EB2602C"/>
    <w:rsid w:val="6EB321F9"/>
    <w:rsid w:val="6EB53936"/>
    <w:rsid w:val="6EB563D5"/>
    <w:rsid w:val="6EB56FB1"/>
    <w:rsid w:val="6EB64A32"/>
    <w:rsid w:val="6EB7091F"/>
    <w:rsid w:val="6EB76C30"/>
    <w:rsid w:val="6EB92134"/>
    <w:rsid w:val="6EB97BB5"/>
    <w:rsid w:val="6EBA6FC6"/>
    <w:rsid w:val="6EBB0EBA"/>
    <w:rsid w:val="6EBB30B8"/>
    <w:rsid w:val="6EBC693B"/>
    <w:rsid w:val="6EBD1966"/>
    <w:rsid w:val="6EBD65BB"/>
    <w:rsid w:val="6EBE0178"/>
    <w:rsid w:val="6EBE1E3F"/>
    <w:rsid w:val="6EBE2859"/>
    <w:rsid w:val="6EBF1ABE"/>
    <w:rsid w:val="6EC07060"/>
    <w:rsid w:val="6EC262C6"/>
    <w:rsid w:val="6EC304C5"/>
    <w:rsid w:val="6EC35B23"/>
    <w:rsid w:val="6EC35CE7"/>
    <w:rsid w:val="6EC417C9"/>
    <w:rsid w:val="6EC45F46"/>
    <w:rsid w:val="6EC539C8"/>
    <w:rsid w:val="6EC5724B"/>
    <w:rsid w:val="6EC61449"/>
    <w:rsid w:val="6EC64CCC"/>
    <w:rsid w:val="6EC67DFF"/>
    <w:rsid w:val="6EC7099E"/>
    <w:rsid w:val="6EC76ECB"/>
    <w:rsid w:val="6EC801D0"/>
    <w:rsid w:val="6EC923CE"/>
    <w:rsid w:val="6EC94415"/>
    <w:rsid w:val="6ECA28F1"/>
    <w:rsid w:val="6ECA36D3"/>
    <w:rsid w:val="6ECA7E4F"/>
    <w:rsid w:val="6ECB1154"/>
    <w:rsid w:val="6ECB402E"/>
    <w:rsid w:val="6ECC2E76"/>
    <w:rsid w:val="6ECC3352"/>
    <w:rsid w:val="6ECC3702"/>
    <w:rsid w:val="6ECD55A7"/>
    <w:rsid w:val="6ECE20D9"/>
    <w:rsid w:val="6ECE6856"/>
    <w:rsid w:val="6ED1305E"/>
    <w:rsid w:val="6ED20C37"/>
    <w:rsid w:val="6ED22CDD"/>
    <w:rsid w:val="6ED24FA9"/>
    <w:rsid w:val="6ED2525C"/>
    <w:rsid w:val="6ED36561"/>
    <w:rsid w:val="6ED421B0"/>
    <w:rsid w:val="6ED461E0"/>
    <w:rsid w:val="6ED51A64"/>
    <w:rsid w:val="6ED52D4F"/>
    <w:rsid w:val="6ED74F67"/>
    <w:rsid w:val="6ED77165"/>
    <w:rsid w:val="6ED829E8"/>
    <w:rsid w:val="6ED84BE7"/>
    <w:rsid w:val="6ED84CA2"/>
    <w:rsid w:val="6ED92668"/>
    <w:rsid w:val="6ED92677"/>
    <w:rsid w:val="6EDA00EA"/>
    <w:rsid w:val="6EDA396D"/>
    <w:rsid w:val="6EDA5EEB"/>
    <w:rsid w:val="6EDB13EF"/>
    <w:rsid w:val="6EDB5B6B"/>
    <w:rsid w:val="6EDD0ED1"/>
    <w:rsid w:val="6EDD106E"/>
    <w:rsid w:val="6EDD3AFA"/>
    <w:rsid w:val="6EDE6AF0"/>
    <w:rsid w:val="6EDF244A"/>
    <w:rsid w:val="6EDF4571"/>
    <w:rsid w:val="6EE35100"/>
    <w:rsid w:val="6EE367FB"/>
    <w:rsid w:val="6EE4427D"/>
    <w:rsid w:val="6EE51CFE"/>
    <w:rsid w:val="6EE67218"/>
    <w:rsid w:val="6EE82C83"/>
    <w:rsid w:val="6EE90351"/>
    <w:rsid w:val="6EE97C7B"/>
    <w:rsid w:val="6EEA2A6C"/>
    <w:rsid w:val="6EEA6186"/>
    <w:rsid w:val="6EEB3C07"/>
    <w:rsid w:val="6EEB67F7"/>
    <w:rsid w:val="6EED710A"/>
    <w:rsid w:val="6EF15B11"/>
    <w:rsid w:val="6EF17676"/>
    <w:rsid w:val="6EF20214"/>
    <w:rsid w:val="6EF23592"/>
    <w:rsid w:val="6EF36A95"/>
    <w:rsid w:val="6EF44517"/>
    <w:rsid w:val="6EF51F98"/>
    <w:rsid w:val="6EF67A1A"/>
    <w:rsid w:val="6EF7549B"/>
    <w:rsid w:val="6EF9099F"/>
    <w:rsid w:val="6EF90FD5"/>
    <w:rsid w:val="6EF91340"/>
    <w:rsid w:val="6EF957F8"/>
    <w:rsid w:val="6EF967A0"/>
    <w:rsid w:val="6EFA1CA3"/>
    <w:rsid w:val="6EFA6397"/>
    <w:rsid w:val="6EFA655B"/>
    <w:rsid w:val="6EFB3EA2"/>
    <w:rsid w:val="6EFB7725"/>
    <w:rsid w:val="6EFC1923"/>
    <w:rsid w:val="6EFC51A7"/>
    <w:rsid w:val="6EFC7910"/>
    <w:rsid w:val="6EFD2C28"/>
    <w:rsid w:val="6EFD73A5"/>
    <w:rsid w:val="6EFE06AA"/>
    <w:rsid w:val="6EFE4E26"/>
    <w:rsid w:val="6EFF1A27"/>
    <w:rsid w:val="6EFF612B"/>
    <w:rsid w:val="6F013B3F"/>
    <w:rsid w:val="6F015DAB"/>
    <w:rsid w:val="6F02382D"/>
    <w:rsid w:val="6F0270B0"/>
    <w:rsid w:val="6F034B31"/>
    <w:rsid w:val="6F0425B3"/>
    <w:rsid w:val="6F046D30"/>
    <w:rsid w:val="6F050034"/>
    <w:rsid w:val="6F0547B1"/>
    <w:rsid w:val="6F064714"/>
    <w:rsid w:val="6F064FA0"/>
    <w:rsid w:val="6F073538"/>
    <w:rsid w:val="6F080FB9"/>
    <w:rsid w:val="6F0830DB"/>
    <w:rsid w:val="6F083446"/>
    <w:rsid w:val="6F085736"/>
    <w:rsid w:val="6F0912E7"/>
    <w:rsid w:val="6F0931B7"/>
    <w:rsid w:val="6F0A0C39"/>
    <w:rsid w:val="6F0B413C"/>
    <w:rsid w:val="6F0C1BBE"/>
    <w:rsid w:val="6F0C79BF"/>
    <w:rsid w:val="6F0D5441"/>
    <w:rsid w:val="6F0D763F"/>
    <w:rsid w:val="6F0E4B3B"/>
    <w:rsid w:val="6F0E50C1"/>
    <w:rsid w:val="6F0F2B42"/>
    <w:rsid w:val="6F0F60B4"/>
    <w:rsid w:val="6F112E17"/>
    <w:rsid w:val="6F113E47"/>
    <w:rsid w:val="6F116045"/>
    <w:rsid w:val="6F11762D"/>
    <w:rsid w:val="6F1201CC"/>
    <w:rsid w:val="6F1218C9"/>
    <w:rsid w:val="6F123AC7"/>
    <w:rsid w:val="6F12734A"/>
    <w:rsid w:val="6F134DCC"/>
    <w:rsid w:val="6F141745"/>
    <w:rsid w:val="6F146FCA"/>
    <w:rsid w:val="6F15211F"/>
    <w:rsid w:val="6F162CBE"/>
    <w:rsid w:val="6F165D50"/>
    <w:rsid w:val="6F173698"/>
    <w:rsid w:val="6F1737D2"/>
    <w:rsid w:val="6F17385C"/>
    <w:rsid w:val="6F177F4F"/>
    <w:rsid w:val="6F181253"/>
    <w:rsid w:val="6F1859D0"/>
    <w:rsid w:val="6F196CD5"/>
    <w:rsid w:val="6F1A0ED3"/>
    <w:rsid w:val="6F1A4757"/>
    <w:rsid w:val="6F1B6513"/>
    <w:rsid w:val="6F1B6955"/>
    <w:rsid w:val="6F1C43D6"/>
    <w:rsid w:val="6F1C7C5A"/>
    <w:rsid w:val="6F1D1E58"/>
    <w:rsid w:val="6F1E315D"/>
    <w:rsid w:val="6F1E78D9"/>
    <w:rsid w:val="6F1F535B"/>
    <w:rsid w:val="6F20257D"/>
    <w:rsid w:val="6F202DDD"/>
    <w:rsid w:val="6F206660"/>
    <w:rsid w:val="6F212F57"/>
    <w:rsid w:val="6F21311C"/>
    <w:rsid w:val="6F2140E1"/>
    <w:rsid w:val="6F221B63"/>
    <w:rsid w:val="6F225983"/>
    <w:rsid w:val="6F2262E0"/>
    <w:rsid w:val="6F2317E3"/>
    <w:rsid w:val="6F231A39"/>
    <w:rsid w:val="6F2375E4"/>
    <w:rsid w:val="6F245233"/>
    <w:rsid w:val="6F247264"/>
    <w:rsid w:val="6F252AE8"/>
    <w:rsid w:val="6F254CE6"/>
    <w:rsid w:val="6F275FEB"/>
    <w:rsid w:val="6F277186"/>
    <w:rsid w:val="6F285C6B"/>
    <w:rsid w:val="6F287D25"/>
    <w:rsid w:val="6F287EEA"/>
    <w:rsid w:val="6F2914EE"/>
    <w:rsid w:val="6F2A49F1"/>
    <w:rsid w:val="6F2B6BEF"/>
    <w:rsid w:val="6F2C4671"/>
    <w:rsid w:val="6F2D20F2"/>
    <w:rsid w:val="6F2D5976"/>
    <w:rsid w:val="6F2E33F7"/>
    <w:rsid w:val="6F2E492E"/>
    <w:rsid w:val="6F2E7B74"/>
    <w:rsid w:val="6F2F0E79"/>
    <w:rsid w:val="6F2F55F5"/>
    <w:rsid w:val="6F3068FA"/>
    <w:rsid w:val="6F314061"/>
    <w:rsid w:val="6F321DFD"/>
    <w:rsid w:val="6F3237D5"/>
    <w:rsid w:val="6F323B40"/>
    <w:rsid w:val="6F333FFC"/>
    <w:rsid w:val="6F340B5E"/>
    <w:rsid w:val="6F34285A"/>
    <w:rsid w:val="6F352D82"/>
    <w:rsid w:val="6F3574FF"/>
    <w:rsid w:val="6F360803"/>
    <w:rsid w:val="6F364F80"/>
    <w:rsid w:val="6F376285"/>
    <w:rsid w:val="6F380483"/>
    <w:rsid w:val="6F391788"/>
    <w:rsid w:val="6F394F51"/>
    <w:rsid w:val="6F395F05"/>
    <w:rsid w:val="6F3A1408"/>
    <w:rsid w:val="6F3A3986"/>
    <w:rsid w:val="6F3B6E8A"/>
    <w:rsid w:val="6F3C270D"/>
    <w:rsid w:val="6F3D018E"/>
    <w:rsid w:val="6F3D238D"/>
    <w:rsid w:val="6F3E041D"/>
    <w:rsid w:val="6F3E5C10"/>
    <w:rsid w:val="6F3F3691"/>
    <w:rsid w:val="6F3F5890"/>
    <w:rsid w:val="6F401113"/>
    <w:rsid w:val="6F403311"/>
    <w:rsid w:val="6F40683E"/>
    <w:rsid w:val="6F414E9A"/>
    <w:rsid w:val="6F416B95"/>
    <w:rsid w:val="6F422098"/>
    <w:rsid w:val="6F424616"/>
    <w:rsid w:val="6F426814"/>
    <w:rsid w:val="6F434296"/>
    <w:rsid w:val="6F437B19"/>
    <w:rsid w:val="6F441D17"/>
    <w:rsid w:val="6F44464C"/>
    <w:rsid w:val="6F44559B"/>
    <w:rsid w:val="6F455D89"/>
    <w:rsid w:val="6F457799"/>
    <w:rsid w:val="6F460A9E"/>
    <w:rsid w:val="6F465BC5"/>
    <w:rsid w:val="6F47651F"/>
    <w:rsid w:val="6F483FA1"/>
    <w:rsid w:val="6F485C3A"/>
    <w:rsid w:val="6F487CDD"/>
    <w:rsid w:val="6F491A22"/>
    <w:rsid w:val="6F4A74A4"/>
    <w:rsid w:val="6F4B1DF4"/>
    <w:rsid w:val="6F4B1FB9"/>
    <w:rsid w:val="6F4B4F26"/>
    <w:rsid w:val="6F4C29A7"/>
    <w:rsid w:val="6F4D336D"/>
    <w:rsid w:val="6F4D3531"/>
    <w:rsid w:val="6F4E5EAA"/>
    <w:rsid w:val="6F4F392C"/>
    <w:rsid w:val="6F4F4AAA"/>
    <w:rsid w:val="6F5013AD"/>
    <w:rsid w:val="6F505649"/>
    <w:rsid w:val="6F516023"/>
    <w:rsid w:val="6F5161E8"/>
    <w:rsid w:val="6F5248B0"/>
    <w:rsid w:val="6F526BC2"/>
    <w:rsid w:val="6F532332"/>
    <w:rsid w:val="6F54013B"/>
    <w:rsid w:val="6F540CD9"/>
    <w:rsid w:val="6F547DB4"/>
    <w:rsid w:val="6F5516B4"/>
    <w:rsid w:val="6F555835"/>
    <w:rsid w:val="6F570D38"/>
    <w:rsid w:val="6F583990"/>
    <w:rsid w:val="6F5867BA"/>
    <w:rsid w:val="6F59423B"/>
    <w:rsid w:val="6F5A0461"/>
    <w:rsid w:val="6F5A1CBD"/>
    <w:rsid w:val="6F5A4F08"/>
    <w:rsid w:val="6F5B5AA7"/>
    <w:rsid w:val="6F5C62BD"/>
    <w:rsid w:val="6F5D6E5C"/>
    <w:rsid w:val="6F5D7020"/>
    <w:rsid w:val="6F5E6145"/>
    <w:rsid w:val="6F5F19C8"/>
    <w:rsid w:val="6F611B12"/>
    <w:rsid w:val="6F6126B0"/>
    <w:rsid w:val="6F614ECB"/>
    <w:rsid w:val="6F62294C"/>
    <w:rsid w:val="6F624B4B"/>
    <w:rsid w:val="6F6325CC"/>
    <w:rsid w:val="6F64004E"/>
    <w:rsid w:val="6F6438D1"/>
    <w:rsid w:val="6F644604"/>
    <w:rsid w:val="6F663551"/>
    <w:rsid w:val="6F66605F"/>
    <w:rsid w:val="6F670FD3"/>
    <w:rsid w:val="6F674856"/>
    <w:rsid w:val="6F6768E0"/>
    <w:rsid w:val="6F6944D6"/>
    <w:rsid w:val="6F6A0833"/>
    <w:rsid w:val="6F6A57DA"/>
    <w:rsid w:val="6F6B325C"/>
    <w:rsid w:val="6F6B79D9"/>
    <w:rsid w:val="6F6C0CDE"/>
    <w:rsid w:val="6F6C1F70"/>
    <w:rsid w:val="6F6C5073"/>
    <w:rsid w:val="6F6D2B0F"/>
    <w:rsid w:val="6F6D2EDC"/>
    <w:rsid w:val="6F6D4110"/>
    <w:rsid w:val="6F6D43E1"/>
    <w:rsid w:val="6F6E41E1"/>
    <w:rsid w:val="6F6F4A62"/>
    <w:rsid w:val="6F6F63DF"/>
    <w:rsid w:val="6F703E60"/>
    <w:rsid w:val="6F7076E4"/>
    <w:rsid w:val="6F7118E2"/>
    <w:rsid w:val="6F715FDB"/>
    <w:rsid w:val="6F71619F"/>
    <w:rsid w:val="6F722B2F"/>
    <w:rsid w:val="6F722BE7"/>
    <w:rsid w:val="6F730668"/>
    <w:rsid w:val="6F732867"/>
    <w:rsid w:val="6F737718"/>
    <w:rsid w:val="6F7402E8"/>
    <w:rsid w:val="6F7460EA"/>
    <w:rsid w:val="6F753B6B"/>
    <w:rsid w:val="6F755D6A"/>
    <w:rsid w:val="6F76166B"/>
    <w:rsid w:val="6F76182F"/>
    <w:rsid w:val="6F7637EB"/>
    <w:rsid w:val="6F77126D"/>
    <w:rsid w:val="6F7731EC"/>
    <w:rsid w:val="6F77706F"/>
    <w:rsid w:val="6F784AF0"/>
    <w:rsid w:val="6F786CEE"/>
    <w:rsid w:val="6F792572"/>
    <w:rsid w:val="6F7A4321"/>
    <w:rsid w:val="6F7A732F"/>
    <w:rsid w:val="6F7A769A"/>
    <w:rsid w:val="6F7A7FF3"/>
    <w:rsid w:val="6F7B34F6"/>
    <w:rsid w:val="6F7B4EC0"/>
    <w:rsid w:val="6F7B5A75"/>
    <w:rsid w:val="6F7C0F78"/>
    <w:rsid w:val="6F7C56F5"/>
    <w:rsid w:val="6F7D3176"/>
    <w:rsid w:val="6F7D69F9"/>
    <w:rsid w:val="6F7E2A99"/>
    <w:rsid w:val="6F8040FB"/>
    <w:rsid w:val="6F80797E"/>
    <w:rsid w:val="6F811B7C"/>
    <w:rsid w:val="6F811C8E"/>
    <w:rsid w:val="6F8275FE"/>
    <w:rsid w:val="6F830903"/>
    <w:rsid w:val="6F83507F"/>
    <w:rsid w:val="6F842B01"/>
    <w:rsid w:val="6F846384"/>
    <w:rsid w:val="6F877309"/>
    <w:rsid w:val="6F880319"/>
    <w:rsid w:val="6F881507"/>
    <w:rsid w:val="6F8821E3"/>
    <w:rsid w:val="6F891436"/>
    <w:rsid w:val="6F891CC2"/>
    <w:rsid w:val="6F896F89"/>
    <w:rsid w:val="6F897436"/>
    <w:rsid w:val="6F8A028E"/>
    <w:rsid w:val="6F8A4A0A"/>
    <w:rsid w:val="6F8B5D0F"/>
    <w:rsid w:val="6F8B7F0D"/>
    <w:rsid w:val="6F8C3791"/>
    <w:rsid w:val="6F8C598F"/>
    <w:rsid w:val="6F8D3411"/>
    <w:rsid w:val="6F8E0E92"/>
    <w:rsid w:val="6F8E306C"/>
    <w:rsid w:val="6F902197"/>
    <w:rsid w:val="6F91664F"/>
    <w:rsid w:val="6F92569A"/>
    <w:rsid w:val="6F930B9D"/>
    <w:rsid w:val="6F93311C"/>
    <w:rsid w:val="6F93531A"/>
    <w:rsid w:val="6F936CF5"/>
    <w:rsid w:val="6F942D9B"/>
    <w:rsid w:val="6F94661F"/>
    <w:rsid w:val="6F9540A0"/>
    <w:rsid w:val="6F955419"/>
    <w:rsid w:val="6F961B22"/>
    <w:rsid w:val="6F96629E"/>
    <w:rsid w:val="6F9717E7"/>
    <w:rsid w:val="6F973D20"/>
    <w:rsid w:val="6F977B45"/>
    <w:rsid w:val="6F9817A2"/>
    <w:rsid w:val="6F9821C1"/>
    <w:rsid w:val="6F982D60"/>
    <w:rsid w:val="6F985025"/>
    <w:rsid w:val="6F992AA6"/>
    <w:rsid w:val="6F992CB0"/>
    <w:rsid w:val="6F997223"/>
    <w:rsid w:val="6F9A0528"/>
    <w:rsid w:val="6F9A1F04"/>
    <w:rsid w:val="6F9A4CA5"/>
    <w:rsid w:val="6F9C01A8"/>
    <w:rsid w:val="6F9C3A2B"/>
    <w:rsid w:val="6F9C5852"/>
    <w:rsid w:val="6F9D14AD"/>
    <w:rsid w:val="6F9D5C29"/>
    <w:rsid w:val="6F9D63F0"/>
    <w:rsid w:val="6F9E36AB"/>
    <w:rsid w:val="6F9E6F8F"/>
    <w:rsid w:val="6F9F49B0"/>
    <w:rsid w:val="6FA02431"/>
    <w:rsid w:val="6FA17EB3"/>
    <w:rsid w:val="6FA21C45"/>
    <w:rsid w:val="6FA220B1"/>
    <w:rsid w:val="6FA25934"/>
    <w:rsid w:val="6FA43036"/>
    <w:rsid w:val="6FA568B9"/>
    <w:rsid w:val="6FA6433B"/>
    <w:rsid w:val="6FA64737"/>
    <w:rsid w:val="6FA66085"/>
    <w:rsid w:val="6FA71DBC"/>
    <w:rsid w:val="6FA73FBA"/>
    <w:rsid w:val="6FA75111"/>
    <w:rsid w:val="6FA81A3C"/>
    <w:rsid w:val="6FA84A4C"/>
    <w:rsid w:val="6FA8684E"/>
    <w:rsid w:val="6FA91648"/>
    <w:rsid w:val="6FA97229"/>
    <w:rsid w:val="6FAB07C2"/>
    <w:rsid w:val="6FAB29C1"/>
    <w:rsid w:val="6FAB6244"/>
    <w:rsid w:val="6FAE71C8"/>
    <w:rsid w:val="6FAF4C4A"/>
    <w:rsid w:val="6FB026CC"/>
    <w:rsid w:val="6FB05B5D"/>
    <w:rsid w:val="6FB1014D"/>
    <w:rsid w:val="6FB25734"/>
    <w:rsid w:val="6FB3610E"/>
    <w:rsid w:val="6FB410D2"/>
    <w:rsid w:val="6FB47687"/>
    <w:rsid w:val="6FB4784B"/>
    <w:rsid w:val="6FB50061"/>
    <w:rsid w:val="6FB57FD6"/>
    <w:rsid w:val="6FB767E8"/>
    <w:rsid w:val="6FB82179"/>
    <w:rsid w:val="6FB87AD8"/>
    <w:rsid w:val="6FBA2FDB"/>
    <w:rsid w:val="6FBA531A"/>
    <w:rsid w:val="6FBB0A5D"/>
    <w:rsid w:val="6FBB4290"/>
    <w:rsid w:val="6FBB4455"/>
    <w:rsid w:val="6FBC4FF3"/>
    <w:rsid w:val="6FC12966"/>
    <w:rsid w:val="6FC203E7"/>
    <w:rsid w:val="6FC35E69"/>
    <w:rsid w:val="6FC42292"/>
    <w:rsid w:val="6FC53B50"/>
    <w:rsid w:val="6FC6486F"/>
    <w:rsid w:val="6FC648B3"/>
    <w:rsid w:val="6FC700F2"/>
    <w:rsid w:val="6FC722F1"/>
    <w:rsid w:val="6FC85B74"/>
    <w:rsid w:val="6FC87D72"/>
    <w:rsid w:val="6FC935F6"/>
    <w:rsid w:val="6FC95729"/>
    <w:rsid w:val="6FC957F4"/>
    <w:rsid w:val="6FCA3275"/>
    <w:rsid w:val="6FCB0CF7"/>
    <w:rsid w:val="6FCB457A"/>
    <w:rsid w:val="6FCB7D7F"/>
    <w:rsid w:val="6FCC1FFC"/>
    <w:rsid w:val="6FCD12F8"/>
    <w:rsid w:val="6FCD14BC"/>
    <w:rsid w:val="6FCD7A7D"/>
    <w:rsid w:val="6FCE54FF"/>
    <w:rsid w:val="6FCF2F80"/>
    <w:rsid w:val="6FCF4CB4"/>
    <w:rsid w:val="6FCF76FD"/>
    <w:rsid w:val="6FD00A02"/>
    <w:rsid w:val="6FD0340F"/>
    <w:rsid w:val="6FD03FAE"/>
    <w:rsid w:val="6FD12C00"/>
    <w:rsid w:val="6FD16484"/>
    <w:rsid w:val="6FD20682"/>
    <w:rsid w:val="6FD23F05"/>
    <w:rsid w:val="6FD24C25"/>
    <w:rsid w:val="6FD31987"/>
    <w:rsid w:val="6FD32C38"/>
    <w:rsid w:val="6FD36103"/>
    <w:rsid w:val="6FD43B85"/>
    <w:rsid w:val="6FD47408"/>
    <w:rsid w:val="6FD54E8A"/>
    <w:rsid w:val="6FD601DD"/>
    <w:rsid w:val="6FD6290B"/>
    <w:rsid w:val="6FD70BB7"/>
    <w:rsid w:val="6FD74B0A"/>
    <w:rsid w:val="6FD81756"/>
    <w:rsid w:val="6FD8258B"/>
    <w:rsid w:val="6FD85E0E"/>
    <w:rsid w:val="6FD93890"/>
    <w:rsid w:val="6FDA5A8E"/>
    <w:rsid w:val="6FDB386D"/>
    <w:rsid w:val="6FDB6D93"/>
    <w:rsid w:val="6FDC0F91"/>
    <w:rsid w:val="6FDC6A13"/>
    <w:rsid w:val="6FDD2296"/>
    <w:rsid w:val="6FDD5985"/>
    <w:rsid w:val="6FDE1F16"/>
    <w:rsid w:val="6FDF5799"/>
    <w:rsid w:val="6FDF7997"/>
    <w:rsid w:val="6FE07C0D"/>
    <w:rsid w:val="6FE10477"/>
    <w:rsid w:val="6FE10C9C"/>
    <w:rsid w:val="6FE12E9B"/>
    <w:rsid w:val="6FE16B76"/>
    <w:rsid w:val="6FE2671E"/>
    <w:rsid w:val="6FE31255"/>
    <w:rsid w:val="6FE3419F"/>
    <w:rsid w:val="6FE4258E"/>
    <w:rsid w:val="6FE42753"/>
    <w:rsid w:val="6FE43E1F"/>
    <w:rsid w:val="6FE55124"/>
    <w:rsid w:val="6FE67322"/>
    <w:rsid w:val="6FE70627"/>
    <w:rsid w:val="6FE82825"/>
    <w:rsid w:val="6FE860A9"/>
    <w:rsid w:val="6FE93B2A"/>
    <w:rsid w:val="6FE95DE3"/>
    <w:rsid w:val="6FEA5D29"/>
    <w:rsid w:val="6FEA6982"/>
    <w:rsid w:val="6FEC122C"/>
    <w:rsid w:val="6FEC4AAF"/>
    <w:rsid w:val="6FED1473"/>
    <w:rsid w:val="6FED2530"/>
    <w:rsid w:val="6FED6CAD"/>
    <w:rsid w:val="6FEE1E4E"/>
    <w:rsid w:val="6FEE472F"/>
    <w:rsid w:val="6FEF21B0"/>
    <w:rsid w:val="6FEF29EC"/>
    <w:rsid w:val="6FEF5A34"/>
    <w:rsid w:val="6FF005A6"/>
    <w:rsid w:val="6FF00E32"/>
    <w:rsid w:val="6FF0119D"/>
    <w:rsid w:val="6FF033C7"/>
    <w:rsid w:val="6FF10F37"/>
    <w:rsid w:val="6FF1412A"/>
    <w:rsid w:val="6FF156B3"/>
    <w:rsid w:val="6FF24B04"/>
    <w:rsid w:val="6FF269B8"/>
    <w:rsid w:val="6FF3443A"/>
    <w:rsid w:val="6FF51B3B"/>
    <w:rsid w:val="6FF5793D"/>
    <w:rsid w:val="6FF675BD"/>
    <w:rsid w:val="6FF675F6"/>
    <w:rsid w:val="6FF72E40"/>
    <w:rsid w:val="6FF7503E"/>
    <w:rsid w:val="6FF808C2"/>
    <w:rsid w:val="6FF818D2"/>
    <w:rsid w:val="6FF82AC0"/>
    <w:rsid w:val="6FF9170D"/>
    <w:rsid w:val="6FFA2C86"/>
    <w:rsid w:val="6FFA3DC5"/>
    <w:rsid w:val="6FFA5FC3"/>
    <w:rsid w:val="6FFB3A44"/>
    <w:rsid w:val="6FFC14C6"/>
    <w:rsid w:val="6FFC4D49"/>
    <w:rsid w:val="6FFC5590"/>
    <w:rsid w:val="6FFC72C8"/>
    <w:rsid w:val="6FFD4F62"/>
    <w:rsid w:val="6FFE024C"/>
    <w:rsid w:val="6FFE5B01"/>
    <w:rsid w:val="6FFF244B"/>
    <w:rsid w:val="6FFF24F7"/>
    <w:rsid w:val="6FFF5CCE"/>
    <w:rsid w:val="6FFF64DB"/>
    <w:rsid w:val="70001FD7"/>
    <w:rsid w:val="70017A54"/>
    <w:rsid w:val="700233CF"/>
    <w:rsid w:val="70026C53"/>
    <w:rsid w:val="70030E51"/>
    <w:rsid w:val="700346D4"/>
    <w:rsid w:val="70042156"/>
    <w:rsid w:val="70052546"/>
    <w:rsid w:val="70061DD5"/>
    <w:rsid w:val="70077857"/>
    <w:rsid w:val="700852D9"/>
    <w:rsid w:val="700853C0"/>
    <w:rsid w:val="70092D5A"/>
    <w:rsid w:val="700965DD"/>
    <w:rsid w:val="700A07DC"/>
    <w:rsid w:val="700A6775"/>
    <w:rsid w:val="700B1AE0"/>
    <w:rsid w:val="700B51B0"/>
    <w:rsid w:val="700B7313"/>
    <w:rsid w:val="700C1760"/>
    <w:rsid w:val="700C3CDF"/>
    <w:rsid w:val="700C6B99"/>
    <w:rsid w:val="700C7562"/>
    <w:rsid w:val="700E142B"/>
    <w:rsid w:val="700E2A65"/>
    <w:rsid w:val="700E4C63"/>
    <w:rsid w:val="700F04E7"/>
    <w:rsid w:val="700F1FCA"/>
    <w:rsid w:val="700F26E5"/>
    <w:rsid w:val="70100167"/>
    <w:rsid w:val="70105F68"/>
    <w:rsid w:val="7012146B"/>
    <w:rsid w:val="701240E1"/>
    <w:rsid w:val="70136EED"/>
    <w:rsid w:val="701423F0"/>
    <w:rsid w:val="701461F9"/>
    <w:rsid w:val="70157E72"/>
    <w:rsid w:val="70173375"/>
    <w:rsid w:val="70180DF6"/>
    <w:rsid w:val="70191889"/>
    <w:rsid w:val="70196878"/>
    <w:rsid w:val="701A100B"/>
    <w:rsid w:val="701A42F9"/>
    <w:rsid w:val="701C6DDB"/>
    <w:rsid w:val="701C77FC"/>
    <w:rsid w:val="701E4F19"/>
    <w:rsid w:val="701F0781"/>
    <w:rsid w:val="70206492"/>
    <w:rsid w:val="70206657"/>
    <w:rsid w:val="70221706"/>
    <w:rsid w:val="70231EBB"/>
    <w:rsid w:val="70244C09"/>
    <w:rsid w:val="70275B8D"/>
    <w:rsid w:val="7028360F"/>
    <w:rsid w:val="70291091"/>
    <w:rsid w:val="7029347D"/>
    <w:rsid w:val="702A1C8F"/>
    <w:rsid w:val="702A6B12"/>
    <w:rsid w:val="702B7E17"/>
    <w:rsid w:val="702C5898"/>
    <w:rsid w:val="702C72CB"/>
    <w:rsid w:val="702C748F"/>
    <w:rsid w:val="702C7A97"/>
    <w:rsid w:val="702E0D9C"/>
    <w:rsid w:val="702F0A1B"/>
    <w:rsid w:val="702F13E2"/>
    <w:rsid w:val="702F681D"/>
    <w:rsid w:val="70301F1E"/>
    <w:rsid w:val="70311D20"/>
    <w:rsid w:val="70324670"/>
    <w:rsid w:val="703277A2"/>
    <w:rsid w:val="70330580"/>
    <w:rsid w:val="70334C37"/>
    <w:rsid w:val="70335223"/>
    <w:rsid w:val="70342CA5"/>
    <w:rsid w:val="70344EA3"/>
    <w:rsid w:val="70352925"/>
    <w:rsid w:val="70355FEC"/>
    <w:rsid w:val="703561B0"/>
    <w:rsid w:val="70375E28"/>
    <w:rsid w:val="7039132B"/>
    <w:rsid w:val="703B482E"/>
    <w:rsid w:val="703C22B0"/>
    <w:rsid w:val="703C2F7E"/>
    <w:rsid w:val="703C5B33"/>
    <w:rsid w:val="703D35B4"/>
    <w:rsid w:val="703D3958"/>
    <w:rsid w:val="703D7D31"/>
    <w:rsid w:val="703E1036"/>
    <w:rsid w:val="703E4ED1"/>
    <w:rsid w:val="703E57B3"/>
    <w:rsid w:val="703F3234"/>
    <w:rsid w:val="703F6AB7"/>
    <w:rsid w:val="7040660E"/>
    <w:rsid w:val="704241B9"/>
    <w:rsid w:val="70431C3A"/>
    <w:rsid w:val="70442F3F"/>
    <w:rsid w:val="704476BC"/>
    <w:rsid w:val="704509C1"/>
    <w:rsid w:val="70452BBF"/>
    <w:rsid w:val="704600CC"/>
    <w:rsid w:val="70460641"/>
    <w:rsid w:val="70466442"/>
    <w:rsid w:val="70473EC4"/>
    <w:rsid w:val="704760C2"/>
    <w:rsid w:val="70483B44"/>
    <w:rsid w:val="70486572"/>
    <w:rsid w:val="704973C7"/>
    <w:rsid w:val="704A4E48"/>
    <w:rsid w:val="704A532F"/>
    <w:rsid w:val="704A5ECE"/>
    <w:rsid w:val="704A7047"/>
    <w:rsid w:val="704B28CA"/>
    <w:rsid w:val="704B4AC8"/>
    <w:rsid w:val="704C034C"/>
    <w:rsid w:val="704C254A"/>
    <w:rsid w:val="704C6791"/>
    <w:rsid w:val="704D384F"/>
    <w:rsid w:val="704D4B8F"/>
    <w:rsid w:val="704D5DCD"/>
    <w:rsid w:val="704D7E21"/>
    <w:rsid w:val="704D7FCB"/>
    <w:rsid w:val="704D7FE5"/>
    <w:rsid w:val="70501F38"/>
    <w:rsid w:val="705169D2"/>
    <w:rsid w:val="70523676"/>
    <w:rsid w:val="70524453"/>
    <w:rsid w:val="70527CD6"/>
    <w:rsid w:val="70534050"/>
    <w:rsid w:val="70534214"/>
    <w:rsid w:val="70544A2A"/>
    <w:rsid w:val="70544BEF"/>
    <w:rsid w:val="70547956"/>
    <w:rsid w:val="70550C5B"/>
    <w:rsid w:val="70560D4F"/>
    <w:rsid w:val="70562E59"/>
    <w:rsid w:val="705708DB"/>
    <w:rsid w:val="7057415E"/>
    <w:rsid w:val="70576B42"/>
    <w:rsid w:val="70576D06"/>
    <w:rsid w:val="70577FA3"/>
    <w:rsid w:val="7058027F"/>
    <w:rsid w:val="7058635C"/>
    <w:rsid w:val="705878A5"/>
    <w:rsid w:val="705A1860"/>
    <w:rsid w:val="705A19BC"/>
    <w:rsid w:val="705A50E3"/>
    <w:rsid w:val="705B2B64"/>
    <w:rsid w:val="705B72E1"/>
    <w:rsid w:val="705C2F35"/>
    <w:rsid w:val="705C4D63"/>
    <w:rsid w:val="705D27E4"/>
    <w:rsid w:val="705F504D"/>
    <w:rsid w:val="706011EA"/>
    <w:rsid w:val="70606FEC"/>
    <w:rsid w:val="706165C6"/>
    <w:rsid w:val="70616C6C"/>
    <w:rsid w:val="706224EF"/>
    <w:rsid w:val="706246EE"/>
    <w:rsid w:val="70637B3F"/>
    <w:rsid w:val="706436E2"/>
    <w:rsid w:val="70643898"/>
    <w:rsid w:val="706459F2"/>
    <w:rsid w:val="70650EF5"/>
    <w:rsid w:val="7065127C"/>
    <w:rsid w:val="70652780"/>
    <w:rsid w:val="70655672"/>
    <w:rsid w:val="706731CF"/>
    <w:rsid w:val="70681E7A"/>
    <w:rsid w:val="70694078"/>
    <w:rsid w:val="70694748"/>
    <w:rsid w:val="706A1AFA"/>
    <w:rsid w:val="706A537D"/>
    <w:rsid w:val="706B2DFF"/>
    <w:rsid w:val="706B757B"/>
    <w:rsid w:val="706C685F"/>
    <w:rsid w:val="706C6A24"/>
    <w:rsid w:val="706D1DD0"/>
    <w:rsid w:val="706D2A7F"/>
    <w:rsid w:val="706D6302"/>
    <w:rsid w:val="706E3D83"/>
    <w:rsid w:val="706F0977"/>
    <w:rsid w:val="706F5F82"/>
    <w:rsid w:val="70703A03"/>
    <w:rsid w:val="70707286"/>
    <w:rsid w:val="7072278A"/>
    <w:rsid w:val="70733469"/>
    <w:rsid w:val="70734988"/>
    <w:rsid w:val="70744BA6"/>
    <w:rsid w:val="7075370E"/>
    <w:rsid w:val="7076338E"/>
    <w:rsid w:val="70770E10"/>
    <w:rsid w:val="70776C11"/>
    <w:rsid w:val="70787698"/>
    <w:rsid w:val="70790236"/>
    <w:rsid w:val="70792114"/>
    <w:rsid w:val="707B5618"/>
    <w:rsid w:val="707C3099"/>
    <w:rsid w:val="707D0B1B"/>
    <w:rsid w:val="707E38C7"/>
    <w:rsid w:val="707E401E"/>
    <w:rsid w:val="708017B4"/>
    <w:rsid w:val="70807521"/>
    <w:rsid w:val="7082657D"/>
    <w:rsid w:val="7082773A"/>
    <w:rsid w:val="708366E0"/>
    <w:rsid w:val="70837AF6"/>
    <w:rsid w:val="70856B87"/>
    <w:rsid w:val="7086142A"/>
    <w:rsid w:val="70872684"/>
    <w:rsid w:val="708923AF"/>
    <w:rsid w:val="708A48C4"/>
    <w:rsid w:val="708A7E30"/>
    <w:rsid w:val="708B2619"/>
    <w:rsid w:val="708C3333"/>
    <w:rsid w:val="708D0DB5"/>
    <w:rsid w:val="708E6837"/>
    <w:rsid w:val="708F42B8"/>
    <w:rsid w:val="709177BB"/>
    <w:rsid w:val="70920AC0"/>
    <w:rsid w:val="70932CBE"/>
    <w:rsid w:val="709335E5"/>
    <w:rsid w:val="70936542"/>
    <w:rsid w:val="70943FC3"/>
    <w:rsid w:val="70944183"/>
    <w:rsid w:val="70951A45"/>
    <w:rsid w:val="70953C43"/>
    <w:rsid w:val="70954D22"/>
    <w:rsid w:val="709616C4"/>
    <w:rsid w:val="709829C9"/>
    <w:rsid w:val="70984BC8"/>
    <w:rsid w:val="7099044B"/>
    <w:rsid w:val="70992649"/>
    <w:rsid w:val="709A00CB"/>
    <w:rsid w:val="709B394E"/>
    <w:rsid w:val="709C13CF"/>
    <w:rsid w:val="709C24CA"/>
    <w:rsid w:val="709D0801"/>
    <w:rsid w:val="709D104F"/>
    <w:rsid w:val="709D48D3"/>
    <w:rsid w:val="709D6098"/>
    <w:rsid w:val="709D6403"/>
    <w:rsid w:val="709D6E51"/>
    <w:rsid w:val="709E2354"/>
    <w:rsid w:val="709E4C15"/>
    <w:rsid w:val="709E4DCA"/>
    <w:rsid w:val="709E6AD1"/>
    <w:rsid w:val="70A32C51"/>
    <w:rsid w:val="70A32F59"/>
    <w:rsid w:val="70A367DC"/>
    <w:rsid w:val="70A370D3"/>
    <w:rsid w:val="70A409DA"/>
    <w:rsid w:val="70A4425D"/>
    <w:rsid w:val="70A51CDF"/>
    <w:rsid w:val="70A7195F"/>
    <w:rsid w:val="70A751E2"/>
    <w:rsid w:val="70A82C64"/>
    <w:rsid w:val="70A906E5"/>
    <w:rsid w:val="70A94E62"/>
    <w:rsid w:val="70AA3EA1"/>
    <w:rsid w:val="70AA6167"/>
    <w:rsid w:val="70AB3BE8"/>
    <w:rsid w:val="70AD3868"/>
    <w:rsid w:val="70AE00A1"/>
    <w:rsid w:val="70AE6645"/>
    <w:rsid w:val="70AE6D6B"/>
    <w:rsid w:val="70AF25EE"/>
    <w:rsid w:val="70B00AAA"/>
    <w:rsid w:val="70B15AF2"/>
    <w:rsid w:val="70B331F3"/>
    <w:rsid w:val="70B40C75"/>
    <w:rsid w:val="70B46A76"/>
    <w:rsid w:val="70B566F6"/>
    <w:rsid w:val="70B56BD1"/>
    <w:rsid w:val="70B64178"/>
    <w:rsid w:val="70B64B15"/>
    <w:rsid w:val="70B64CD9"/>
    <w:rsid w:val="70B71BF9"/>
    <w:rsid w:val="70B82EFE"/>
    <w:rsid w:val="70B86DF1"/>
    <w:rsid w:val="70B8767B"/>
    <w:rsid w:val="70B90980"/>
    <w:rsid w:val="70B950FC"/>
    <w:rsid w:val="70BA036A"/>
    <w:rsid w:val="70BB05FF"/>
    <w:rsid w:val="70BB0F08"/>
    <w:rsid w:val="70BB1D85"/>
    <w:rsid w:val="70BB1F3A"/>
    <w:rsid w:val="70BC0902"/>
    <w:rsid w:val="70BC1904"/>
    <w:rsid w:val="70BD3B02"/>
    <w:rsid w:val="70BF2889"/>
    <w:rsid w:val="70BF7006"/>
    <w:rsid w:val="70C04599"/>
    <w:rsid w:val="70C15D8C"/>
    <w:rsid w:val="70C2380D"/>
    <w:rsid w:val="70C27F8A"/>
    <w:rsid w:val="70C4348D"/>
    <w:rsid w:val="70C4708B"/>
    <w:rsid w:val="70C50F0F"/>
    <w:rsid w:val="70C54792"/>
    <w:rsid w:val="70C57A65"/>
    <w:rsid w:val="70C57C29"/>
    <w:rsid w:val="70C62214"/>
    <w:rsid w:val="70C64412"/>
    <w:rsid w:val="70C66990"/>
    <w:rsid w:val="70C71B7C"/>
    <w:rsid w:val="70C71D41"/>
    <w:rsid w:val="70C828DF"/>
    <w:rsid w:val="70C85717"/>
    <w:rsid w:val="70C87915"/>
    <w:rsid w:val="70C94717"/>
    <w:rsid w:val="70C95397"/>
    <w:rsid w:val="70CA0C1A"/>
    <w:rsid w:val="70CB3C56"/>
    <w:rsid w:val="70CB786E"/>
    <w:rsid w:val="70CC631B"/>
    <w:rsid w:val="70CD3D9D"/>
    <w:rsid w:val="70CD5F70"/>
    <w:rsid w:val="70CE50A2"/>
    <w:rsid w:val="70CE7620"/>
    <w:rsid w:val="70CF72A0"/>
    <w:rsid w:val="70D00087"/>
    <w:rsid w:val="70D005A5"/>
    <w:rsid w:val="70D021EC"/>
    <w:rsid w:val="70D07EC3"/>
    <w:rsid w:val="70D11A3C"/>
    <w:rsid w:val="70D127A3"/>
    <w:rsid w:val="70D20225"/>
    <w:rsid w:val="70D2143C"/>
    <w:rsid w:val="70D21600"/>
    <w:rsid w:val="70D23AA8"/>
    <w:rsid w:val="70D31529"/>
    <w:rsid w:val="70D35CA6"/>
    <w:rsid w:val="70D46FAB"/>
    <w:rsid w:val="70D511A9"/>
    <w:rsid w:val="70D527EE"/>
    <w:rsid w:val="70D54A2C"/>
    <w:rsid w:val="70D66C2B"/>
    <w:rsid w:val="70D746AC"/>
    <w:rsid w:val="70D7566B"/>
    <w:rsid w:val="70D8212E"/>
    <w:rsid w:val="70D859B1"/>
    <w:rsid w:val="70D8620A"/>
    <w:rsid w:val="70D958BC"/>
    <w:rsid w:val="70D97BAF"/>
    <w:rsid w:val="70DA0EB4"/>
    <w:rsid w:val="70DA7947"/>
    <w:rsid w:val="70DB30B2"/>
    <w:rsid w:val="70DB45E1"/>
    <w:rsid w:val="70DB7FCB"/>
    <w:rsid w:val="70DC0B34"/>
    <w:rsid w:val="70DC43B7"/>
    <w:rsid w:val="70DE2439"/>
    <w:rsid w:val="70DF533C"/>
    <w:rsid w:val="70E1083F"/>
    <w:rsid w:val="70E1634E"/>
    <w:rsid w:val="70E262C1"/>
    <w:rsid w:val="70E33D42"/>
    <w:rsid w:val="70E364A3"/>
    <w:rsid w:val="70E417C4"/>
    <w:rsid w:val="70E42345"/>
    <w:rsid w:val="70E47206"/>
    <w:rsid w:val="70E701CA"/>
    <w:rsid w:val="70E71E94"/>
    <w:rsid w:val="70E81B34"/>
    <w:rsid w:val="70E85C4B"/>
    <w:rsid w:val="70E872EC"/>
    <w:rsid w:val="70E87B78"/>
    <w:rsid w:val="70E936CD"/>
    <w:rsid w:val="70EA114F"/>
    <w:rsid w:val="70EB3C4B"/>
    <w:rsid w:val="70EB3E10"/>
    <w:rsid w:val="70EB6BD0"/>
    <w:rsid w:val="70EC28BD"/>
    <w:rsid w:val="70ED20D3"/>
    <w:rsid w:val="70EE7B55"/>
    <w:rsid w:val="70EF55D6"/>
    <w:rsid w:val="70EF6902"/>
    <w:rsid w:val="70F03058"/>
    <w:rsid w:val="70F10A19"/>
    <w:rsid w:val="70F10AD9"/>
    <w:rsid w:val="70F215B8"/>
    <w:rsid w:val="70F2655B"/>
    <w:rsid w:val="70F33FDC"/>
    <w:rsid w:val="70F42B31"/>
    <w:rsid w:val="70F4421A"/>
    <w:rsid w:val="70F44A85"/>
    <w:rsid w:val="70F574E0"/>
    <w:rsid w:val="70F62BE1"/>
    <w:rsid w:val="70F6426E"/>
    <w:rsid w:val="70F64F61"/>
    <w:rsid w:val="70F80464"/>
    <w:rsid w:val="70F83CE8"/>
    <w:rsid w:val="70F91769"/>
    <w:rsid w:val="70F961C1"/>
    <w:rsid w:val="70FA3967"/>
    <w:rsid w:val="70FA6D60"/>
    <w:rsid w:val="70FA71EB"/>
    <w:rsid w:val="70FB4C6C"/>
    <w:rsid w:val="70FC26EE"/>
    <w:rsid w:val="70FD016F"/>
    <w:rsid w:val="70FD48EC"/>
    <w:rsid w:val="70FE1851"/>
    <w:rsid w:val="70FE236E"/>
    <w:rsid w:val="70FE5BF1"/>
    <w:rsid w:val="70FE7DEF"/>
    <w:rsid w:val="710010F4"/>
    <w:rsid w:val="710032F2"/>
    <w:rsid w:val="71003969"/>
    <w:rsid w:val="71010D74"/>
    <w:rsid w:val="71014508"/>
    <w:rsid w:val="71016B75"/>
    <w:rsid w:val="710226DE"/>
    <w:rsid w:val="710245F7"/>
    <w:rsid w:val="71032079"/>
    <w:rsid w:val="71035A81"/>
    <w:rsid w:val="71041CF8"/>
    <w:rsid w:val="7104661F"/>
    <w:rsid w:val="71047AFA"/>
    <w:rsid w:val="71060A7F"/>
    <w:rsid w:val="710651FB"/>
    <w:rsid w:val="71070737"/>
    <w:rsid w:val="710806FF"/>
    <w:rsid w:val="71081111"/>
    <w:rsid w:val="71091A03"/>
    <w:rsid w:val="71091CB0"/>
    <w:rsid w:val="710A284E"/>
    <w:rsid w:val="710A33ED"/>
    <w:rsid w:val="710A3700"/>
    <w:rsid w:val="710A3C02"/>
    <w:rsid w:val="710B4F07"/>
    <w:rsid w:val="710C4966"/>
    <w:rsid w:val="710C7105"/>
    <w:rsid w:val="710D040A"/>
    <w:rsid w:val="710E2608"/>
    <w:rsid w:val="710E5E8B"/>
    <w:rsid w:val="710F0089"/>
    <w:rsid w:val="710F390D"/>
    <w:rsid w:val="710F6A7D"/>
    <w:rsid w:val="7110138E"/>
    <w:rsid w:val="71105B0B"/>
    <w:rsid w:val="71117FF6"/>
    <w:rsid w:val="71132313"/>
    <w:rsid w:val="71136C39"/>
    <w:rsid w:val="71146718"/>
    <w:rsid w:val="71151F93"/>
    <w:rsid w:val="71155816"/>
    <w:rsid w:val="71163298"/>
    <w:rsid w:val="71163687"/>
    <w:rsid w:val="71167A14"/>
    <w:rsid w:val="71170D19"/>
    <w:rsid w:val="71172F17"/>
    <w:rsid w:val="71174061"/>
    <w:rsid w:val="71184DC4"/>
    <w:rsid w:val="7119579E"/>
    <w:rsid w:val="7119641A"/>
    <w:rsid w:val="711A1C9E"/>
    <w:rsid w:val="711A3E9C"/>
    <w:rsid w:val="711B191E"/>
    <w:rsid w:val="711C47FF"/>
    <w:rsid w:val="711C51A1"/>
    <w:rsid w:val="711C739F"/>
    <w:rsid w:val="711D2C22"/>
    <w:rsid w:val="711E28A2"/>
    <w:rsid w:val="711E6125"/>
    <w:rsid w:val="711F0324"/>
    <w:rsid w:val="711F3BA7"/>
    <w:rsid w:val="71201629"/>
    <w:rsid w:val="71211AEC"/>
    <w:rsid w:val="71213827"/>
    <w:rsid w:val="71213920"/>
    <w:rsid w:val="712170AA"/>
    <w:rsid w:val="712244BF"/>
    <w:rsid w:val="71224B2C"/>
    <w:rsid w:val="71236D2A"/>
    <w:rsid w:val="7124002F"/>
    <w:rsid w:val="712447AC"/>
    <w:rsid w:val="71245A38"/>
    <w:rsid w:val="71245BFC"/>
    <w:rsid w:val="7125222D"/>
    <w:rsid w:val="71255AB0"/>
    <w:rsid w:val="712617F2"/>
    <w:rsid w:val="71263532"/>
    <w:rsid w:val="71270FB3"/>
    <w:rsid w:val="712831B2"/>
    <w:rsid w:val="71290C33"/>
    <w:rsid w:val="712958E1"/>
    <w:rsid w:val="712A1F38"/>
    <w:rsid w:val="712A2806"/>
    <w:rsid w:val="712A66B5"/>
    <w:rsid w:val="712B4136"/>
    <w:rsid w:val="712B79BA"/>
    <w:rsid w:val="712C1BB8"/>
    <w:rsid w:val="712C3F43"/>
    <w:rsid w:val="712C543B"/>
    <w:rsid w:val="712D2EBD"/>
    <w:rsid w:val="712D491D"/>
    <w:rsid w:val="712E093E"/>
    <w:rsid w:val="712E53E1"/>
    <w:rsid w:val="712E54BC"/>
    <w:rsid w:val="712E5597"/>
    <w:rsid w:val="712F4EC1"/>
    <w:rsid w:val="71303A3D"/>
    <w:rsid w:val="71303E41"/>
    <w:rsid w:val="71306040"/>
    <w:rsid w:val="71321543"/>
    <w:rsid w:val="71327344"/>
    <w:rsid w:val="71330B4C"/>
    <w:rsid w:val="71334DC6"/>
    <w:rsid w:val="71341527"/>
    <w:rsid w:val="71342848"/>
    <w:rsid w:val="71344A46"/>
    <w:rsid w:val="713502C9"/>
    <w:rsid w:val="71352A9F"/>
    <w:rsid w:val="71352C64"/>
    <w:rsid w:val="71365D4B"/>
    <w:rsid w:val="7137124E"/>
    <w:rsid w:val="713737CC"/>
    <w:rsid w:val="71386CCF"/>
    <w:rsid w:val="71390ECE"/>
    <w:rsid w:val="7139262C"/>
    <w:rsid w:val="71394751"/>
    <w:rsid w:val="71395756"/>
    <w:rsid w:val="713A21D2"/>
    <w:rsid w:val="713A6130"/>
    <w:rsid w:val="713B43D1"/>
    <w:rsid w:val="713B7C54"/>
    <w:rsid w:val="713D3157"/>
    <w:rsid w:val="713D78D4"/>
    <w:rsid w:val="713E5355"/>
    <w:rsid w:val="713F1985"/>
    <w:rsid w:val="713F2DD7"/>
    <w:rsid w:val="713F546E"/>
    <w:rsid w:val="713F665A"/>
    <w:rsid w:val="714040DC"/>
    <w:rsid w:val="71411B5D"/>
    <w:rsid w:val="714205EC"/>
    <w:rsid w:val="7142463B"/>
    <w:rsid w:val="714275DF"/>
    <w:rsid w:val="71435060"/>
    <w:rsid w:val="7144725F"/>
    <w:rsid w:val="7145658E"/>
    <w:rsid w:val="71465FE5"/>
    <w:rsid w:val="7146712D"/>
    <w:rsid w:val="7146797E"/>
    <w:rsid w:val="71473A67"/>
    <w:rsid w:val="71477CCB"/>
    <w:rsid w:val="714814E8"/>
    <w:rsid w:val="71491080"/>
    <w:rsid w:val="71491244"/>
    <w:rsid w:val="714B246D"/>
    <w:rsid w:val="714C1284"/>
    <w:rsid w:val="714C17A4"/>
    <w:rsid w:val="714D5970"/>
    <w:rsid w:val="714E33F1"/>
    <w:rsid w:val="714E78E0"/>
    <w:rsid w:val="714F0E73"/>
    <w:rsid w:val="714F5473"/>
    <w:rsid w:val="714F68F5"/>
    <w:rsid w:val="71511DF8"/>
    <w:rsid w:val="71527879"/>
    <w:rsid w:val="71527F65"/>
    <w:rsid w:val="715352FB"/>
    <w:rsid w:val="71542D7C"/>
    <w:rsid w:val="7155456C"/>
    <w:rsid w:val="71581782"/>
    <w:rsid w:val="71584194"/>
    <w:rsid w:val="715A570D"/>
    <w:rsid w:val="715A58D2"/>
    <w:rsid w:val="715B2707"/>
    <w:rsid w:val="715B2E69"/>
    <w:rsid w:val="715B338A"/>
    <w:rsid w:val="715B3540"/>
    <w:rsid w:val="715B5300"/>
    <w:rsid w:val="715C0189"/>
    <w:rsid w:val="715D03C3"/>
    <w:rsid w:val="715D5C0A"/>
    <w:rsid w:val="715E0F62"/>
    <w:rsid w:val="715E368C"/>
    <w:rsid w:val="715F193C"/>
    <w:rsid w:val="71602316"/>
    <w:rsid w:val="71602412"/>
    <w:rsid w:val="71614610"/>
    <w:rsid w:val="71617E94"/>
    <w:rsid w:val="71622092"/>
    <w:rsid w:val="71623A54"/>
    <w:rsid w:val="71625915"/>
    <w:rsid w:val="71633397"/>
    <w:rsid w:val="71637B14"/>
    <w:rsid w:val="71640E18"/>
    <w:rsid w:val="71644FCD"/>
    <w:rsid w:val="7165689A"/>
    <w:rsid w:val="71660A98"/>
    <w:rsid w:val="7166431B"/>
    <w:rsid w:val="71673F9B"/>
    <w:rsid w:val="7167651A"/>
    <w:rsid w:val="716772A9"/>
    <w:rsid w:val="7168781F"/>
    <w:rsid w:val="71687ABE"/>
    <w:rsid w:val="71695B67"/>
    <w:rsid w:val="716A11FC"/>
    <w:rsid w:val="716A2D22"/>
    <w:rsid w:val="716A4F20"/>
    <w:rsid w:val="716B400E"/>
    <w:rsid w:val="716D3CA6"/>
    <w:rsid w:val="716D5EA5"/>
    <w:rsid w:val="716E1728"/>
    <w:rsid w:val="716E3926"/>
    <w:rsid w:val="716F13A8"/>
    <w:rsid w:val="716F71A9"/>
    <w:rsid w:val="717026AC"/>
    <w:rsid w:val="71706E29"/>
    <w:rsid w:val="7171012E"/>
    <w:rsid w:val="71710D3D"/>
    <w:rsid w:val="717148AB"/>
    <w:rsid w:val="71727542"/>
    <w:rsid w:val="717300E1"/>
    <w:rsid w:val="71733631"/>
    <w:rsid w:val="71737DAE"/>
    <w:rsid w:val="71760D33"/>
    <w:rsid w:val="71762034"/>
    <w:rsid w:val="717645B6"/>
    <w:rsid w:val="71775D29"/>
    <w:rsid w:val="717767B4"/>
    <w:rsid w:val="71784236"/>
    <w:rsid w:val="71784310"/>
    <w:rsid w:val="71787AB9"/>
    <w:rsid w:val="71791CB7"/>
    <w:rsid w:val="7179774D"/>
    <w:rsid w:val="717A163C"/>
    <w:rsid w:val="717A2FBC"/>
    <w:rsid w:val="717A7739"/>
    <w:rsid w:val="717B0A3E"/>
    <w:rsid w:val="717B51BA"/>
    <w:rsid w:val="717C2C3C"/>
    <w:rsid w:val="717D3F41"/>
    <w:rsid w:val="717E613F"/>
    <w:rsid w:val="717E6A9E"/>
    <w:rsid w:val="717F3BC0"/>
    <w:rsid w:val="71804EC5"/>
    <w:rsid w:val="718203C8"/>
    <w:rsid w:val="71833BD0"/>
    <w:rsid w:val="71835E4A"/>
    <w:rsid w:val="718438CB"/>
    <w:rsid w:val="71845ACA"/>
    <w:rsid w:val="7185354B"/>
    <w:rsid w:val="71855149"/>
    <w:rsid w:val="71860FCD"/>
    <w:rsid w:val="718722D2"/>
    <w:rsid w:val="71874850"/>
    <w:rsid w:val="718764FD"/>
    <w:rsid w:val="718766C1"/>
    <w:rsid w:val="71876A4E"/>
    <w:rsid w:val="71880AA7"/>
    <w:rsid w:val="718844D0"/>
    <w:rsid w:val="718907D9"/>
    <w:rsid w:val="71891F52"/>
    <w:rsid w:val="718A3256"/>
    <w:rsid w:val="718B5455"/>
    <w:rsid w:val="718C28F0"/>
    <w:rsid w:val="718D0958"/>
    <w:rsid w:val="718D32CB"/>
    <w:rsid w:val="718D41DB"/>
    <w:rsid w:val="718E63D9"/>
    <w:rsid w:val="718F3E5B"/>
    <w:rsid w:val="718F76DE"/>
    <w:rsid w:val="719018DC"/>
    <w:rsid w:val="71920663"/>
    <w:rsid w:val="71924DDF"/>
    <w:rsid w:val="71926B20"/>
    <w:rsid w:val="71932861"/>
    <w:rsid w:val="719360E4"/>
    <w:rsid w:val="71945B8B"/>
    <w:rsid w:val="719515E7"/>
    <w:rsid w:val="71951611"/>
    <w:rsid w:val="71954A73"/>
    <w:rsid w:val="71955D64"/>
    <w:rsid w:val="71961FEC"/>
    <w:rsid w:val="719637E6"/>
    <w:rsid w:val="71967069"/>
    <w:rsid w:val="71972F19"/>
    <w:rsid w:val="719730CF"/>
    <w:rsid w:val="71976CE9"/>
    <w:rsid w:val="7198256C"/>
    <w:rsid w:val="719921EC"/>
    <w:rsid w:val="71994103"/>
    <w:rsid w:val="71997FEE"/>
    <w:rsid w:val="719A4CA2"/>
    <w:rsid w:val="719A7C6D"/>
    <w:rsid w:val="719B34F1"/>
    <w:rsid w:val="719B567C"/>
    <w:rsid w:val="719B5840"/>
    <w:rsid w:val="719D69F4"/>
    <w:rsid w:val="719D6DB9"/>
    <w:rsid w:val="719E6674"/>
    <w:rsid w:val="719E7958"/>
    <w:rsid w:val="719F0332"/>
    <w:rsid w:val="719F04F7"/>
    <w:rsid w:val="719F7978"/>
    <w:rsid w:val="71A00ED1"/>
    <w:rsid w:val="71A01B77"/>
    <w:rsid w:val="71A12E7C"/>
    <w:rsid w:val="71A175F8"/>
    <w:rsid w:val="71A208FD"/>
    <w:rsid w:val="71A2244A"/>
    <w:rsid w:val="71A2507A"/>
    <w:rsid w:val="71A32AFB"/>
    <w:rsid w:val="71A32E24"/>
    <w:rsid w:val="71A33B87"/>
    <w:rsid w:val="71A3637F"/>
    <w:rsid w:val="71A4709A"/>
    <w:rsid w:val="71A63A80"/>
    <w:rsid w:val="71A67303"/>
    <w:rsid w:val="71A71502"/>
    <w:rsid w:val="71A82806"/>
    <w:rsid w:val="71A86F83"/>
    <w:rsid w:val="71A94A05"/>
    <w:rsid w:val="71A97BF2"/>
    <w:rsid w:val="71AA2486"/>
    <w:rsid w:val="71AA5D09"/>
    <w:rsid w:val="71AB132F"/>
    <w:rsid w:val="71AE3282"/>
    <w:rsid w:val="71AE3447"/>
    <w:rsid w:val="71AE4710"/>
    <w:rsid w:val="71B047FB"/>
    <w:rsid w:val="71B15694"/>
    <w:rsid w:val="71B21877"/>
    <w:rsid w:val="71B46619"/>
    <w:rsid w:val="71B47ED3"/>
    <w:rsid w:val="71B61B1C"/>
    <w:rsid w:val="71B8501F"/>
    <w:rsid w:val="71B90522"/>
    <w:rsid w:val="71BB3A25"/>
    <w:rsid w:val="71BB4C59"/>
    <w:rsid w:val="71BD6F28"/>
    <w:rsid w:val="71BE49AA"/>
    <w:rsid w:val="71C00E88"/>
    <w:rsid w:val="71C233B0"/>
    <w:rsid w:val="71C32FA0"/>
    <w:rsid w:val="71C346B5"/>
    <w:rsid w:val="71C4417B"/>
    <w:rsid w:val="71C468B3"/>
    <w:rsid w:val="71C54335"/>
    <w:rsid w:val="71C61DB6"/>
    <w:rsid w:val="71C730BB"/>
    <w:rsid w:val="71C852BA"/>
    <w:rsid w:val="71C92D3B"/>
    <w:rsid w:val="71C965BE"/>
    <w:rsid w:val="71C971CF"/>
    <w:rsid w:val="71CA07BD"/>
    <w:rsid w:val="71CA4040"/>
    <w:rsid w:val="71CA7BA9"/>
    <w:rsid w:val="71CB12E6"/>
    <w:rsid w:val="71CB1AC1"/>
    <w:rsid w:val="71CB623E"/>
    <w:rsid w:val="71CD285F"/>
    <w:rsid w:val="71CD4FC5"/>
    <w:rsid w:val="71CE2A46"/>
    <w:rsid w:val="71CE71C3"/>
    <w:rsid w:val="71CF04C8"/>
    <w:rsid w:val="71CF4C44"/>
    <w:rsid w:val="71D00147"/>
    <w:rsid w:val="71D05F49"/>
    <w:rsid w:val="71D15351"/>
    <w:rsid w:val="71D15BC9"/>
    <w:rsid w:val="71D25EF0"/>
    <w:rsid w:val="71D260B4"/>
    <w:rsid w:val="71D27F8A"/>
    <w:rsid w:val="71D4494F"/>
    <w:rsid w:val="71D46B4E"/>
    <w:rsid w:val="71D523D1"/>
    <w:rsid w:val="71D545CF"/>
    <w:rsid w:val="71D609E2"/>
    <w:rsid w:val="71D62051"/>
    <w:rsid w:val="71D67E52"/>
    <w:rsid w:val="71D758D4"/>
    <w:rsid w:val="71D77AD2"/>
    <w:rsid w:val="71D83356"/>
    <w:rsid w:val="71D85554"/>
    <w:rsid w:val="71D96859"/>
    <w:rsid w:val="71D97FC7"/>
    <w:rsid w:val="71DA0A57"/>
    <w:rsid w:val="71DA42DA"/>
    <w:rsid w:val="71DA53F3"/>
    <w:rsid w:val="71DA68ED"/>
    <w:rsid w:val="71DB1D5C"/>
    <w:rsid w:val="71DE2CE0"/>
    <w:rsid w:val="71DF0762"/>
    <w:rsid w:val="71E00465"/>
    <w:rsid w:val="71E02960"/>
    <w:rsid w:val="71E13C65"/>
    <w:rsid w:val="71E338E5"/>
    <w:rsid w:val="71E4311C"/>
    <w:rsid w:val="71E44BEA"/>
    <w:rsid w:val="71E56DE8"/>
    <w:rsid w:val="71E644D0"/>
    <w:rsid w:val="71E64695"/>
    <w:rsid w:val="71E6486A"/>
    <w:rsid w:val="71E835F0"/>
    <w:rsid w:val="71E93270"/>
    <w:rsid w:val="71ED21B3"/>
    <w:rsid w:val="71EE29DB"/>
    <w:rsid w:val="71EE76F7"/>
    <w:rsid w:val="71EF2F7B"/>
    <w:rsid w:val="71EF5179"/>
    <w:rsid w:val="71F009FC"/>
    <w:rsid w:val="71F02BFB"/>
    <w:rsid w:val="71F0647E"/>
    <w:rsid w:val="71F1067C"/>
    <w:rsid w:val="71F21981"/>
    <w:rsid w:val="71F254CD"/>
    <w:rsid w:val="71F41601"/>
    <w:rsid w:val="71F44E84"/>
    <w:rsid w:val="71F52906"/>
    <w:rsid w:val="71F57082"/>
    <w:rsid w:val="71F57420"/>
    <w:rsid w:val="71F60387"/>
    <w:rsid w:val="71F64B04"/>
    <w:rsid w:val="71F6680B"/>
    <w:rsid w:val="71F72585"/>
    <w:rsid w:val="71F75E09"/>
    <w:rsid w:val="71FA3814"/>
    <w:rsid w:val="71FA6D8D"/>
    <w:rsid w:val="71FB0F8C"/>
    <w:rsid w:val="71FB41EE"/>
    <w:rsid w:val="71FB480F"/>
    <w:rsid w:val="71FC2290"/>
    <w:rsid w:val="71FC4BC8"/>
    <w:rsid w:val="71FD3357"/>
    <w:rsid w:val="71FD448F"/>
    <w:rsid w:val="71FE1F10"/>
    <w:rsid w:val="71FE5794"/>
    <w:rsid w:val="71FE6305"/>
    <w:rsid w:val="71FF3215"/>
    <w:rsid w:val="71FF6CE0"/>
    <w:rsid w:val="71FF7992"/>
    <w:rsid w:val="72002E95"/>
    <w:rsid w:val="72005413"/>
    <w:rsid w:val="72007A43"/>
    <w:rsid w:val="7201041D"/>
    <w:rsid w:val="7202419A"/>
    <w:rsid w:val="72026398"/>
    <w:rsid w:val="72031996"/>
    <w:rsid w:val="72031C1B"/>
    <w:rsid w:val="72033E1A"/>
    <w:rsid w:val="7204189B"/>
    <w:rsid w:val="7205511E"/>
    <w:rsid w:val="72062BA0"/>
    <w:rsid w:val="72064D9E"/>
    <w:rsid w:val="72075026"/>
    <w:rsid w:val="720802A1"/>
    <w:rsid w:val="72083B25"/>
    <w:rsid w:val="72097BAE"/>
    <w:rsid w:val="720A37A4"/>
    <w:rsid w:val="720A7028"/>
    <w:rsid w:val="720B4AA9"/>
    <w:rsid w:val="720B597F"/>
    <w:rsid w:val="720B7CDC"/>
    <w:rsid w:val="720C6CA8"/>
    <w:rsid w:val="72103F0B"/>
    <w:rsid w:val="721148E6"/>
    <w:rsid w:val="721169B3"/>
    <w:rsid w:val="72124434"/>
    <w:rsid w:val="72125484"/>
    <w:rsid w:val="72131EB6"/>
    <w:rsid w:val="72133A79"/>
    <w:rsid w:val="721359C2"/>
    <w:rsid w:val="72135E5F"/>
    <w:rsid w:val="72147937"/>
    <w:rsid w:val="721553B9"/>
    <w:rsid w:val="72162E3A"/>
    <w:rsid w:val="721708BC"/>
    <w:rsid w:val="721814EF"/>
    <w:rsid w:val="7218206E"/>
    <w:rsid w:val="72190F08"/>
    <w:rsid w:val="72193DBF"/>
    <w:rsid w:val="721A1840"/>
    <w:rsid w:val="721B37CB"/>
    <w:rsid w:val="721C4D44"/>
    <w:rsid w:val="721E6481"/>
    <w:rsid w:val="721F5CC8"/>
    <w:rsid w:val="72201684"/>
    <w:rsid w:val="72216C4D"/>
    <w:rsid w:val="72230C49"/>
    <w:rsid w:val="7223194D"/>
    <w:rsid w:val="72232150"/>
    <w:rsid w:val="72267AC5"/>
    <w:rsid w:val="72273C06"/>
    <w:rsid w:val="722978DD"/>
    <w:rsid w:val="722A535E"/>
    <w:rsid w:val="722B2DE0"/>
    <w:rsid w:val="722B755C"/>
    <w:rsid w:val="722C0861"/>
    <w:rsid w:val="722C7282"/>
    <w:rsid w:val="722E04E1"/>
    <w:rsid w:val="722E1DAB"/>
    <w:rsid w:val="722E3D64"/>
    <w:rsid w:val="722F1A94"/>
    <w:rsid w:val="722F5F63"/>
    <w:rsid w:val="72303324"/>
    <w:rsid w:val="72307267"/>
    <w:rsid w:val="72307D3F"/>
    <w:rsid w:val="72313EC3"/>
    <w:rsid w:val="72314CE9"/>
    <w:rsid w:val="7232276A"/>
    <w:rsid w:val="72324A62"/>
    <w:rsid w:val="723301EC"/>
    <w:rsid w:val="72335600"/>
    <w:rsid w:val="72345C6E"/>
    <w:rsid w:val="72346FDB"/>
    <w:rsid w:val="72350776"/>
    <w:rsid w:val="7235130F"/>
    <w:rsid w:val="72355EC3"/>
    <w:rsid w:val="72357E6C"/>
    <w:rsid w:val="72361171"/>
    <w:rsid w:val="723700F2"/>
    <w:rsid w:val="72384674"/>
    <w:rsid w:val="723920F5"/>
    <w:rsid w:val="7239220A"/>
    <w:rsid w:val="723942F4"/>
    <w:rsid w:val="72396872"/>
    <w:rsid w:val="723A1D75"/>
    <w:rsid w:val="723A2DA8"/>
    <w:rsid w:val="723B3782"/>
    <w:rsid w:val="723D0AFC"/>
    <w:rsid w:val="723E077B"/>
    <w:rsid w:val="72414F83"/>
    <w:rsid w:val="72422A05"/>
    <w:rsid w:val="72427182"/>
    <w:rsid w:val="72434C03"/>
    <w:rsid w:val="72436D2C"/>
    <w:rsid w:val="72450106"/>
    <w:rsid w:val="72456EB1"/>
    <w:rsid w:val="7245721D"/>
    <w:rsid w:val="7246140B"/>
    <w:rsid w:val="72463042"/>
    <w:rsid w:val="72465B88"/>
    <w:rsid w:val="72473609"/>
    <w:rsid w:val="72473A1C"/>
    <w:rsid w:val="72476E8D"/>
    <w:rsid w:val="7248490E"/>
    <w:rsid w:val="724B5893"/>
    <w:rsid w:val="724C3314"/>
    <w:rsid w:val="724C7A91"/>
    <w:rsid w:val="724C7C4B"/>
    <w:rsid w:val="724D0D96"/>
    <w:rsid w:val="724E1389"/>
    <w:rsid w:val="724E2F94"/>
    <w:rsid w:val="724E6817"/>
    <w:rsid w:val="724F0A16"/>
    <w:rsid w:val="72501D1B"/>
    <w:rsid w:val="72506497"/>
    <w:rsid w:val="72513F19"/>
    <w:rsid w:val="7251779C"/>
    <w:rsid w:val="7252403F"/>
    <w:rsid w:val="7252521E"/>
    <w:rsid w:val="7252741C"/>
    <w:rsid w:val="72540721"/>
    <w:rsid w:val="7254291F"/>
    <w:rsid w:val="725453F3"/>
    <w:rsid w:val="725517B3"/>
    <w:rsid w:val="72553024"/>
    <w:rsid w:val="725561A2"/>
    <w:rsid w:val="72556B31"/>
    <w:rsid w:val="7256750B"/>
    <w:rsid w:val="725716A5"/>
    <w:rsid w:val="72580A84"/>
    <w:rsid w:val="7259262A"/>
    <w:rsid w:val="72596DA7"/>
    <w:rsid w:val="725C373A"/>
    <w:rsid w:val="725D1030"/>
    <w:rsid w:val="725D57AD"/>
    <w:rsid w:val="725E322F"/>
    <w:rsid w:val="725F0CB0"/>
    <w:rsid w:val="72601FB5"/>
    <w:rsid w:val="7260565A"/>
    <w:rsid w:val="726063F0"/>
    <w:rsid w:val="72606732"/>
    <w:rsid w:val="72621C35"/>
    <w:rsid w:val="72630EE2"/>
    <w:rsid w:val="726376B6"/>
    <w:rsid w:val="726409BB"/>
    <w:rsid w:val="72652BB9"/>
    <w:rsid w:val="7265643D"/>
    <w:rsid w:val="72662FF9"/>
    <w:rsid w:val="726631BE"/>
    <w:rsid w:val="72663EBE"/>
    <w:rsid w:val="72671940"/>
    <w:rsid w:val="72683B3E"/>
    <w:rsid w:val="72684737"/>
    <w:rsid w:val="72694E43"/>
    <w:rsid w:val="72695111"/>
    <w:rsid w:val="72697041"/>
    <w:rsid w:val="726A4AC3"/>
    <w:rsid w:val="726B0346"/>
    <w:rsid w:val="726B2544"/>
    <w:rsid w:val="726C5DC7"/>
    <w:rsid w:val="726C7FC6"/>
    <w:rsid w:val="726D5A47"/>
    <w:rsid w:val="726D7DC7"/>
    <w:rsid w:val="726E12CB"/>
    <w:rsid w:val="726F7E37"/>
    <w:rsid w:val="72701EDF"/>
    <w:rsid w:val="72702A7D"/>
    <w:rsid w:val="727047CE"/>
    <w:rsid w:val="727177C1"/>
    <w:rsid w:val="72721ECF"/>
    <w:rsid w:val="72723293"/>
    <w:rsid w:val="72723FF6"/>
    <w:rsid w:val="7274320D"/>
    <w:rsid w:val="727453D2"/>
    <w:rsid w:val="72752E54"/>
    <w:rsid w:val="7278765C"/>
    <w:rsid w:val="727A15DA"/>
    <w:rsid w:val="727A2B5F"/>
    <w:rsid w:val="727B40A7"/>
    <w:rsid w:val="727C2D17"/>
    <w:rsid w:val="727D3AE3"/>
    <w:rsid w:val="727E1565"/>
    <w:rsid w:val="727F6FE6"/>
    <w:rsid w:val="72804A68"/>
    <w:rsid w:val="728124EA"/>
    <w:rsid w:val="72816F46"/>
    <w:rsid w:val="72827920"/>
    <w:rsid w:val="72827F6B"/>
    <w:rsid w:val="728359ED"/>
    <w:rsid w:val="7284346E"/>
    <w:rsid w:val="72850EF0"/>
    <w:rsid w:val="72866971"/>
    <w:rsid w:val="72881E74"/>
    <w:rsid w:val="72883B4F"/>
    <w:rsid w:val="728978F6"/>
    <w:rsid w:val="728C4A86"/>
    <w:rsid w:val="728C6641"/>
    <w:rsid w:val="728D3D7E"/>
    <w:rsid w:val="728E0759"/>
    <w:rsid w:val="728E17FF"/>
    <w:rsid w:val="728E2D77"/>
    <w:rsid w:val="728F12F7"/>
    <w:rsid w:val="728F14BC"/>
    <w:rsid w:val="728F7281"/>
    <w:rsid w:val="72901CD2"/>
    <w:rsid w:val="72901E96"/>
    <w:rsid w:val="72902B04"/>
    <w:rsid w:val="72904D02"/>
    <w:rsid w:val="72910586"/>
    <w:rsid w:val="72912870"/>
    <w:rsid w:val="72916007"/>
    <w:rsid w:val="72917C65"/>
    <w:rsid w:val="72921914"/>
    <w:rsid w:val="7293150A"/>
    <w:rsid w:val="72933DE9"/>
    <w:rsid w:val="72935C87"/>
    <w:rsid w:val="72943709"/>
    <w:rsid w:val="72944B4C"/>
    <w:rsid w:val="7295118A"/>
    <w:rsid w:val="72977F10"/>
    <w:rsid w:val="7298210F"/>
    <w:rsid w:val="72985992"/>
    <w:rsid w:val="729A0E95"/>
    <w:rsid w:val="729A5612"/>
    <w:rsid w:val="729A70AD"/>
    <w:rsid w:val="729A7784"/>
    <w:rsid w:val="729B2130"/>
    <w:rsid w:val="729B6917"/>
    <w:rsid w:val="729C4398"/>
    <w:rsid w:val="729D4CC8"/>
    <w:rsid w:val="729E0256"/>
    <w:rsid w:val="729E4018"/>
    <w:rsid w:val="729E730E"/>
    <w:rsid w:val="729F1A9A"/>
    <w:rsid w:val="729F531D"/>
    <w:rsid w:val="72A02D9E"/>
    <w:rsid w:val="72A05985"/>
    <w:rsid w:val="72A0751B"/>
    <w:rsid w:val="72A10820"/>
    <w:rsid w:val="72A16523"/>
    <w:rsid w:val="72A204A0"/>
    <w:rsid w:val="72A22A1E"/>
    <w:rsid w:val="72A262A2"/>
    <w:rsid w:val="72A35F21"/>
    <w:rsid w:val="72A57226"/>
    <w:rsid w:val="72A619EF"/>
    <w:rsid w:val="72A66EA6"/>
    <w:rsid w:val="72A7258E"/>
    <w:rsid w:val="72A72729"/>
    <w:rsid w:val="72A74928"/>
    <w:rsid w:val="72A801AB"/>
    <w:rsid w:val="72A81DAB"/>
    <w:rsid w:val="72A83B07"/>
    <w:rsid w:val="72A90E49"/>
    <w:rsid w:val="72AA36AE"/>
    <w:rsid w:val="72AA5080"/>
    <w:rsid w:val="72AA5244"/>
    <w:rsid w:val="72AA58AC"/>
    <w:rsid w:val="72AB5C1E"/>
    <w:rsid w:val="72AB5DE3"/>
    <w:rsid w:val="72AB7B7B"/>
    <w:rsid w:val="72AC4633"/>
    <w:rsid w:val="72AD20B4"/>
    <w:rsid w:val="72AE42B2"/>
    <w:rsid w:val="72AE7B36"/>
    <w:rsid w:val="72AF1D34"/>
    <w:rsid w:val="72B01473"/>
    <w:rsid w:val="72B077B6"/>
    <w:rsid w:val="72B22828"/>
    <w:rsid w:val="72B229EC"/>
    <w:rsid w:val="72B2653C"/>
    <w:rsid w:val="72B3073A"/>
    <w:rsid w:val="72B574C1"/>
    <w:rsid w:val="72B616BF"/>
    <w:rsid w:val="72B64F42"/>
    <w:rsid w:val="72B6605F"/>
    <w:rsid w:val="72B729C4"/>
    <w:rsid w:val="72B73EB2"/>
    <w:rsid w:val="72B92643"/>
    <w:rsid w:val="72B95EC7"/>
    <w:rsid w:val="72BA0D33"/>
    <w:rsid w:val="72BA3948"/>
    <w:rsid w:val="72BA5B47"/>
    <w:rsid w:val="72BD2C86"/>
    <w:rsid w:val="72BE454D"/>
    <w:rsid w:val="72BF41FF"/>
    <w:rsid w:val="72BF7DD0"/>
    <w:rsid w:val="72C00519"/>
    <w:rsid w:val="72C05852"/>
    <w:rsid w:val="72C20D55"/>
    <w:rsid w:val="72C267D6"/>
    <w:rsid w:val="72C34258"/>
    <w:rsid w:val="72C36EB5"/>
    <w:rsid w:val="72C4042E"/>
    <w:rsid w:val="72C41CD9"/>
    <w:rsid w:val="72C46456"/>
    <w:rsid w:val="72C5775B"/>
    <w:rsid w:val="72C651DC"/>
    <w:rsid w:val="72C72545"/>
    <w:rsid w:val="72C7270A"/>
    <w:rsid w:val="72C72C5E"/>
    <w:rsid w:val="72C806E0"/>
    <w:rsid w:val="72C830E4"/>
    <w:rsid w:val="72C84E5C"/>
    <w:rsid w:val="72C928DE"/>
    <w:rsid w:val="72CA035F"/>
    <w:rsid w:val="72CA3BE3"/>
    <w:rsid w:val="72CB1664"/>
    <w:rsid w:val="72CC3862"/>
    <w:rsid w:val="72CC6117"/>
    <w:rsid w:val="72CD12E4"/>
    <w:rsid w:val="72CD4B67"/>
    <w:rsid w:val="72CE6D66"/>
    <w:rsid w:val="72D0088C"/>
    <w:rsid w:val="72D05AEC"/>
    <w:rsid w:val="72D1356D"/>
    <w:rsid w:val="72D17CEA"/>
    <w:rsid w:val="72D2576C"/>
    <w:rsid w:val="72D30C6F"/>
    <w:rsid w:val="72D36A71"/>
    <w:rsid w:val="72D440E1"/>
    <w:rsid w:val="72D444F2"/>
    <w:rsid w:val="72D466F0"/>
    <w:rsid w:val="72D50275"/>
    <w:rsid w:val="72D51F74"/>
    <w:rsid w:val="72D54ABB"/>
    <w:rsid w:val="72D61BF3"/>
    <w:rsid w:val="72D67313"/>
    <w:rsid w:val="72D679F5"/>
    <w:rsid w:val="72D75477"/>
    <w:rsid w:val="72D76034"/>
    <w:rsid w:val="72D763B0"/>
    <w:rsid w:val="72D77675"/>
    <w:rsid w:val="72D82EF8"/>
    <w:rsid w:val="72D9097A"/>
    <w:rsid w:val="72D975AD"/>
    <w:rsid w:val="72DB0B26"/>
    <w:rsid w:val="72DB0CEA"/>
    <w:rsid w:val="72DB607B"/>
    <w:rsid w:val="72DC3AFD"/>
    <w:rsid w:val="72DC7380"/>
    <w:rsid w:val="72DD2263"/>
    <w:rsid w:val="72DE2883"/>
    <w:rsid w:val="72DE2C3D"/>
    <w:rsid w:val="72DF37DC"/>
    <w:rsid w:val="72E05D86"/>
    <w:rsid w:val="72E262CE"/>
    <w:rsid w:val="72E26492"/>
    <w:rsid w:val="72E3289C"/>
    <w:rsid w:val="72E32C08"/>
    <w:rsid w:val="72E41784"/>
    <w:rsid w:val="72E4478C"/>
    <w:rsid w:val="72E50D43"/>
    <w:rsid w:val="72E5220E"/>
    <w:rsid w:val="72E67C90"/>
    <w:rsid w:val="72E75711"/>
    <w:rsid w:val="72E826C1"/>
    <w:rsid w:val="72E83193"/>
    <w:rsid w:val="72EA3A76"/>
    <w:rsid w:val="72EC1B99"/>
    <w:rsid w:val="72EC5D52"/>
    <w:rsid w:val="72ED761A"/>
    <w:rsid w:val="72EF2B1D"/>
    <w:rsid w:val="72EF7CA5"/>
    <w:rsid w:val="72F113E2"/>
    <w:rsid w:val="72F21524"/>
    <w:rsid w:val="72F24EC4"/>
    <w:rsid w:val="72F25079"/>
    <w:rsid w:val="72F33A41"/>
    <w:rsid w:val="72F36FA5"/>
    <w:rsid w:val="72F44A27"/>
    <w:rsid w:val="72F64A73"/>
    <w:rsid w:val="72F65D2C"/>
    <w:rsid w:val="72F67F2A"/>
    <w:rsid w:val="72F8122F"/>
    <w:rsid w:val="72F90EAF"/>
    <w:rsid w:val="72F96B8A"/>
    <w:rsid w:val="72FA02C7"/>
    <w:rsid w:val="72FA21B3"/>
    <w:rsid w:val="72FB43B2"/>
    <w:rsid w:val="72FB7C35"/>
    <w:rsid w:val="72FC1840"/>
    <w:rsid w:val="72FC1E33"/>
    <w:rsid w:val="72FE0BBA"/>
    <w:rsid w:val="72FE2BF5"/>
    <w:rsid w:val="72FF663B"/>
    <w:rsid w:val="730040BD"/>
    <w:rsid w:val="73004332"/>
    <w:rsid w:val="73011B3E"/>
    <w:rsid w:val="73014ED1"/>
    <w:rsid w:val="73016589"/>
    <w:rsid w:val="73023D3C"/>
    <w:rsid w:val="73025992"/>
    <w:rsid w:val="730317BE"/>
    <w:rsid w:val="73042AC3"/>
    <w:rsid w:val="73047240"/>
    <w:rsid w:val="73050544"/>
    <w:rsid w:val="73055E84"/>
    <w:rsid w:val="73062743"/>
    <w:rsid w:val="730701C4"/>
    <w:rsid w:val="73070F3B"/>
    <w:rsid w:val="73073A48"/>
    <w:rsid w:val="730814C9"/>
    <w:rsid w:val="73082679"/>
    <w:rsid w:val="73085C46"/>
    <w:rsid w:val="730936C7"/>
    <w:rsid w:val="73096F4B"/>
    <w:rsid w:val="730B244E"/>
    <w:rsid w:val="730B45CC"/>
    <w:rsid w:val="730B464C"/>
    <w:rsid w:val="730B6BCA"/>
    <w:rsid w:val="730C20CE"/>
    <w:rsid w:val="730D5951"/>
    <w:rsid w:val="730D7B4F"/>
    <w:rsid w:val="730F0E54"/>
    <w:rsid w:val="730F15F2"/>
    <w:rsid w:val="731068D5"/>
    <w:rsid w:val="73114357"/>
    <w:rsid w:val="73117A99"/>
    <w:rsid w:val="73122968"/>
    <w:rsid w:val="7312785A"/>
    <w:rsid w:val="731323A8"/>
    <w:rsid w:val="731352DC"/>
    <w:rsid w:val="73140A3D"/>
    <w:rsid w:val="73142D5D"/>
    <w:rsid w:val="731474DA"/>
    <w:rsid w:val="731507DF"/>
    <w:rsid w:val="73164BEE"/>
    <w:rsid w:val="73166260"/>
    <w:rsid w:val="7317045F"/>
    <w:rsid w:val="73173CE2"/>
    <w:rsid w:val="731755C9"/>
    <w:rsid w:val="73181763"/>
    <w:rsid w:val="73184022"/>
    <w:rsid w:val="73193962"/>
    <w:rsid w:val="73196B42"/>
    <w:rsid w:val="731971E5"/>
    <w:rsid w:val="731A13E3"/>
    <w:rsid w:val="731A4C66"/>
    <w:rsid w:val="731B027F"/>
    <w:rsid w:val="731B6E65"/>
    <w:rsid w:val="731C016A"/>
    <w:rsid w:val="731D1633"/>
    <w:rsid w:val="731D3C1A"/>
    <w:rsid w:val="731D3DCF"/>
    <w:rsid w:val="731D5BEB"/>
    <w:rsid w:val="731F5D5E"/>
    <w:rsid w:val="73206B70"/>
    <w:rsid w:val="73210D6E"/>
    <w:rsid w:val="732145F1"/>
    <w:rsid w:val="73224E88"/>
    <w:rsid w:val="732267F0"/>
    <w:rsid w:val="73231CF3"/>
    <w:rsid w:val="73234271"/>
    <w:rsid w:val="73235A27"/>
    <w:rsid w:val="73252FF8"/>
    <w:rsid w:val="73257B3E"/>
    <w:rsid w:val="732706F9"/>
    <w:rsid w:val="732764FB"/>
    <w:rsid w:val="73283F7C"/>
    <w:rsid w:val="73293BFC"/>
    <w:rsid w:val="732A167E"/>
    <w:rsid w:val="732A31CF"/>
    <w:rsid w:val="732A747F"/>
    <w:rsid w:val="732B2982"/>
    <w:rsid w:val="732B3D6D"/>
    <w:rsid w:val="732B4F01"/>
    <w:rsid w:val="732B70FF"/>
    <w:rsid w:val="732D2602"/>
    <w:rsid w:val="732D52E6"/>
    <w:rsid w:val="732F5B05"/>
    <w:rsid w:val="732F669B"/>
    <w:rsid w:val="73303587"/>
    <w:rsid w:val="73306E0A"/>
    <w:rsid w:val="733073FE"/>
    <w:rsid w:val="73311008"/>
    <w:rsid w:val="7331488C"/>
    <w:rsid w:val="7331627B"/>
    <w:rsid w:val="73321515"/>
    <w:rsid w:val="7332230D"/>
    <w:rsid w:val="73326A8A"/>
    <w:rsid w:val="733428CA"/>
    <w:rsid w:val="73365490"/>
    <w:rsid w:val="73372F12"/>
    <w:rsid w:val="73376795"/>
    <w:rsid w:val="73380993"/>
    <w:rsid w:val="73384217"/>
    <w:rsid w:val="73396415"/>
    <w:rsid w:val="733A06B3"/>
    <w:rsid w:val="733A0BD4"/>
    <w:rsid w:val="733A0F3F"/>
    <w:rsid w:val="733A3E96"/>
    <w:rsid w:val="733A6CBD"/>
    <w:rsid w:val="733A771A"/>
    <w:rsid w:val="733B519B"/>
    <w:rsid w:val="733B7399"/>
    <w:rsid w:val="733B7C71"/>
    <w:rsid w:val="733C0236"/>
    <w:rsid w:val="733C2C1D"/>
    <w:rsid w:val="733C4E1B"/>
    <w:rsid w:val="733C6D0F"/>
    <w:rsid w:val="733D289D"/>
    <w:rsid w:val="733E031E"/>
    <w:rsid w:val="733F2EED"/>
    <w:rsid w:val="733F3BA1"/>
    <w:rsid w:val="734170A4"/>
    <w:rsid w:val="73424B26"/>
    <w:rsid w:val="73426D24"/>
    <w:rsid w:val="73430029"/>
    <w:rsid w:val="734325A8"/>
    <w:rsid w:val="73445AAB"/>
    <w:rsid w:val="73456F57"/>
    <w:rsid w:val="73460FAE"/>
    <w:rsid w:val="73467AF6"/>
    <w:rsid w:val="73476A2F"/>
    <w:rsid w:val="734970F1"/>
    <w:rsid w:val="734A25E8"/>
    <w:rsid w:val="734A27AC"/>
    <w:rsid w:val="734A79B4"/>
    <w:rsid w:val="734B0AAB"/>
    <w:rsid w:val="734B5436"/>
    <w:rsid w:val="734D0939"/>
    <w:rsid w:val="734E63BA"/>
    <w:rsid w:val="735018BD"/>
    <w:rsid w:val="735073B5"/>
    <w:rsid w:val="7351733F"/>
    <w:rsid w:val="73517D90"/>
    <w:rsid w:val="73517F54"/>
    <w:rsid w:val="735314CD"/>
    <w:rsid w:val="73532842"/>
    <w:rsid w:val="735402C3"/>
    <w:rsid w:val="73541EA7"/>
    <w:rsid w:val="73552A46"/>
    <w:rsid w:val="73555D45"/>
    <w:rsid w:val="73563420"/>
    <w:rsid w:val="735635E4"/>
    <w:rsid w:val="735637C7"/>
    <w:rsid w:val="73571248"/>
    <w:rsid w:val="73574030"/>
    <w:rsid w:val="73575823"/>
    <w:rsid w:val="73575B8E"/>
    <w:rsid w:val="73586CCA"/>
    <w:rsid w:val="7359474B"/>
    <w:rsid w:val="735A21CD"/>
    <w:rsid w:val="735A60D6"/>
    <w:rsid w:val="735A6C75"/>
    <w:rsid w:val="735B56D0"/>
    <w:rsid w:val="735C01EE"/>
    <w:rsid w:val="735C3151"/>
    <w:rsid w:val="735D0D8C"/>
    <w:rsid w:val="735D69D5"/>
    <w:rsid w:val="735E4456"/>
    <w:rsid w:val="73601B58"/>
    <w:rsid w:val="73607959"/>
    <w:rsid w:val="7361387E"/>
    <w:rsid w:val="736153DB"/>
    <w:rsid w:val="736175D9"/>
    <w:rsid w:val="73624258"/>
    <w:rsid w:val="7362505B"/>
    <w:rsid w:val="736308DE"/>
    <w:rsid w:val="73632ADC"/>
    <w:rsid w:val="73636360"/>
    <w:rsid w:val="73643DE1"/>
    <w:rsid w:val="73645996"/>
    <w:rsid w:val="73645BAF"/>
    <w:rsid w:val="73651863"/>
    <w:rsid w:val="73663A61"/>
    <w:rsid w:val="736714E2"/>
    <w:rsid w:val="73674D66"/>
    <w:rsid w:val="736760CB"/>
    <w:rsid w:val="73681026"/>
    <w:rsid w:val="736827E7"/>
    <w:rsid w:val="7368538E"/>
    <w:rsid w:val="73686F64"/>
    <w:rsid w:val="736A5CEA"/>
    <w:rsid w:val="736B313E"/>
    <w:rsid w:val="736B7EE9"/>
    <w:rsid w:val="736D33EC"/>
    <w:rsid w:val="736D487B"/>
    <w:rsid w:val="736D6C6F"/>
    <w:rsid w:val="736E38D1"/>
    <w:rsid w:val="736F2172"/>
    <w:rsid w:val="736F5C2F"/>
    <w:rsid w:val="737067CE"/>
    <w:rsid w:val="73707BF4"/>
    <w:rsid w:val="73711DF2"/>
    <w:rsid w:val="7371350F"/>
    <w:rsid w:val="73730B78"/>
    <w:rsid w:val="73732D77"/>
    <w:rsid w:val="737407F8"/>
    <w:rsid w:val="737465FA"/>
    <w:rsid w:val="7376008C"/>
    <w:rsid w:val="73761AFD"/>
    <w:rsid w:val="73764465"/>
    <w:rsid w:val="73773F76"/>
    <w:rsid w:val="73785000"/>
    <w:rsid w:val="737871FE"/>
    <w:rsid w:val="73794C80"/>
    <w:rsid w:val="737954EF"/>
    <w:rsid w:val="737A0503"/>
    <w:rsid w:val="737A2701"/>
    <w:rsid w:val="737B0183"/>
    <w:rsid w:val="737B3A06"/>
    <w:rsid w:val="737B5F85"/>
    <w:rsid w:val="737C1488"/>
    <w:rsid w:val="737C5C05"/>
    <w:rsid w:val="737D6F09"/>
    <w:rsid w:val="737E498B"/>
    <w:rsid w:val="737F171E"/>
    <w:rsid w:val="737F240C"/>
    <w:rsid w:val="73800C14"/>
    <w:rsid w:val="73823391"/>
    <w:rsid w:val="73823836"/>
    <w:rsid w:val="73827B0E"/>
    <w:rsid w:val="73832869"/>
    <w:rsid w:val="73834578"/>
    <w:rsid w:val="7383558F"/>
    <w:rsid w:val="73843011"/>
    <w:rsid w:val="73846894"/>
    <w:rsid w:val="73852193"/>
    <w:rsid w:val="73866514"/>
    <w:rsid w:val="73873F96"/>
    <w:rsid w:val="73881A17"/>
    <w:rsid w:val="7388529A"/>
    <w:rsid w:val="738A1B7C"/>
    <w:rsid w:val="738B18DE"/>
    <w:rsid w:val="738B299C"/>
    <w:rsid w:val="738C041D"/>
    <w:rsid w:val="738C38E2"/>
    <w:rsid w:val="738C3CA1"/>
    <w:rsid w:val="738C5E9F"/>
    <w:rsid w:val="738D3920"/>
    <w:rsid w:val="738F3940"/>
    <w:rsid w:val="738F53D1"/>
    <w:rsid w:val="738F6E24"/>
    <w:rsid w:val="739026A7"/>
    <w:rsid w:val="73905BE7"/>
    <w:rsid w:val="73905DAB"/>
    <w:rsid w:val="73912327"/>
    <w:rsid w:val="739169EA"/>
    <w:rsid w:val="73916F0B"/>
    <w:rsid w:val="73925C3E"/>
    <w:rsid w:val="73927DA8"/>
    <w:rsid w:val="7393362B"/>
    <w:rsid w:val="7394444F"/>
    <w:rsid w:val="73950D2D"/>
    <w:rsid w:val="73951E16"/>
    <w:rsid w:val="73951FDA"/>
    <w:rsid w:val="739545B0"/>
    <w:rsid w:val="739574DD"/>
    <w:rsid w:val="739667AE"/>
    <w:rsid w:val="73974230"/>
    <w:rsid w:val="73981CB2"/>
    <w:rsid w:val="739840F2"/>
    <w:rsid w:val="73985535"/>
    <w:rsid w:val="73992FB6"/>
    <w:rsid w:val="73997733"/>
    <w:rsid w:val="739A0A38"/>
    <w:rsid w:val="739B2C36"/>
    <w:rsid w:val="739B6045"/>
    <w:rsid w:val="739B64B9"/>
    <w:rsid w:val="739B6D58"/>
    <w:rsid w:val="739C06B8"/>
    <w:rsid w:val="739C3F3B"/>
    <w:rsid w:val="739D6139"/>
    <w:rsid w:val="739F0CFB"/>
    <w:rsid w:val="739F4EC0"/>
    <w:rsid w:val="73A02941"/>
    <w:rsid w:val="73A070BE"/>
    <w:rsid w:val="73A14B3F"/>
    <w:rsid w:val="73A25E44"/>
    <w:rsid w:val="73A26A77"/>
    <w:rsid w:val="73A30043"/>
    <w:rsid w:val="73A338C6"/>
    <w:rsid w:val="73A41347"/>
    <w:rsid w:val="73A43546"/>
    <w:rsid w:val="73A45AC4"/>
    <w:rsid w:val="73A56631"/>
    <w:rsid w:val="73A66A49"/>
    <w:rsid w:val="73A87D4E"/>
    <w:rsid w:val="73A957CF"/>
    <w:rsid w:val="73AA0F95"/>
    <w:rsid w:val="73AA1159"/>
    <w:rsid w:val="73AA3251"/>
    <w:rsid w:val="73AB0CD2"/>
    <w:rsid w:val="73AC26D2"/>
    <w:rsid w:val="73AC6754"/>
    <w:rsid w:val="73AD1C57"/>
    <w:rsid w:val="73AD3C4B"/>
    <w:rsid w:val="73AF3484"/>
    <w:rsid w:val="73AF51C4"/>
    <w:rsid w:val="73AF5389"/>
    <w:rsid w:val="73B0236C"/>
    <w:rsid w:val="73B05D63"/>
    <w:rsid w:val="73B1065D"/>
    <w:rsid w:val="73B115BF"/>
    <w:rsid w:val="73B37E7A"/>
    <w:rsid w:val="73B57063"/>
    <w:rsid w:val="73B61F92"/>
    <w:rsid w:val="73B64AE5"/>
    <w:rsid w:val="73B72566"/>
    <w:rsid w:val="73B72B30"/>
    <w:rsid w:val="73B777A0"/>
    <w:rsid w:val="73BA34EB"/>
    <w:rsid w:val="73BA4A84"/>
    <w:rsid w:val="73BB0F6D"/>
    <w:rsid w:val="73BB5FFC"/>
    <w:rsid w:val="73BD5740"/>
    <w:rsid w:val="73BD773A"/>
    <w:rsid w:val="73BE0114"/>
    <w:rsid w:val="73BE1EF1"/>
    <w:rsid w:val="73BE4472"/>
    <w:rsid w:val="73BF3510"/>
    <w:rsid w:val="73BF4107"/>
    <w:rsid w:val="73C123F0"/>
    <w:rsid w:val="73C2417B"/>
    <w:rsid w:val="73C31BFC"/>
    <w:rsid w:val="73C36379"/>
    <w:rsid w:val="73C37F71"/>
    <w:rsid w:val="73C4187C"/>
    <w:rsid w:val="73C4767E"/>
    <w:rsid w:val="73C51AD5"/>
    <w:rsid w:val="73C62B81"/>
    <w:rsid w:val="73C658BC"/>
    <w:rsid w:val="73C72801"/>
    <w:rsid w:val="73C7645B"/>
    <w:rsid w:val="73C764D5"/>
    <w:rsid w:val="73C80282"/>
    <w:rsid w:val="73C86084"/>
    <w:rsid w:val="73C86FF9"/>
    <w:rsid w:val="73C90572"/>
    <w:rsid w:val="73C93B06"/>
    <w:rsid w:val="73C95D04"/>
    <w:rsid w:val="73CA1587"/>
    <w:rsid w:val="73CA4C19"/>
    <w:rsid w:val="73CC250C"/>
    <w:rsid w:val="73CC4A8A"/>
    <w:rsid w:val="73CC6C88"/>
    <w:rsid w:val="73CD3228"/>
    <w:rsid w:val="73CD620E"/>
    <w:rsid w:val="73CD7F8D"/>
    <w:rsid w:val="73CE5A0F"/>
    <w:rsid w:val="73CE6058"/>
    <w:rsid w:val="73CF3490"/>
    <w:rsid w:val="73D00F12"/>
    <w:rsid w:val="73D0568F"/>
    <w:rsid w:val="73D15EDF"/>
    <w:rsid w:val="73D24415"/>
    <w:rsid w:val="73D31E97"/>
    <w:rsid w:val="73D36613"/>
    <w:rsid w:val="73D44095"/>
    <w:rsid w:val="73D47918"/>
    <w:rsid w:val="73D51B16"/>
    <w:rsid w:val="73D53EF2"/>
    <w:rsid w:val="73D5539A"/>
    <w:rsid w:val="73D67598"/>
    <w:rsid w:val="73D75019"/>
    <w:rsid w:val="73D82A9B"/>
    <w:rsid w:val="73D9051D"/>
    <w:rsid w:val="73D93DA0"/>
    <w:rsid w:val="73D95029"/>
    <w:rsid w:val="73DA1821"/>
    <w:rsid w:val="73DA2545"/>
    <w:rsid w:val="73DA4A3B"/>
    <w:rsid w:val="73DA4BFF"/>
    <w:rsid w:val="73DB3A20"/>
    <w:rsid w:val="73DB579E"/>
    <w:rsid w:val="73DB72A3"/>
    <w:rsid w:val="73DC0F0C"/>
    <w:rsid w:val="73DC3080"/>
    <w:rsid w:val="73DC4D25"/>
    <w:rsid w:val="73DC6178"/>
    <w:rsid w:val="73DE2426"/>
    <w:rsid w:val="73DF5CA9"/>
    <w:rsid w:val="73E111AC"/>
    <w:rsid w:val="73E133AB"/>
    <w:rsid w:val="73E20E2C"/>
    <w:rsid w:val="73E2612C"/>
    <w:rsid w:val="73E26C2E"/>
    <w:rsid w:val="73E5505E"/>
    <w:rsid w:val="73E55634"/>
    <w:rsid w:val="73E67832"/>
    <w:rsid w:val="73E76412"/>
    <w:rsid w:val="73E82D35"/>
    <w:rsid w:val="73E907B7"/>
    <w:rsid w:val="73E9403A"/>
    <w:rsid w:val="73EA052A"/>
    <w:rsid w:val="73EA1ABC"/>
    <w:rsid w:val="73EA3012"/>
    <w:rsid w:val="73EB241B"/>
    <w:rsid w:val="73EB753D"/>
    <w:rsid w:val="73EF26C0"/>
    <w:rsid w:val="73EF3BBA"/>
    <w:rsid w:val="73EF5F44"/>
    <w:rsid w:val="73F00142"/>
    <w:rsid w:val="73F039C5"/>
    <w:rsid w:val="73F11447"/>
    <w:rsid w:val="73F23645"/>
    <w:rsid w:val="73F3724A"/>
    <w:rsid w:val="73F409A8"/>
    <w:rsid w:val="73F445CA"/>
    <w:rsid w:val="73F46B48"/>
    <w:rsid w:val="73F57E4D"/>
    <w:rsid w:val="73F6588F"/>
    <w:rsid w:val="73F658CE"/>
    <w:rsid w:val="73F71F01"/>
    <w:rsid w:val="73F80DD1"/>
    <w:rsid w:val="73F82A9F"/>
    <w:rsid w:val="73F85B5B"/>
    <w:rsid w:val="73F90A51"/>
    <w:rsid w:val="73F94F64"/>
    <w:rsid w:val="73F952CF"/>
    <w:rsid w:val="73FA4018"/>
    <w:rsid w:val="73FA42D5"/>
    <w:rsid w:val="73FA64D3"/>
    <w:rsid w:val="73FB1D56"/>
    <w:rsid w:val="73FB3F54"/>
    <w:rsid w:val="73FB4BB7"/>
    <w:rsid w:val="73FB4CB6"/>
    <w:rsid w:val="73FB52EC"/>
    <w:rsid w:val="73FE4ED9"/>
    <w:rsid w:val="73FE6B0A"/>
    <w:rsid w:val="73FE6CCE"/>
    <w:rsid w:val="73FF61DE"/>
    <w:rsid w:val="73FF7401"/>
    <w:rsid w:val="740003DC"/>
    <w:rsid w:val="74000DE6"/>
    <w:rsid w:val="74003C5F"/>
    <w:rsid w:val="740116E1"/>
    <w:rsid w:val="740117C0"/>
    <w:rsid w:val="74015E5E"/>
    <w:rsid w:val="74031361"/>
    <w:rsid w:val="74042666"/>
    <w:rsid w:val="740542B2"/>
    <w:rsid w:val="74054864"/>
    <w:rsid w:val="740622E5"/>
    <w:rsid w:val="74064E51"/>
    <w:rsid w:val="74065ABE"/>
    <w:rsid w:val="740735EA"/>
    <w:rsid w:val="74077D67"/>
    <w:rsid w:val="7408106C"/>
    <w:rsid w:val="7408658E"/>
    <w:rsid w:val="74096F68"/>
    <w:rsid w:val="740B06A5"/>
    <w:rsid w:val="740B676D"/>
    <w:rsid w:val="740C41EF"/>
    <w:rsid w:val="740D1C1E"/>
    <w:rsid w:val="740D1C70"/>
    <w:rsid w:val="740D27BD"/>
    <w:rsid w:val="740D54F4"/>
    <w:rsid w:val="740E5173"/>
    <w:rsid w:val="740F09F7"/>
    <w:rsid w:val="740F3D36"/>
    <w:rsid w:val="74106478"/>
    <w:rsid w:val="74113EFA"/>
    <w:rsid w:val="741152AF"/>
    <w:rsid w:val="74152900"/>
    <w:rsid w:val="7415295F"/>
    <w:rsid w:val="74161D68"/>
    <w:rsid w:val="74163C02"/>
    <w:rsid w:val="74181306"/>
    <w:rsid w:val="741D578E"/>
    <w:rsid w:val="741D60E7"/>
    <w:rsid w:val="741E320F"/>
    <w:rsid w:val="741E6C86"/>
    <w:rsid w:val="741E793C"/>
    <w:rsid w:val="741F7660"/>
    <w:rsid w:val="742001FF"/>
    <w:rsid w:val="742003C3"/>
    <w:rsid w:val="74206713"/>
    <w:rsid w:val="74214194"/>
    <w:rsid w:val="74237697"/>
    <w:rsid w:val="74253CB9"/>
    <w:rsid w:val="74254390"/>
    <w:rsid w:val="7426061C"/>
    <w:rsid w:val="74283B1F"/>
    <w:rsid w:val="74294E24"/>
    <w:rsid w:val="742A7022"/>
    <w:rsid w:val="742C5DA8"/>
    <w:rsid w:val="742D1D9A"/>
    <w:rsid w:val="742D7FA7"/>
    <w:rsid w:val="742E34AA"/>
    <w:rsid w:val="742F0F2B"/>
    <w:rsid w:val="743047AF"/>
    <w:rsid w:val="743069AD"/>
    <w:rsid w:val="74312A1D"/>
    <w:rsid w:val="74321EB0"/>
    <w:rsid w:val="74325266"/>
    <w:rsid w:val="7432542B"/>
    <w:rsid w:val="74327E3A"/>
    <w:rsid w:val="74336D22"/>
    <w:rsid w:val="74345C0A"/>
    <w:rsid w:val="743469A4"/>
    <w:rsid w:val="743566B8"/>
    <w:rsid w:val="743608B6"/>
    <w:rsid w:val="74367F1C"/>
    <w:rsid w:val="74371BBB"/>
    <w:rsid w:val="74376338"/>
    <w:rsid w:val="74384AB6"/>
    <w:rsid w:val="743A2B40"/>
    <w:rsid w:val="743C27BF"/>
    <w:rsid w:val="743C4B26"/>
    <w:rsid w:val="743D3AC4"/>
    <w:rsid w:val="743E1546"/>
    <w:rsid w:val="743E609F"/>
    <w:rsid w:val="743F3744"/>
    <w:rsid w:val="743F6E02"/>
    <w:rsid w:val="743F6FC7"/>
    <w:rsid w:val="744011C6"/>
    <w:rsid w:val="74404A49"/>
    <w:rsid w:val="74411194"/>
    <w:rsid w:val="744124CA"/>
    <w:rsid w:val="74416C47"/>
    <w:rsid w:val="74420E29"/>
    <w:rsid w:val="744246C9"/>
    <w:rsid w:val="7443214A"/>
    <w:rsid w:val="74432492"/>
    <w:rsid w:val="74450ED1"/>
    <w:rsid w:val="744530CF"/>
    <w:rsid w:val="74453847"/>
    <w:rsid w:val="74453A0B"/>
    <w:rsid w:val="74460B51"/>
    <w:rsid w:val="74466952"/>
    <w:rsid w:val="744743D4"/>
    <w:rsid w:val="74484054"/>
    <w:rsid w:val="744A7557"/>
    <w:rsid w:val="744B2DDA"/>
    <w:rsid w:val="744B4FD8"/>
    <w:rsid w:val="744B7C3A"/>
    <w:rsid w:val="744C085C"/>
    <w:rsid w:val="744D04DB"/>
    <w:rsid w:val="744D3D5F"/>
    <w:rsid w:val="744D62DD"/>
    <w:rsid w:val="744E1D52"/>
    <w:rsid w:val="744E5F5D"/>
    <w:rsid w:val="744F39DE"/>
    <w:rsid w:val="744F471E"/>
    <w:rsid w:val="74503106"/>
    <w:rsid w:val="745032CB"/>
    <w:rsid w:val="74504CE3"/>
    <w:rsid w:val="74524963"/>
    <w:rsid w:val="745323E5"/>
    <w:rsid w:val="74535F81"/>
    <w:rsid w:val="745436E9"/>
    <w:rsid w:val="74547E66"/>
    <w:rsid w:val="745558E8"/>
    <w:rsid w:val="745574FA"/>
    <w:rsid w:val="74563369"/>
    <w:rsid w:val="74567ED4"/>
    <w:rsid w:val="74570DEB"/>
    <w:rsid w:val="74581611"/>
    <w:rsid w:val="745820F0"/>
    <w:rsid w:val="7458686C"/>
    <w:rsid w:val="74597B71"/>
    <w:rsid w:val="745A1D70"/>
    <w:rsid w:val="745B3564"/>
    <w:rsid w:val="745B77F1"/>
    <w:rsid w:val="745C0AF6"/>
    <w:rsid w:val="745D0776"/>
    <w:rsid w:val="745D2CF4"/>
    <w:rsid w:val="745E3944"/>
    <w:rsid w:val="745E61F7"/>
    <w:rsid w:val="745E64BA"/>
    <w:rsid w:val="745F3C79"/>
    <w:rsid w:val="745F4E81"/>
    <w:rsid w:val="745F5C2E"/>
    <w:rsid w:val="745F6056"/>
    <w:rsid w:val="746074FC"/>
    <w:rsid w:val="74607793"/>
    <w:rsid w:val="74610332"/>
    <w:rsid w:val="7461717C"/>
    <w:rsid w:val="74624BFD"/>
    <w:rsid w:val="74630481"/>
    <w:rsid w:val="74646C25"/>
    <w:rsid w:val="74652E24"/>
    <w:rsid w:val="74652FE8"/>
    <w:rsid w:val="74655B82"/>
    <w:rsid w:val="74663604"/>
    <w:rsid w:val="74666E87"/>
    <w:rsid w:val="74671085"/>
    <w:rsid w:val="7467439D"/>
    <w:rsid w:val="7468238A"/>
    <w:rsid w:val="74682796"/>
    <w:rsid w:val="74684F3B"/>
    <w:rsid w:val="74694588"/>
    <w:rsid w:val="74697E0C"/>
    <w:rsid w:val="746A200A"/>
    <w:rsid w:val="746A4FA7"/>
    <w:rsid w:val="746A588D"/>
    <w:rsid w:val="746A64B4"/>
    <w:rsid w:val="746B330F"/>
    <w:rsid w:val="746C0D90"/>
    <w:rsid w:val="746C7BF2"/>
    <w:rsid w:val="746D040B"/>
    <w:rsid w:val="746D116A"/>
    <w:rsid w:val="746D6812"/>
    <w:rsid w:val="746E0A10"/>
    <w:rsid w:val="746E1B45"/>
    <w:rsid w:val="74707796"/>
    <w:rsid w:val="74711995"/>
    <w:rsid w:val="74715218"/>
    <w:rsid w:val="74745D74"/>
    <w:rsid w:val="74753C1E"/>
    <w:rsid w:val="747616A0"/>
    <w:rsid w:val="74777121"/>
    <w:rsid w:val="74777E8B"/>
    <w:rsid w:val="74784BA3"/>
    <w:rsid w:val="747A2167"/>
    <w:rsid w:val="747B5B27"/>
    <w:rsid w:val="747B7C0F"/>
    <w:rsid w:val="747C35A9"/>
    <w:rsid w:val="747E452E"/>
    <w:rsid w:val="747E6AAC"/>
    <w:rsid w:val="74806BAC"/>
    <w:rsid w:val="74807A31"/>
    <w:rsid w:val="748309B5"/>
    <w:rsid w:val="74841A27"/>
    <w:rsid w:val="74852E4A"/>
    <w:rsid w:val="74853EB9"/>
    <w:rsid w:val="74862FA0"/>
    <w:rsid w:val="748773BC"/>
    <w:rsid w:val="74884E3D"/>
    <w:rsid w:val="748928BF"/>
    <w:rsid w:val="74894EF3"/>
    <w:rsid w:val="74895A91"/>
    <w:rsid w:val="748A4EA4"/>
    <w:rsid w:val="748B3D8C"/>
    <w:rsid w:val="748B40F7"/>
    <w:rsid w:val="748B5DC2"/>
    <w:rsid w:val="748C3843"/>
    <w:rsid w:val="748D12C5"/>
    <w:rsid w:val="748E25CA"/>
    <w:rsid w:val="748F004B"/>
    <w:rsid w:val="748F1AFC"/>
    <w:rsid w:val="748F1CC1"/>
    <w:rsid w:val="74905ACD"/>
    <w:rsid w:val="74917CCB"/>
    <w:rsid w:val="74920FD0"/>
    <w:rsid w:val="749347B2"/>
    <w:rsid w:val="74936A51"/>
    <w:rsid w:val="749566D1"/>
    <w:rsid w:val="74961BD4"/>
    <w:rsid w:val="74964153"/>
    <w:rsid w:val="74967468"/>
    <w:rsid w:val="74970007"/>
    <w:rsid w:val="74977656"/>
    <w:rsid w:val="74980BA6"/>
    <w:rsid w:val="74982ED9"/>
    <w:rsid w:val="74983A1F"/>
    <w:rsid w:val="74987F0D"/>
    <w:rsid w:val="7499095B"/>
    <w:rsid w:val="74996A8A"/>
    <w:rsid w:val="749A1F5A"/>
    <w:rsid w:val="749A63DC"/>
    <w:rsid w:val="749B605C"/>
    <w:rsid w:val="749C18DF"/>
    <w:rsid w:val="749C2AA6"/>
    <w:rsid w:val="749C3698"/>
    <w:rsid w:val="749C3ADE"/>
    <w:rsid w:val="749D7361"/>
    <w:rsid w:val="749F02E6"/>
    <w:rsid w:val="749F4A62"/>
    <w:rsid w:val="749F4E75"/>
    <w:rsid w:val="749F55EB"/>
    <w:rsid w:val="74A024E4"/>
    <w:rsid w:val="74A137E9"/>
    <w:rsid w:val="74A16D28"/>
    <w:rsid w:val="74A17F65"/>
    <w:rsid w:val="74A2126A"/>
    <w:rsid w:val="74A27702"/>
    <w:rsid w:val="74A36CEC"/>
    <w:rsid w:val="74A40EEA"/>
    <w:rsid w:val="74A67C70"/>
    <w:rsid w:val="74A71E6F"/>
    <w:rsid w:val="74A721F0"/>
    <w:rsid w:val="74A756F2"/>
    <w:rsid w:val="74A83174"/>
    <w:rsid w:val="74A878F0"/>
    <w:rsid w:val="74A90BF5"/>
    <w:rsid w:val="74AA2DF3"/>
    <w:rsid w:val="74AA5A49"/>
    <w:rsid w:val="74AA6677"/>
    <w:rsid w:val="74AB354D"/>
    <w:rsid w:val="74AB40F8"/>
    <w:rsid w:val="74AD3D78"/>
    <w:rsid w:val="74AD75FB"/>
    <w:rsid w:val="74AE053B"/>
    <w:rsid w:val="74AE17FA"/>
    <w:rsid w:val="74AE2AF4"/>
    <w:rsid w:val="74AF129E"/>
    <w:rsid w:val="74AF2AFE"/>
    <w:rsid w:val="74AF4CFD"/>
    <w:rsid w:val="74B00580"/>
    <w:rsid w:val="74B12817"/>
    <w:rsid w:val="74B25C81"/>
    <w:rsid w:val="74B33703"/>
    <w:rsid w:val="74B41184"/>
    <w:rsid w:val="74B45308"/>
    <w:rsid w:val="74B46F86"/>
    <w:rsid w:val="74B56C06"/>
    <w:rsid w:val="74B66A46"/>
    <w:rsid w:val="74B67F0B"/>
    <w:rsid w:val="74B8340E"/>
    <w:rsid w:val="74BA1537"/>
    <w:rsid w:val="74BA308E"/>
    <w:rsid w:val="74BA6911"/>
    <w:rsid w:val="74BB7017"/>
    <w:rsid w:val="74BC1E14"/>
    <w:rsid w:val="74BC6591"/>
    <w:rsid w:val="74BD364F"/>
    <w:rsid w:val="74BD4012"/>
    <w:rsid w:val="74BD7896"/>
    <w:rsid w:val="74BE1A94"/>
    <w:rsid w:val="74BE5317"/>
    <w:rsid w:val="74BF2D99"/>
    <w:rsid w:val="74BF4BC8"/>
    <w:rsid w:val="74C0081A"/>
    <w:rsid w:val="74C04F97"/>
    <w:rsid w:val="74C12A19"/>
    <w:rsid w:val="74C2049A"/>
    <w:rsid w:val="74C30258"/>
    <w:rsid w:val="74C35F1C"/>
    <w:rsid w:val="74C37BC5"/>
    <w:rsid w:val="74C4399D"/>
    <w:rsid w:val="74C46742"/>
    <w:rsid w:val="74C47221"/>
    <w:rsid w:val="74C5141F"/>
    <w:rsid w:val="74C53226"/>
    <w:rsid w:val="74C557E0"/>
    <w:rsid w:val="74C55B4B"/>
    <w:rsid w:val="74C62370"/>
    <w:rsid w:val="74C62724"/>
    <w:rsid w:val="74C64922"/>
    <w:rsid w:val="74C701A5"/>
    <w:rsid w:val="74C723A3"/>
    <w:rsid w:val="74C72F0F"/>
    <w:rsid w:val="74C838E9"/>
    <w:rsid w:val="74C83AAD"/>
    <w:rsid w:val="74C936A8"/>
    <w:rsid w:val="74C958A7"/>
    <w:rsid w:val="74CA112A"/>
    <w:rsid w:val="74CC462D"/>
    <w:rsid w:val="74CC682B"/>
    <w:rsid w:val="74CD42AD"/>
    <w:rsid w:val="74CE06B6"/>
    <w:rsid w:val="74CE7B30"/>
    <w:rsid w:val="74CF1091"/>
    <w:rsid w:val="74D00AB5"/>
    <w:rsid w:val="74D12037"/>
    <w:rsid w:val="74D20F1F"/>
    <w:rsid w:val="74D361B6"/>
    <w:rsid w:val="74D478E6"/>
    <w:rsid w:val="74D54F3C"/>
    <w:rsid w:val="74D65E5E"/>
    <w:rsid w:val="74D6713B"/>
    <w:rsid w:val="74D70440"/>
    <w:rsid w:val="74D76839"/>
    <w:rsid w:val="74D85EC1"/>
    <w:rsid w:val="74D97F76"/>
    <w:rsid w:val="74DA0950"/>
    <w:rsid w:val="74DA5B41"/>
    <w:rsid w:val="74DC2A68"/>
    <w:rsid w:val="74DC48C7"/>
    <w:rsid w:val="74DD2349"/>
    <w:rsid w:val="74DE3FE1"/>
    <w:rsid w:val="74DE41A5"/>
    <w:rsid w:val="74DE7DCA"/>
    <w:rsid w:val="74E032CD"/>
    <w:rsid w:val="74E1294F"/>
    <w:rsid w:val="74E13026"/>
    <w:rsid w:val="74E162BD"/>
    <w:rsid w:val="74E20230"/>
    <w:rsid w:val="74E21D58"/>
    <w:rsid w:val="74E225E4"/>
    <w:rsid w:val="74E2320D"/>
    <w:rsid w:val="74E34252"/>
    <w:rsid w:val="74E37836"/>
    <w:rsid w:val="74E40210"/>
    <w:rsid w:val="74E41CD4"/>
    <w:rsid w:val="74E57755"/>
    <w:rsid w:val="74E651D7"/>
    <w:rsid w:val="74E8615B"/>
    <w:rsid w:val="74E938A0"/>
    <w:rsid w:val="74E93A65"/>
    <w:rsid w:val="74EA165E"/>
    <w:rsid w:val="74EC6556"/>
    <w:rsid w:val="74EE0065"/>
    <w:rsid w:val="74EE7ACF"/>
    <w:rsid w:val="74F03568"/>
    <w:rsid w:val="74F2294A"/>
    <w:rsid w:val="74F457F1"/>
    <w:rsid w:val="74F53273"/>
    <w:rsid w:val="74F65471"/>
    <w:rsid w:val="74F76776"/>
    <w:rsid w:val="74F8738F"/>
    <w:rsid w:val="74F900F2"/>
    <w:rsid w:val="74F963F6"/>
    <w:rsid w:val="74F97F2D"/>
    <w:rsid w:val="74FA76FB"/>
    <w:rsid w:val="74FB166B"/>
    <w:rsid w:val="74FC2045"/>
    <w:rsid w:val="74FC2BFE"/>
    <w:rsid w:val="74FD2A1F"/>
    <w:rsid w:val="74FD4DFC"/>
    <w:rsid w:val="74FE287D"/>
    <w:rsid w:val="74FE3782"/>
    <w:rsid w:val="74FF02FF"/>
    <w:rsid w:val="74FF5D81"/>
    <w:rsid w:val="75001604"/>
    <w:rsid w:val="75011284"/>
    <w:rsid w:val="75017085"/>
    <w:rsid w:val="75026D05"/>
    <w:rsid w:val="75032589"/>
    <w:rsid w:val="75036C4E"/>
    <w:rsid w:val="75036E13"/>
    <w:rsid w:val="75055A8C"/>
    <w:rsid w:val="7506570B"/>
    <w:rsid w:val="75076A10"/>
    <w:rsid w:val="75080C0F"/>
    <w:rsid w:val="75093A1C"/>
    <w:rsid w:val="750A4112"/>
    <w:rsid w:val="750A43F6"/>
    <w:rsid w:val="750A45BB"/>
    <w:rsid w:val="750A7995"/>
    <w:rsid w:val="750B5416"/>
    <w:rsid w:val="750C2CDE"/>
    <w:rsid w:val="750C7615"/>
    <w:rsid w:val="750D1087"/>
    <w:rsid w:val="750D20E7"/>
    <w:rsid w:val="750D5096"/>
    <w:rsid w:val="750E2B18"/>
    <w:rsid w:val="750F0599"/>
    <w:rsid w:val="7510189E"/>
    <w:rsid w:val="7510601B"/>
    <w:rsid w:val="75113A9C"/>
    <w:rsid w:val="7512151E"/>
    <w:rsid w:val="75121D63"/>
    <w:rsid w:val="7513273D"/>
    <w:rsid w:val="751332DC"/>
    <w:rsid w:val="751402A4"/>
    <w:rsid w:val="751524A3"/>
    <w:rsid w:val="75154854"/>
    <w:rsid w:val="75155D26"/>
    <w:rsid w:val="751637A7"/>
    <w:rsid w:val="75167F24"/>
    <w:rsid w:val="75173427"/>
    <w:rsid w:val="75180EA9"/>
    <w:rsid w:val="75186CAB"/>
    <w:rsid w:val="7519472C"/>
    <w:rsid w:val="7519692A"/>
    <w:rsid w:val="751A21AE"/>
    <w:rsid w:val="751A43AC"/>
    <w:rsid w:val="751A5150"/>
    <w:rsid w:val="751A7EE5"/>
    <w:rsid w:val="751B1E2E"/>
    <w:rsid w:val="751B4559"/>
    <w:rsid w:val="751B554A"/>
    <w:rsid w:val="751B7C2F"/>
    <w:rsid w:val="751C56B1"/>
    <w:rsid w:val="751C78AF"/>
    <w:rsid w:val="751D3132"/>
    <w:rsid w:val="751D5331"/>
    <w:rsid w:val="751E19FE"/>
    <w:rsid w:val="751E2DB2"/>
    <w:rsid w:val="751F0834"/>
    <w:rsid w:val="751F373A"/>
    <w:rsid w:val="751F6635"/>
    <w:rsid w:val="752062B5"/>
    <w:rsid w:val="75213D37"/>
    <w:rsid w:val="752175BA"/>
    <w:rsid w:val="7522503C"/>
    <w:rsid w:val="75232ABD"/>
    <w:rsid w:val="7523723A"/>
    <w:rsid w:val="7524053F"/>
    <w:rsid w:val="75244CBB"/>
    <w:rsid w:val="752477A4"/>
    <w:rsid w:val="75255FC0"/>
    <w:rsid w:val="752601BF"/>
    <w:rsid w:val="75260EE2"/>
    <w:rsid w:val="75263A42"/>
    <w:rsid w:val="752714C3"/>
    <w:rsid w:val="75271A80"/>
    <w:rsid w:val="75275C40"/>
    <w:rsid w:val="75280003"/>
    <w:rsid w:val="752836C2"/>
    <w:rsid w:val="75286F45"/>
    <w:rsid w:val="75291143"/>
    <w:rsid w:val="75292FF9"/>
    <w:rsid w:val="752949C6"/>
    <w:rsid w:val="752A39D3"/>
    <w:rsid w:val="752A62F4"/>
    <w:rsid w:val="752A6BC5"/>
    <w:rsid w:val="752B4646"/>
    <w:rsid w:val="752B7ECA"/>
    <w:rsid w:val="752C594B"/>
    <w:rsid w:val="752D33CD"/>
    <w:rsid w:val="752D7B49"/>
    <w:rsid w:val="752E7064"/>
    <w:rsid w:val="752F0ACE"/>
    <w:rsid w:val="752F7C03"/>
    <w:rsid w:val="75304351"/>
    <w:rsid w:val="75311DD3"/>
    <w:rsid w:val="753328B9"/>
    <w:rsid w:val="753374D4"/>
    <w:rsid w:val="75344F56"/>
    <w:rsid w:val="75346176"/>
    <w:rsid w:val="753507D9"/>
    <w:rsid w:val="753529D7"/>
    <w:rsid w:val="7536625B"/>
    <w:rsid w:val="75375EDA"/>
    <w:rsid w:val="7538395C"/>
    <w:rsid w:val="753913DE"/>
    <w:rsid w:val="753A26E2"/>
    <w:rsid w:val="753B0164"/>
    <w:rsid w:val="753C15DA"/>
    <w:rsid w:val="753C2362"/>
    <w:rsid w:val="753D7DE4"/>
    <w:rsid w:val="753F32E7"/>
    <w:rsid w:val="75400D68"/>
    <w:rsid w:val="75404290"/>
    <w:rsid w:val="754045EC"/>
    <w:rsid w:val="7541206D"/>
    <w:rsid w:val="754167EA"/>
    <w:rsid w:val="75435570"/>
    <w:rsid w:val="754414FE"/>
    <w:rsid w:val="754424CF"/>
    <w:rsid w:val="75450A73"/>
    <w:rsid w:val="754602FA"/>
    <w:rsid w:val="7546457C"/>
    <w:rsid w:val="75470E99"/>
    <w:rsid w:val="75473464"/>
    <w:rsid w:val="75473F77"/>
    <w:rsid w:val="754819F8"/>
    <w:rsid w:val="75492412"/>
    <w:rsid w:val="7549747A"/>
    <w:rsid w:val="754A4EFB"/>
    <w:rsid w:val="754B297D"/>
    <w:rsid w:val="754C03FE"/>
    <w:rsid w:val="754C50C8"/>
    <w:rsid w:val="754D5C67"/>
    <w:rsid w:val="754E3901"/>
    <w:rsid w:val="754F1383"/>
    <w:rsid w:val="75527D89"/>
    <w:rsid w:val="7554328C"/>
    <w:rsid w:val="755469EE"/>
    <w:rsid w:val="75550D0E"/>
    <w:rsid w:val="75552505"/>
    <w:rsid w:val="7555324A"/>
    <w:rsid w:val="75564973"/>
    <w:rsid w:val="75564988"/>
    <w:rsid w:val="75574211"/>
    <w:rsid w:val="75575526"/>
    <w:rsid w:val="75581C92"/>
    <w:rsid w:val="75585F01"/>
    <w:rsid w:val="75597714"/>
    <w:rsid w:val="755A0A19"/>
    <w:rsid w:val="755B0018"/>
    <w:rsid w:val="755C3F1C"/>
    <w:rsid w:val="755D199D"/>
    <w:rsid w:val="755D3327"/>
    <w:rsid w:val="755E36F2"/>
    <w:rsid w:val="755F4EA1"/>
    <w:rsid w:val="756036A9"/>
    <w:rsid w:val="75614083"/>
    <w:rsid w:val="75614B20"/>
    <w:rsid w:val="756225A2"/>
    <w:rsid w:val="75624DE6"/>
    <w:rsid w:val="75625E25"/>
    <w:rsid w:val="75641328"/>
    <w:rsid w:val="75645AA5"/>
    <w:rsid w:val="7564635F"/>
    <w:rsid w:val="75647671"/>
    <w:rsid w:val="75653527"/>
    <w:rsid w:val="75660FA8"/>
    <w:rsid w:val="75676A2A"/>
    <w:rsid w:val="7568182B"/>
    <w:rsid w:val="75681F2D"/>
    <w:rsid w:val="756844AB"/>
    <w:rsid w:val="75687D2E"/>
    <w:rsid w:val="756A2F68"/>
    <w:rsid w:val="756A3232"/>
    <w:rsid w:val="756C6735"/>
    <w:rsid w:val="756D41B6"/>
    <w:rsid w:val="756D63B5"/>
    <w:rsid w:val="756E5A5A"/>
    <w:rsid w:val="756F513B"/>
    <w:rsid w:val="756F76B9"/>
    <w:rsid w:val="75707339"/>
    <w:rsid w:val="75717B71"/>
    <w:rsid w:val="75720710"/>
    <w:rsid w:val="757212AF"/>
    <w:rsid w:val="757260C0"/>
    <w:rsid w:val="757302BE"/>
    <w:rsid w:val="75733B41"/>
    <w:rsid w:val="757533C6"/>
    <w:rsid w:val="75757044"/>
    <w:rsid w:val="75763F65"/>
    <w:rsid w:val="75772547"/>
    <w:rsid w:val="75795A4A"/>
    <w:rsid w:val="757A34CC"/>
    <w:rsid w:val="757B0F4D"/>
    <w:rsid w:val="757B56CA"/>
    <w:rsid w:val="757C314C"/>
    <w:rsid w:val="757D09AA"/>
    <w:rsid w:val="757D4451"/>
    <w:rsid w:val="757E170D"/>
    <w:rsid w:val="757E1ED2"/>
    <w:rsid w:val="757E664F"/>
    <w:rsid w:val="757F40D0"/>
    <w:rsid w:val="757F7954"/>
    <w:rsid w:val="75802C86"/>
    <w:rsid w:val="75803660"/>
    <w:rsid w:val="758075D4"/>
    <w:rsid w:val="75822AD7"/>
    <w:rsid w:val="75830558"/>
    <w:rsid w:val="75843DDB"/>
    <w:rsid w:val="75845FDA"/>
    <w:rsid w:val="7585185D"/>
    <w:rsid w:val="758672DF"/>
    <w:rsid w:val="75874D60"/>
    <w:rsid w:val="75876F5E"/>
    <w:rsid w:val="75880263"/>
    <w:rsid w:val="758827E2"/>
    <w:rsid w:val="75892461"/>
    <w:rsid w:val="75895CE5"/>
    <w:rsid w:val="758A2381"/>
    <w:rsid w:val="758A3766"/>
    <w:rsid w:val="758B11E8"/>
    <w:rsid w:val="758B2F20"/>
    <w:rsid w:val="758B5965"/>
    <w:rsid w:val="758C33E6"/>
    <w:rsid w:val="758C6C69"/>
    <w:rsid w:val="758D0E68"/>
    <w:rsid w:val="758D46EB"/>
    <w:rsid w:val="758F7BB5"/>
    <w:rsid w:val="75905670"/>
    <w:rsid w:val="759078B1"/>
    <w:rsid w:val="759130F1"/>
    <w:rsid w:val="75917CED"/>
    <w:rsid w:val="7592088C"/>
    <w:rsid w:val="75920B73"/>
    <w:rsid w:val="75932D71"/>
    <w:rsid w:val="759365F4"/>
    <w:rsid w:val="759407F3"/>
    <w:rsid w:val="75941E05"/>
    <w:rsid w:val="75944076"/>
    <w:rsid w:val="759529A3"/>
    <w:rsid w:val="75963CF6"/>
    <w:rsid w:val="75971777"/>
    <w:rsid w:val="75973D58"/>
    <w:rsid w:val="75982A7C"/>
    <w:rsid w:val="75984ABB"/>
    <w:rsid w:val="75984C7A"/>
    <w:rsid w:val="759871F9"/>
    <w:rsid w:val="759904FE"/>
    <w:rsid w:val="759926FC"/>
    <w:rsid w:val="75995495"/>
    <w:rsid w:val="759A017D"/>
    <w:rsid w:val="759A5F7F"/>
    <w:rsid w:val="759B75AD"/>
    <w:rsid w:val="759C1482"/>
    <w:rsid w:val="759D1102"/>
    <w:rsid w:val="759E0F0F"/>
    <w:rsid w:val="759E6B84"/>
    <w:rsid w:val="759F4605"/>
    <w:rsid w:val="75A02087"/>
    <w:rsid w:val="75A07E88"/>
    <w:rsid w:val="75A17B08"/>
    <w:rsid w:val="75A241B6"/>
    <w:rsid w:val="75A44310"/>
    <w:rsid w:val="75A51D92"/>
    <w:rsid w:val="75A5650E"/>
    <w:rsid w:val="75A67813"/>
    <w:rsid w:val="75A71A11"/>
    <w:rsid w:val="75A75295"/>
    <w:rsid w:val="75A91B22"/>
    <w:rsid w:val="75AA195E"/>
    <w:rsid w:val="75AB3C9B"/>
    <w:rsid w:val="75AC171D"/>
    <w:rsid w:val="75AD4450"/>
    <w:rsid w:val="75AD4614"/>
    <w:rsid w:val="75AD719E"/>
    <w:rsid w:val="75AF26A1"/>
    <w:rsid w:val="75B00123"/>
    <w:rsid w:val="75B06567"/>
    <w:rsid w:val="75B17106"/>
    <w:rsid w:val="75B23626"/>
    <w:rsid w:val="75B545AA"/>
    <w:rsid w:val="75B6202C"/>
    <w:rsid w:val="75B634FA"/>
    <w:rsid w:val="75B82FB1"/>
    <w:rsid w:val="75B8552F"/>
    <w:rsid w:val="75B90A32"/>
    <w:rsid w:val="75B9544D"/>
    <w:rsid w:val="75B975E7"/>
    <w:rsid w:val="75BA5FEB"/>
    <w:rsid w:val="75BA64B4"/>
    <w:rsid w:val="75BB5939"/>
    <w:rsid w:val="75BB6755"/>
    <w:rsid w:val="75BC19B7"/>
    <w:rsid w:val="75BC4BFC"/>
    <w:rsid w:val="75BC4F67"/>
    <w:rsid w:val="75BD7438"/>
    <w:rsid w:val="75BD7F3E"/>
    <w:rsid w:val="75BE0ADD"/>
    <w:rsid w:val="75BE0CA2"/>
    <w:rsid w:val="75C03C40"/>
    <w:rsid w:val="75C116C2"/>
    <w:rsid w:val="75C13CBB"/>
    <w:rsid w:val="75C20DFC"/>
    <w:rsid w:val="75C238C0"/>
    <w:rsid w:val="75C34BC5"/>
    <w:rsid w:val="75C44D0C"/>
    <w:rsid w:val="75C458AB"/>
    <w:rsid w:val="75C46DC3"/>
    <w:rsid w:val="75C54845"/>
    <w:rsid w:val="75C56449"/>
    <w:rsid w:val="75C65B4A"/>
    <w:rsid w:val="75C66E24"/>
    <w:rsid w:val="75C735CB"/>
    <w:rsid w:val="75C779C2"/>
    <w:rsid w:val="75C77D48"/>
    <w:rsid w:val="75C8104D"/>
    <w:rsid w:val="75C9324B"/>
    <w:rsid w:val="75C96ACE"/>
    <w:rsid w:val="75CA4550"/>
    <w:rsid w:val="75CB6D02"/>
    <w:rsid w:val="75CC2E8E"/>
    <w:rsid w:val="75CC7A53"/>
    <w:rsid w:val="75CD2682"/>
    <w:rsid w:val="75CE2F56"/>
    <w:rsid w:val="75CE76D3"/>
    <w:rsid w:val="75CF09D8"/>
    <w:rsid w:val="75CF16D8"/>
    <w:rsid w:val="75CF516A"/>
    <w:rsid w:val="75D00657"/>
    <w:rsid w:val="75D02BD6"/>
    <w:rsid w:val="75D06459"/>
    <w:rsid w:val="75D13EDB"/>
    <w:rsid w:val="75D2195C"/>
    <w:rsid w:val="75D315DC"/>
    <w:rsid w:val="75D373DE"/>
    <w:rsid w:val="75D37C5C"/>
    <w:rsid w:val="75D41399"/>
    <w:rsid w:val="75D6274E"/>
    <w:rsid w:val="75D77FE2"/>
    <w:rsid w:val="75D812E7"/>
    <w:rsid w:val="75D85A64"/>
    <w:rsid w:val="75DA0F67"/>
    <w:rsid w:val="75DA5404"/>
    <w:rsid w:val="75DB5FA3"/>
    <w:rsid w:val="75DB69E8"/>
    <w:rsid w:val="75DC446A"/>
    <w:rsid w:val="75DD576F"/>
    <w:rsid w:val="75DD751C"/>
    <w:rsid w:val="75DE31F0"/>
    <w:rsid w:val="75E021D2"/>
    <w:rsid w:val="75E02E70"/>
    <w:rsid w:val="75E066F3"/>
    <w:rsid w:val="75E14175"/>
    <w:rsid w:val="75E21BF7"/>
    <w:rsid w:val="75E37678"/>
    <w:rsid w:val="75E41876"/>
    <w:rsid w:val="75E572F8"/>
    <w:rsid w:val="75E64D79"/>
    <w:rsid w:val="75E727FB"/>
    <w:rsid w:val="75E74393"/>
    <w:rsid w:val="75E7607E"/>
    <w:rsid w:val="75E8027D"/>
    <w:rsid w:val="75E8379C"/>
    <w:rsid w:val="75E83B00"/>
    <w:rsid w:val="75E90518"/>
    <w:rsid w:val="75E91581"/>
    <w:rsid w:val="75E94CF3"/>
    <w:rsid w:val="75E95CFE"/>
    <w:rsid w:val="75EC4704"/>
    <w:rsid w:val="75ED2186"/>
    <w:rsid w:val="75EE4748"/>
    <w:rsid w:val="75EE7C07"/>
    <w:rsid w:val="75EF348B"/>
    <w:rsid w:val="75EF3E2B"/>
    <w:rsid w:val="75EF5689"/>
    <w:rsid w:val="75F00F0C"/>
    <w:rsid w:val="75F0310B"/>
    <w:rsid w:val="75F05CC0"/>
    <w:rsid w:val="75F1698E"/>
    <w:rsid w:val="75F21E91"/>
    <w:rsid w:val="75F2660E"/>
    <w:rsid w:val="75F27075"/>
    <w:rsid w:val="75F37912"/>
    <w:rsid w:val="75F4087F"/>
    <w:rsid w:val="75F41B11"/>
    <w:rsid w:val="75F45394"/>
    <w:rsid w:val="75F5118C"/>
    <w:rsid w:val="75F52E16"/>
    <w:rsid w:val="75F57592"/>
    <w:rsid w:val="75F57767"/>
    <w:rsid w:val="75F60897"/>
    <w:rsid w:val="75F669BB"/>
    <w:rsid w:val="75F72A95"/>
    <w:rsid w:val="75F832A4"/>
    <w:rsid w:val="75F83D9A"/>
    <w:rsid w:val="75F93A28"/>
    <w:rsid w:val="75F95F98"/>
    <w:rsid w:val="75FA3A1A"/>
    <w:rsid w:val="75FA729D"/>
    <w:rsid w:val="75FB149C"/>
    <w:rsid w:val="75FC27A0"/>
    <w:rsid w:val="75FC6AF9"/>
    <w:rsid w:val="75FC6F1D"/>
    <w:rsid w:val="75FD499F"/>
    <w:rsid w:val="75FE2420"/>
    <w:rsid w:val="75FE5CA3"/>
    <w:rsid w:val="75FF3725"/>
    <w:rsid w:val="760011A7"/>
    <w:rsid w:val="76005923"/>
    <w:rsid w:val="76010E26"/>
    <w:rsid w:val="760133A5"/>
    <w:rsid w:val="76016C28"/>
    <w:rsid w:val="760246AA"/>
    <w:rsid w:val="760268A8"/>
    <w:rsid w:val="7603212B"/>
    <w:rsid w:val="76032986"/>
    <w:rsid w:val="76033702"/>
    <w:rsid w:val="760338C7"/>
    <w:rsid w:val="760416B8"/>
    <w:rsid w:val="76047BAD"/>
    <w:rsid w:val="7605562E"/>
    <w:rsid w:val="7605782D"/>
    <w:rsid w:val="76062B1F"/>
    <w:rsid w:val="760630B0"/>
    <w:rsid w:val="760659DE"/>
    <w:rsid w:val="76070B31"/>
    <w:rsid w:val="760763B8"/>
    <w:rsid w:val="760807B1"/>
    <w:rsid w:val="760865B3"/>
    <w:rsid w:val="76086F57"/>
    <w:rsid w:val="76091AB6"/>
    <w:rsid w:val="76096233"/>
    <w:rsid w:val="760A3CB4"/>
    <w:rsid w:val="760A7538"/>
    <w:rsid w:val="760B1736"/>
    <w:rsid w:val="760B4FB9"/>
    <w:rsid w:val="760C0463"/>
    <w:rsid w:val="760D1070"/>
    <w:rsid w:val="760F39BF"/>
    <w:rsid w:val="760F453B"/>
    <w:rsid w:val="76101441"/>
    <w:rsid w:val="76115AB3"/>
    <w:rsid w:val="76115C78"/>
    <w:rsid w:val="76123CE0"/>
    <w:rsid w:val="76147BCB"/>
    <w:rsid w:val="761558C9"/>
    <w:rsid w:val="7616334A"/>
    <w:rsid w:val="76170DCC"/>
    <w:rsid w:val="7618684D"/>
    <w:rsid w:val="761942CF"/>
    <w:rsid w:val="761A1D50"/>
    <w:rsid w:val="761B77D2"/>
    <w:rsid w:val="761C5254"/>
    <w:rsid w:val="761C60D6"/>
    <w:rsid w:val="761D2CD5"/>
    <w:rsid w:val="761E0757"/>
    <w:rsid w:val="76203C5A"/>
    <w:rsid w:val="7620778A"/>
    <w:rsid w:val="762116DB"/>
    <w:rsid w:val="7622503A"/>
    <w:rsid w:val="76232660"/>
    <w:rsid w:val="762400E1"/>
    <w:rsid w:val="7624387E"/>
    <w:rsid w:val="76255B63"/>
    <w:rsid w:val="76271066"/>
    <w:rsid w:val="76277537"/>
    <w:rsid w:val="762848E9"/>
    <w:rsid w:val="76286AE8"/>
    <w:rsid w:val="76294569"/>
    <w:rsid w:val="76297DEC"/>
    <w:rsid w:val="762A1FEB"/>
    <w:rsid w:val="762B0E62"/>
    <w:rsid w:val="762C1BC5"/>
    <w:rsid w:val="762C54EE"/>
    <w:rsid w:val="762D2F6F"/>
    <w:rsid w:val="762D67F3"/>
    <w:rsid w:val="762E09F1"/>
    <w:rsid w:val="762E1A47"/>
    <w:rsid w:val="762F1CF6"/>
    <w:rsid w:val="762F6473"/>
    <w:rsid w:val="763000A3"/>
    <w:rsid w:val="76300258"/>
    <w:rsid w:val="76300779"/>
    <w:rsid w:val="7630247D"/>
    <w:rsid w:val="76307777"/>
    <w:rsid w:val="76313EF4"/>
    <w:rsid w:val="76322C7A"/>
    <w:rsid w:val="763306FC"/>
    <w:rsid w:val="76334E79"/>
    <w:rsid w:val="763428FA"/>
    <w:rsid w:val="76347D47"/>
    <w:rsid w:val="7635037C"/>
    <w:rsid w:val="76350721"/>
    <w:rsid w:val="7635099D"/>
    <w:rsid w:val="76353BFF"/>
    <w:rsid w:val="76365DFD"/>
    <w:rsid w:val="76371C9A"/>
    <w:rsid w:val="7637387F"/>
    <w:rsid w:val="76381300"/>
    <w:rsid w:val="763829FD"/>
    <w:rsid w:val="76392605"/>
    <w:rsid w:val="763933D7"/>
    <w:rsid w:val="76394804"/>
    <w:rsid w:val="763B4B15"/>
    <w:rsid w:val="763B7D07"/>
    <w:rsid w:val="763C5788"/>
    <w:rsid w:val="763D100B"/>
    <w:rsid w:val="763D320A"/>
    <w:rsid w:val="763D362D"/>
    <w:rsid w:val="763D3EB9"/>
    <w:rsid w:val="763E6A68"/>
    <w:rsid w:val="763F670D"/>
    <w:rsid w:val="7640418E"/>
    <w:rsid w:val="76407FE1"/>
    <w:rsid w:val="76411C10"/>
    <w:rsid w:val="76415493"/>
    <w:rsid w:val="76417A12"/>
    <w:rsid w:val="76422F15"/>
    <w:rsid w:val="76430996"/>
    <w:rsid w:val="76432C97"/>
    <w:rsid w:val="76450616"/>
    <w:rsid w:val="7646191B"/>
    <w:rsid w:val="76473045"/>
    <w:rsid w:val="76473B19"/>
    <w:rsid w:val="7647594D"/>
    <w:rsid w:val="7647739D"/>
    <w:rsid w:val="7648159B"/>
    <w:rsid w:val="764928A0"/>
    <w:rsid w:val="7649701C"/>
    <w:rsid w:val="764A0321"/>
    <w:rsid w:val="764B043F"/>
    <w:rsid w:val="764B251F"/>
    <w:rsid w:val="764B5DA3"/>
    <w:rsid w:val="764C0E19"/>
    <w:rsid w:val="764C5E0A"/>
    <w:rsid w:val="764C6175"/>
    <w:rsid w:val="764D12A6"/>
    <w:rsid w:val="764D505D"/>
    <w:rsid w:val="764D5A23"/>
    <w:rsid w:val="764E40FB"/>
    <w:rsid w:val="764F0F26"/>
    <w:rsid w:val="7650222A"/>
    <w:rsid w:val="7650466E"/>
    <w:rsid w:val="76514429"/>
    <w:rsid w:val="76517CAC"/>
    <w:rsid w:val="76521EAA"/>
    <w:rsid w:val="7652572E"/>
    <w:rsid w:val="76536785"/>
    <w:rsid w:val="76542E2F"/>
    <w:rsid w:val="765508B1"/>
    <w:rsid w:val="765566B2"/>
    <w:rsid w:val="765606D8"/>
    <w:rsid w:val="76564134"/>
    <w:rsid w:val="76573DB4"/>
    <w:rsid w:val="765929B4"/>
    <w:rsid w:val="765950B8"/>
    <w:rsid w:val="765A338F"/>
    <w:rsid w:val="765A3553"/>
    <w:rsid w:val="765B27BA"/>
    <w:rsid w:val="765B3F2D"/>
    <w:rsid w:val="765C54A6"/>
    <w:rsid w:val="765E373E"/>
    <w:rsid w:val="765E6FC2"/>
    <w:rsid w:val="765F4A43"/>
    <w:rsid w:val="765F75BE"/>
    <w:rsid w:val="765F7782"/>
    <w:rsid w:val="76606C42"/>
    <w:rsid w:val="766146C3"/>
    <w:rsid w:val="76617F46"/>
    <w:rsid w:val="76622145"/>
    <w:rsid w:val="766259C8"/>
    <w:rsid w:val="76632274"/>
    <w:rsid w:val="76642E13"/>
    <w:rsid w:val="76645648"/>
    <w:rsid w:val="7665694D"/>
    <w:rsid w:val="76660B4B"/>
    <w:rsid w:val="766643CE"/>
    <w:rsid w:val="76671E50"/>
    <w:rsid w:val="7668404E"/>
    <w:rsid w:val="76691AD0"/>
    <w:rsid w:val="76692017"/>
    <w:rsid w:val="76695353"/>
    <w:rsid w:val="766A2009"/>
    <w:rsid w:val="766A2DD4"/>
    <w:rsid w:val="766A7551"/>
    <w:rsid w:val="766A7A1C"/>
    <w:rsid w:val="766C04D6"/>
    <w:rsid w:val="766C1E28"/>
    <w:rsid w:val="766D196F"/>
    <w:rsid w:val="766D5F57"/>
    <w:rsid w:val="766E17DB"/>
    <w:rsid w:val="766E39D9"/>
    <w:rsid w:val="766F145A"/>
    <w:rsid w:val="76703C4B"/>
    <w:rsid w:val="76704CDE"/>
    <w:rsid w:val="76706EDC"/>
    <w:rsid w:val="7671125F"/>
    <w:rsid w:val="7671495D"/>
    <w:rsid w:val="767201E1"/>
    <w:rsid w:val="767251C4"/>
    <w:rsid w:val="76725C62"/>
    <w:rsid w:val="76735D63"/>
    <w:rsid w:val="76741165"/>
    <w:rsid w:val="76756BE7"/>
    <w:rsid w:val="76764668"/>
    <w:rsid w:val="76767E7A"/>
    <w:rsid w:val="76774ECB"/>
    <w:rsid w:val="767753EB"/>
    <w:rsid w:val="76777C07"/>
    <w:rsid w:val="767955ED"/>
    <w:rsid w:val="767B0330"/>
    <w:rsid w:val="767B0AF0"/>
    <w:rsid w:val="767D3FF3"/>
    <w:rsid w:val="767E1A75"/>
    <w:rsid w:val="767F6B9B"/>
    <w:rsid w:val="767F74F6"/>
    <w:rsid w:val="768159E6"/>
    <w:rsid w:val="7682047B"/>
    <w:rsid w:val="76835EFD"/>
    <w:rsid w:val="7684397E"/>
    <w:rsid w:val="76852DCA"/>
    <w:rsid w:val="76853969"/>
    <w:rsid w:val="7686417E"/>
    <w:rsid w:val="76874EE2"/>
    <w:rsid w:val="76882384"/>
    <w:rsid w:val="76897E06"/>
    <w:rsid w:val="768A3309"/>
    <w:rsid w:val="768A5887"/>
    <w:rsid w:val="768B0D8B"/>
    <w:rsid w:val="768C680C"/>
    <w:rsid w:val="768D208F"/>
    <w:rsid w:val="768D428E"/>
    <w:rsid w:val="768E7B11"/>
    <w:rsid w:val="768F1F0A"/>
    <w:rsid w:val="768F24C5"/>
    <w:rsid w:val="768F5592"/>
    <w:rsid w:val="76910A96"/>
    <w:rsid w:val="76920715"/>
    <w:rsid w:val="769247A1"/>
    <w:rsid w:val="76931A1A"/>
    <w:rsid w:val="76936197"/>
    <w:rsid w:val="76945B56"/>
    <w:rsid w:val="7695169A"/>
    <w:rsid w:val="76960696"/>
    <w:rsid w:val="76967E0B"/>
    <w:rsid w:val="76967E32"/>
    <w:rsid w:val="76970420"/>
    <w:rsid w:val="7698261F"/>
    <w:rsid w:val="76985EA2"/>
    <w:rsid w:val="769900A0"/>
    <w:rsid w:val="76993924"/>
    <w:rsid w:val="769A13A5"/>
    <w:rsid w:val="769A2AE8"/>
    <w:rsid w:val="769A5B22"/>
    <w:rsid w:val="769B35A3"/>
    <w:rsid w:val="769C48A8"/>
    <w:rsid w:val="769D6AA6"/>
    <w:rsid w:val="769E2319"/>
    <w:rsid w:val="769E4528"/>
    <w:rsid w:val="769F1FAA"/>
    <w:rsid w:val="769F582D"/>
    <w:rsid w:val="76A032AE"/>
    <w:rsid w:val="76A07A2B"/>
    <w:rsid w:val="76A154AD"/>
    <w:rsid w:val="76A20C6A"/>
    <w:rsid w:val="76A22F2E"/>
    <w:rsid w:val="76A267B1"/>
    <w:rsid w:val="76A33700"/>
    <w:rsid w:val="76A342F7"/>
    <w:rsid w:val="76A6375C"/>
    <w:rsid w:val="76A63920"/>
    <w:rsid w:val="76A651B8"/>
    <w:rsid w:val="76A673B6"/>
    <w:rsid w:val="76A72C39"/>
    <w:rsid w:val="76A828B9"/>
    <w:rsid w:val="76A84E99"/>
    <w:rsid w:val="76A9613C"/>
    <w:rsid w:val="76AA163F"/>
    <w:rsid w:val="76AB383E"/>
    <w:rsid w:val="76AC12BF"/>
    <w:rsid w:val="76AC4B43"/>
    <w:rsid w:val="76AC798B"/>
    <w:rsid w:val="76AD25C4"/>
    <w:rsid w:val="76AD665C"/>
    <w:rsid w:val="76AD6D41"/>
    <w:rsid w:val="76AE0046"/>
    <w:rsid w:val="76AE0F04"/>
    <w:rsid w:val="76AE47C2"/>
    <w:rsid w:val="76AF2244"/>
    <w:rsid w:val="76B03549"/>
    <w:rsid w:val="76B10FCA"/>
    <w:rsid w:val="76B231C9"/>
    <w:rsid w:val="76B24759"/>
    <w:rsid w:val="76B26A4C"/>
    <w:rsid w:val="76B30C4A"/>
    <w:rsid w:val="76B344CD"/>
    <w:rsid w:val="76B34A59"/>
    <w:rsid w:val="76B35130"/>
    <w:rsid w:val="76B352F7"/>
    <w:rsid w:val="76B41F4F"/>
    <w:rsid w:val="76B44018"/>
    <w:rsid w:val="76B5414D"/>
    <w:rsid w:val="76B566AC"/>
    <w:rsid w:val="76B65452"/>
    <w:rsid w:val="76B72ED4"/>
    <w:rsid w:val="76B77650"/>
    <w:rsid w:val="76B92B53"/>
    <w:rsid w:val="76BA6056"/>
    <w:rsid w:val="76BB18DA"/>
    <w:rsid w:val="76BB3AD8"/>
    <w:rsid w:val="76BC155A"/>
    <w:rsid w:val="76BD4BB7"/>
    <w:rsid w:val="76BD4DDD"/>
    <w:rsid w:val="76BD6FDB"/>
    <w:rsid w:val="76BE4A5D"/>
    <w:rsid w:val="76BF02E0"/>
    <w:rsid w:val="76BF24DE"/>
    <w:rsid w:val="76C00F46"/>
    <w:rsid w:val="76C06CCE"/>
    <w:rsid w:val="76C137E3"/>
    <w:rsid w:val="76C159E1"/>
    <w:rsid w:val="76C20247"/>
    <w:rsid w:val="76C21265"/>
    <w:rsid w:val="76C23463"/>
    <w:rsid w:val="76C26CE6"/>
    <w:rsid w:val="76C30EE4"/>
    <w:rsid w:val="76C421E9"/>
    <w:rsid w:val="76C46966"/>
    <w:rsid w:val="76C543E8"/>
    <w:rsid w:val="76C61E69"/>
    <w:rsid w:val="76C656EC"/>
    <w:rsid w:val="76C778EB"/>
    <w:rsid w:val="76C80BEF"/>
    <w:rsid w:val="76C842B2"/>
    <w:rsid w:val="76C84476"/>
    <w:rsid w:val="76C959EF"/>
    <w:rsid w:val="76CA086F"/>
    <w:rsid w:val="76CA40F3"/>
    <w:rsid w:val="76CA582B"/>
    <w:rsid w:val="76CB1B74"/>
    <w:rsid w:val="76CB62F1"/>
    <w:rsid w:val="76CC75F6"/>
    <w:rsid w:val="76CD5077"/>
    <w:rsid w:val="76CE2AF9"/>
    <w:rsid w:val="76CE7275"/>
    <w:rsid w:val="76CF057A"/>
    <w:rsid w:val="76D02779"/>
    <w:rsid w:val="76D05FFC"/>
    <w:rsid w:val="76D101FA"/>
    <w:rsid w:val="76D13A7D"/>
    <w:rsid w:val="76D17F50"/>
    <w:rsid w:val="76D214FF"/>
    <w:rsid w:val="76D23B71"/>
    <w:rsid w:val="76D47875"/>
    <w:rsid w:val="76D54682"/>
    <w:rsid w:val="76D55C89"/>
    <w:rsid w:val="76D55E4D"/>
    <w:rsid w:val="76D62103"/>
    <w:rsid w:val="76D67F05"/>
    <w:rsid w:val="76D75987"/>
    <w:rsid w:val="76D773C6"/>
    <w:rsid w:val="76D83408"/>
    <w:rsid w:val="76D85607"/>
    <w:rsid w:val="76D87DA0"/>
    <w:rsid w:val="76D914DE"/>
    <w:rsid w:val="76DA1EB8"/>
    <w:rsid w:val="76DB2892"/>
    <w:rsid w:val="76DB438D"/>
    <w:rsid w:val="76DC7890"/>
    <w:rsid w:val="76DE2D93"/>
    <w:rsid w:val="76DE455C"/>
    <w:rsid w:val="76DE49AA"/>
    <w:rsid w:val="76DE4B6E"/>
    <w:rsid w:val="76DE70E3"/>
    <w:rsid w:val="76DF0815"/>
    <w:rsid w:val="76E05F23"/>
    <w:rsid w:val="76E06296"/>
    <w:rsid w:val="76E21799"/>
    <w:rsid w:val="76E3003A"/>
    <w:rsid w:val="76E301FF"/>
    <w:rsid w:val="76E62CF0"/>
    <w:rsid w:val="76E75C21"/>
    <w:rsid w:val="76E836A3"/>
    <w:rsid w:val="76E8442E"/>
    <w:rsid w:val="76EA57E2"/>
    <w:rsid w:val="76EB4627"/>
    <w:rsid w:val="76EB6381"/>
    <w:rsid w:val="76EB7C9B"/>
    <w:rsid w:val="76EC20A9"/>
    <w:rsid w:val="76EC70A4"/>
    <w:rsid w:val="76EC777B"/>
    <w:rsid w:val="76ED64AD"/>
    <w:rsid w:val="76ED78FA"/>
    <w:rsid w:val="76ED7ABE"/>
    <w:rsid w:val="76ED7B2A"/>
    <w:rsid w:val="76EE55AC"/>
    <w:rsid w:val="76EE58B6"/>
    <w:rsid w:val="76EF2E90"/>
    <w:rsid w:val="76F125B0"/>
    <w:rsid w:val="76F16531"/>
    <w:rsid w:val="76F23FB2"/>
    <w:rsid w:val="76F27835"/>
    <w:rsid w:val="76F27E90"/>
    <w:rsid w:val="76F31A34"/>
    <w:rsid w:val="76F352B7"/>
    <w:rsid w:val="76F374B5"/>
    <w:rsid w:val="76F44F37"/>
    <w:rsid w:val="76F507BA"/>
    <w:rsid w:val="76F529B8"/>
    <w:rsid w:val="76F6043A"/>
    <w:rsid w:val="76F6623C"/>
    <w:rsid w:val="76F73CBD"/>
    <w:rsid w:val="76F8173F"/>
    <w:rsid w:val="76F8393D"/>
    <w:rsid w:val="76F87F1C"/>
    <w:rsid w:val="76F913BE"/>
    <w:rsid w:val="76F971C0"/>
    <w:rsid w:val="76FA2478"/>
    <w:rsid w:val="76FA6E40"/>
    <w:rsid w:val="76FB0145"/>
    <w:rsid w:val="76FB0AD5"/>
    <w:rsid w:val="76FB0E40"/>
    <w:rsid w:val="76FB11AB"/>
    <w:rsid w:val="76FB16CC"/>
    <w:rsid w:val="76FC0249"/>
    <w:rsid w:val="76FC03FE"/>
    <w:rsid w:val="76FC05B4"/>
    <w:rsid w:val="76FC2343"/>
    <w:rsid w:val="76FC5BC6"/>
    <w:rsid w:val="76FE10CA"/>
    <w:rsid w:val="77000D49"/>
    <w:rsid w:val="770045CD"/>
    <w:rsid w:val="7701204E"/>
    <w:rsid w:val="77016C3D"/>
    <w:rsid w:val="7702424C"/>
    <w:rsid w:val="770301B6"/>
    <w:rsid w:val="77031CCE"/>
    <w:rsid w:val="7703663C"/>
    <w:rsid w:val="77040D55"/>
    <w:rsid w:val="77047750"/>
    <w:rsid w:val="77050A54"/>
    <w:rsid w:val="7705172F"/>
    <w:rsid w:val="770622CE"/>
    <w:rsid w:val="77062C53"/>
    <w:rsid w:val="770664D6"/>
    <w:rsid w:val="770706D4"/>
    <w:rsid w:val="770819D9"/>
    <w:rsid w:val="77083846"/>
    <w:rsid w:val="77086156"/>
    <w:rsid w:val="7709745B"/>
    <w:rsid w:val="770A1659"/>
    <w:rsid w:val="770A4F84"/>
    <w:rsid w:val="770B295E"/>
    <w:rsid w:val="770B70DA"/>
    <w:rsid w:val="770C64FD"/>
    <w:rsid w:val="770D005F"/>
    <w:rsid w:val="770D5E61"/>
    <w:rsid w:val="770E5AE1"/>
    <w:rsid w:val="770E67F6"/>
    <w:rsid w:val="77100FE4"/>
    <w:rsid w:val="77114867"/>
    <w:rsid w:val="77116A65"/>
    <w:rsid w:val="77116D11"/>
    <w:rsid w:val="771244E7"/>
    <w:rsid w:val="771357EC"/>
    <w:rsid w:val="7714326D"/>
    <w:rsid w:val="771479EA"/>
    <w:rsid w:val="77150CEF"/>
    <w:rsid w:val="7715546B"/>
    <w:rsid w:val="77166770"/>
    <w:rsid w:val="7717096F"/>
    <w:rsid w:val="771741F2"/>
    <w:rsid w:val="7717695B"/>
    <w:rsid w:val="771769F1"/>
    <w:rsid w:val="77176D5C"/>
    <w:rsid w:val="77193E72"/>
    <w:rsid w:val="7719504D"/>
    <w:rsid w:val="771976F5"/>
    <w:rsid w:val="771A42A0"/>
    <w:rsid w:val="771A5176"/>
    <w:rsid w:val="771C1FEB"/>
    <w:rsid w:val="771D2878"/>
    <w:rsid w:val="771D60FB"/>
    <w:rsid w:val="771F15FE"/>
    <w:rsid w:val="771F5D7B"/>
    <w:rsid w:val="772037FC"/>
    <w:rsid w:val="77204A34"/>
    <w:rsid w:val="77222583"/>
    <w:rsid w:val="77232203"/>
    <w:rsid w:val="77237793"/>
    <w:rsid w:val="77247C84"/>
    <w:rsid w:val="77253507"/>
    <w:rsid w:val="77255706"/>
    <w:rsid w:val="772605D7"/>
    <w:rsid w:val="77261019"/>
    <w:rsid w:val="77276A0B"/>
    <w:rsid w:val="77277D4B"/>
    <w:rsid w:val="77286C33"/>
    <w:rsid w:val="77291F0E"/>
    <w:rsid w:val="7729410C"/>
    <w:rsid w:val="772B5411"/>
    <w:rsid w:val="772B5ADA"/>
    <w:rsid w:val="772B760F"/>
    <w:rsid w:val="772C0914"/>
    <w:rsid w:val="772D6395"/>
    <w:rsid w:val="772E314E"/>
    <w:rsid w:val="772E3E17"/>
    <w:rsid w:val="772E7A2D"/>
    <w:rsid w:val="772F6015"/>
    <w:rsid w:val="77311B44"/>
    <w:rsid w:val="77314D9C"/>
    <w:rsid w:val="7732281D"/>
    <w:rsid w:val="77331D7F"/>
    <w:rsid w:val="77334A1B"/>
    <w:rsid w:val="77343C5C"/>
    <w:rsid w:val="77345D20"/>
    <w:rsid w:val="773537A2"/>
    <w:rsid w:val="77354636"/>
    <w:rsid w:val="773572F0"/>
    <w:rsid w:val="77361223"/>
    <w:rsid w:val="77365399"/>
    <w:rsid w:val="773659A0"/>
    <w:rsid w:val="77370EEF"/>
    <w:rsid w:val="77373422"/>
    <w:rsid w:val="77376912"/>
    <w:rsid w:val="77376CA5"/>
    <w:rsid w:val="77384726"/>
    <w:rsid w:val="773921A8"/>
    <w:rsid w:val="77397E8B"/>
    <w:rsid w:val="773A0A2A"/>
    <w:rsid w:val="773B56AB"/>
    <w:rsid w:val="773B78A9"/>
    <w:rsid w:val="773C312D"/>
    <w:rsid w:val="773C532B"/>
    <w:rsid w:val="773D297D"/>
    <w:rsid w:val="773F40B1"/>
    <w:rsid w:val="773F40BA"/>
    <w:rsid w:val="77401B33"/>
    <w:rsid w:val="77404C59"/>
    <w:rsid w:val="774175B4"/>
    <w:rsid w:val="77425036"/>
    <w:rsid w:val="774261D2"/>
    <w:rsid w:val="77430539"/>
    <w:rsid w:val="77432AB8"/>
    <w:rsid w:val="7744499A"/>
    <w:rsid w:val="77444B50"/>
    <w:rsid w:val="77453A3C"/>
    <w:rsid w:val="77460CC4"/>
    <w:rsid w:val="774614BE"/>
    <w:rsid w:val="7747223C"/>
    <w:rsid w:val="77476F3F"/>
    <w:rsid w:val="774849C1"/>
    <w:rsid w:val="77492442"/>
    <w:rsid w:val="774A4354"/>
    <w:rsid w:val="774B4D2E"/>
    <w:rsid w:val="774B4EF3"/>
    <w:rsid w:val="774B5945"/>
    <w:rsid w:val="774D0E49"/>
    <w:rsid w:val="77500583"/>
    <w:rsid w:val="77501DCD"/>
    <w:rsid w:val="77517F24"/>
    <w:rsid w:val="775252D0"/>
    <w:rsid w:val="77532D52"/>
    <w:rsid w:val="77545B3E"/>
    <w:rsid w:val="775547B2"/>
    <w:rsid w:val="77556255"/>
    <w:rsid w:val="77563CD7"/>
    <w:rsid w:val="77565351"/>
    <w:rsid w:val="77571758"/>
    <w:rsid w:val="77575D2B"/>
    <w:rsid w:val="775871DA"/>
    <w:rsid w:val="77594C5B"/>
    <w:rsid w:val="775972A4"/>
    <w:rsid w:val="775C1463"/>
    <w:rsid w:val="775C3661"/>
    <w:rsid w:val="775D6EE5"/>
    <w:rsid w:val="775E4966"/>
    <w:rsid w:val="775F34D3"/>
    <w:rsid w:val="77601B0A"/>
    <w:rsid w:val="77602068"/>
    <w:rsid w:val="77602C25"/>
    <w:rsid w:val="77603EAD"/>
    <w:rsid w:val="77614A4C"/>
    <w:rsid w:val="77617AE9"/>
    <w:rsid w:val="7762336C"/>
    <w:rsid w:val="7762556B"/>
    <w:rsid w:val="77625FC5"/>
    <w:rsid w:val="77632FEC"/>
    <w:rsid w:val="77636B63"/>
    <w:rsid w:val="77636D28"/>
    <w:rsid w:val="77640A6E"/>
    <w:rsid w:val="776442F1"/>
    <w:rsid w:val="7764686F"/>
    <w:rsid w:val="77647702"/>
    <w:rsid w:val="776500DC"/>
    <w:rsid w:val="77651D73"/>
    <w:rsid w:val="776564EF"/>
    <w:rsid w:val="77663F71"/>
    <w:rsid w:val="776677F4"/>
    <w:rsid w:val="776719F2"/>
    <w:rsid w:val="77687474"/>
    <w:rsid w:val="77690779"/>
    <w:rsid w:val="77692D92"/>
    <w:rsid w:val="776A2977"/>
    <w:rsid w:val="776B03F9"/>
    <w:rsid w:val="776B3C7C"/>
    <w:rsid w:val="776B430B"/>
    <w:rsid w:val="776C5E7A"/>
    <w:rsid w:val="776D717F"/>
    <w:rsid w:val="776E413E"/>
    <w:rsid w:val="776E4C01"/>
    <w:rsid w:val="776E4D28"/>
    <w:rsid w:val="776F2682"/>
    <w:rsid w:val="776F6FC2"/>
    <w:rsid w:val="77700104"/>
    <w:rsid w:val="7771226C"/>
    <w:rsid w:val="77712302"/>
    <w:rsid w:val="77715B85"/>
    <w:rsid w:val="77727D83"/>
    <w:rsid w:val="77731088"/>
    <w:rsid w:val="777368EB"/>
    <w:rsid w:val="77743287"/>
    <w:rsid w:val="77753D8F"/>
    <w:rsid w:val="7775458B"/>
    <w:rsid w:val="7775678A"/>
    <w:rsid w:val="77762421"/>
    <w:rsid w:val="77771C8D"/>
    <w:rsid w:val="77775308"/>
    <w:rsid w:val="77785510"/>
    <w:rsid w:val="77785EA7"/>
    <w:rsid w:val="7778770E"/>
    <w:rsid w:val="77792F92"/>
    <w:rsid w:val="77796881"/>
    <w:rsid w:val="777A0A13"/>
    <w:rsid w:val="777A2C11"/>
    <w:rsid w:val="777A63E3"/>
    <w:rsid w:val="777B0693"/>
    <w:rsid w:val="777B7DFA"/>
    <w:rsid w:val="777C0999"/>
    <w:rsid w:val="777C3F16"/>
    <w:rsid w:val="777C6115"/>
    <w:rsid w:val="777D1F12"/>
    <w:rsid w:val="777D3B96"/>
    <w:rsid w:val="777E4E9B"/>
    <w:rsid w:val="777F291C"/>
    <w:rsid w:val="777F348A"/>
    <w:rsid w:val="777F3BC3"/>
    <w:rsid w:val="778046DE"/>
    <w:rsid w:val="77815E20"/>
    <w:rsid w:val="7782001E"/>
    <w:rsid w:val="77825766"/>
    <w:rsid w:val="77835A9F"/>
    <w:rsid w:val="77843521"/>
    <w:rsid w:val="77846B1B"/>
    <w:rsid w:val="77846DA4"/>
    <w:rsid w:val="77854826"/>
    <w:rsid w:val="77866A24"/>
    <w:rsid w:val="77870DF7"/>
    <w:rsid w:val="7788609C"/>
    <w:rsid w:val="7789322C"/>
    <w:rsid w:val="778A0CAD"/>
    <w:rsid w:val="778A38E9"/>
    <w:rsid w:val="778A542A"/>
    <w:rsid w:val="778B2EAC"/>
    <w:rsid w:val="778B42C3"/>
    <w:rsid w:val="778B672F"/>
    <w:rsid w:val="778C092D"/>
    <w:rsid w:val="778C10EB"/>
    <w:rsid w:val="778C5026"/>
    <w:rsid w:val="778C63AF"/>
    <w:rsid w:val="778D7747"/>
    <w:rsid w:val="778D7E1E"/>
    <w:rsid w:val="778E18B2"/>
    <w:rsid w:val="778E76B4"/>
    <w:rsid w:val="778F321E"/>
    <w:rsid w:val="778F7334"/>
    <w:rsid w:val="77910638"/>
    <w:rsid w:val="77912837"/>
    <w:rsid w:val="779202B8"/>
    <w:rsid w:val="779260BA"/>
    <w:rsid w:val="77931C2F"/>
    <w:rsid w:val="779335FC"/>
    <w:rsid w:val="779415BD"/>
    <w:rsid w:val="779437BB"/>
    <w:rsid w:val="7794703F"/>
    <w:rsid w:val="7795123D"/>
    <w:rsid w:val="779531A8"/>
    <w:rsid w:val="77954AC0"/>
    <w:rsid w:val="77966CBE"/>
    <w:rsid w:val="77977FC3"/>
    <w:rsid w:val="779934C6"/>
    <w:rsid w:val="77996839"/>
    <w:rsid w:val="779A56C5"/>
    <w:rsid w:val="779A7213"/>
    <w:rsid w:val="779A73D7"/>
    <w:rsid w:val="779B3146"/>
    <w:rsid w:val="779B69C9"/>
    <w:rsid w:val="779C0BC8"/>
    <w:rsid w:val="779D0C3B"/>
    <w:rsid w:val="779D132A"/>
    <w:rsid w:val="779D1ECC"/>
    <w:rsid w:val="779E1EC9"/>
    <w:rsid w:val="779F1B4C"/>
    <w:rsid w:val="77A02E51"/>
    <w:rsid w:val="77A03442"/>
    <w:rsid w:val="77A13FE0"/>
    <w:rsid w:val="77A22AD1"/>
    <w:rsid w:val="77A35559"/>
    <w:rsid w:val="77A3571E"/>
    <w:rsid w:val="77A41857"/>
    <w:rsid w:val="77A43A56"/>
    <w:rsid w:val="77A45FD4"/>
    <w:rsid w:val="77A53CC1"/>
    <w:rsid w:val="77A572D9"/>
    <w:rsid w:val="77A64D5A"/>
    <w:rsid w:val="77A727DC"/>
    <w:rsid w:val="77A8025E"/>
    <w:rsid w:val="77A92327"/>
    <w:rsid w:val="77A95D3A"/>
    <w:rsid w:val="77AA4DD8"/>
    <w:rsid w:val="77AB3A64"/>
    <w:rsid w:val="77AB402B"/>
    <w:rsid w:val="77AD2167"/>
    <w:rsid w:val="77AE59B8"/>
    <w:rsid w:val="77AE5B7C"/>
    <w:rsid w:val="77AF566A"/>
    <w:rsid w:val="77B030EB"/>
    <w:rsid w:val="77B070F5"/>
    <w:rsid w:val="77B204A9"/>
    <w:rsid w:val="77B34070"/>
    <w:rsid w:val="77B41AF2"/>
    <w:rsid w:val="77B425C1"/>
    <w:rsid w:val="77B56B1F"/>
    <w:rsid w:val="77B70517"/>
    <w:rsid w:val="77B804F8"/>
    <w:rsid w:val="77B8543C"/>
    <w:rsid w:val="77B875B5"/>
    <w:rsid w:val="77B87920"/>
    <w:rsid w:val="77B95F79"/>
    <w:rsid w:val="77B9649D"/>
    <w:rsid w:val="77B969BE"/>
    <w:rsid w:val="77BA69B4"/>
    <w:rsid w:val="77BC7F2D"/>
    <w:rsid w:val="77BD0ACC"/>
    <w:rsid w:val="77BF2045"/>
    <w:rsid w:val="77BF7E83"/>
    <w:rsid w:val="77C01188"/>
    <w:rsid w:val="77C13386"/>
    <w:rsid w:val="77C20E07"/>
    <w:rsid w:val="77C23F98"/>
    <w:rsid w:val="77C2468B"/>
    <w:rsid w:val="77C3210C"/>
    <w:rsid w:val="77C33B11"/>
    <w:rsid w:val="77C46274"/>
    <w:rsid w:val="77C47B8E"/>
    <w:rsid w:val="77C51D8C"/>
    <w:rsid w:val="77C5560F"/>
    <w:rsid w:val="77C5780E"/>
    <w:rsid w:val="77C6528F"/>
    <w:rsid w:val="77C70FE5"/>
    <w:rsid w:val="77C72D11"/>
    <w:rsid w:val="77CA1A97"/>
    <w:rsid w:val="77CA22DF"/>
    <w:rsid w:val="77CA3C95"/>
    <w:rsid w:val="77CC2A1C"/>
    <w:rsid w:val="77CC3A1C"/>
    <w:rsid w:val="77CC4F9A"/>
    <w:rsid w:val="77CC7198"/>
    <w:rsid w:val="77CD049D"/>
    <w:rsid w:val="77CF39A0"/>
    <w:rsid w:val="77D06EE8"/>
    <w:rsid w:val="77D13620"/>
    <w:rsid w:val="77D24925"/>
    <w:rsid w:val="77D25443"/>
    <w:rsid w:val="77D36B23"/>
    <w:rsid w:val="77D47E28"/>
    <w:rsid w:val="77D52026"/>
    <w:rsid w:val="77D558AA"/>
    <w:rsid w:val="77D6332B"/>
    <w:rsid w:val="77D70DAD"/>
    <w:rsid w:val="77D72860"/>
    <w:rsid w:val="77D75529"/>
    <w:rsid w:val="77D84854"/>
    <w:rsid w:val="77D90A2D"/>
    <w:rsid w:val="77D942B0"/>
    <w:rsid w:val="77DA1D31"/>
    <w:rsid w:val="77DC19B1"/>
    <w:rsid w:val="77DC5234"/>
    <w:rsid w:val="77DC7346"/>
    <w:rsid w:val="77DD2CB6"/>
    <w:rsid w:val="77DD4EB4"/>
    <w:rsid w:val="77DD7433"/>
    <w:rsid w:val="77DE0738"/>
    <w:rsid w:val="77DE145E"/>
    <w:rsid w:val="77DF61B9"/>
    <w:rsid w:val="77DF6D49"/>
    <w:rsid w:val="77E116BC"/>
    <w:rsid w:val="77E42641"/>
    <w:rsid w:val="77E500C2"/>
    <w:rsid w:val="77E522C1"/>
    <w:rsid w:val="77E55B44"/>
    <w:rsid w:val="77E5622B"/>
    <w:rsid w:val="77E67D42"/>
    <w:rsid w:val="77E71047"/>
    <w:rsid w:val="77E757C4"/>
    <w:rsid w:val="77E83245"/>
    <w:rsid w:val="77E9454A"/>
    <w:rsid w:val="77EA16F7"/>
    <w:rsid w:val="77EA6748"/>
    <w:rsid w:val="77EB7A4D"/>
    <w:rsid w:val="77EC1C4C"/>
    <w:rsid w:val="77EC380F"/>
    <w:rsid w:val="77EC39D3"/>
    <w:rsid w:val="77ED2F50"/>
    <w:rsid w:val="77ED4572"/>
    <w:rsid w:val="77ED76CD"/>
    <w:rsid w:val="77EE514F"/>
    <w:rsid w:val="77EF2BD0"/>
    <w:rsid w:val="77EF5926"/>
    <w:rsid w:val="77EF6453"/>
    <w:rsid w:val="77F00652"/>
    <w:rsid w:val="77F0668A"/>
    <w:rsid w:val="77F11957"/>
    <w:rsid w:val="77F17064"/>
    <w:rsid w:val="77F23B55"/>
    <w:rsid w:val="77F273D8"/>
    <w:rsid w:val="77F34E5A"/>
    <w:rsid w:val="77F5035D"/>
    <w:rsid w:val="77F67FDD"/>
    <w:rsid w:val="77F730CE"/>
    <w:rsid w:val="77F73860"/>
    <w:rsid w:val="77F73E31"/>
    <w:rsid w:val="77F75A5E"/>
    <w:rsid w:val="77F812E1"/>
    <w:rsid w:val="77FA47E4"/>
    <w:rsid w:val="77FA69E3"/>
    <w:rsid w:val="77FB2266"/>
    <w:rsid w:val="77FB4464"/>
    <w:rsid w:val="77FC1EE6"/>
    <w:rsid w:val="77FC7CE8"/>
    <w:rsid w:val="77FD7967"/>
    <w:rsid w:val="77FE0C6C"/>
    <w:rsid w:val="77FF66EE"/>
    <w:rsid w:val="780008EC"/>
    <w:rsid w:val="78011BF1"/>
    <w:rsid w:val="78012518"/>
    <w:rsid w:val="7801636E"/>
    <w:rsid w:val="78021AD7"/>
    <w:rsid w:val="78026A4A"/>
    <w:rsid w:val="78027672"/>
    <w:rsid w:val="780350F4"/>
    <w:rsid w:val="78042B76"/>
    <w:rsid w:val="780627F5"/>
    <w:rsid w:val="780659D7"/>
    <w:rsid w:val="780A11FC"/>
    <w:rsid w:val="780A4A7F"/>
    <w:rsid w:val="780B2500"/>
    <w:rsid w:val="780D398B"/>
    <w:rsid w:val="780D5A03"/>
    <w:rsid w:val="780E3485"/>
    <w:rsid w:val="780E4529"/>
    <w:rsid w:val="780F09F4"/>
    <w:rsid w:val="78113BDD"/>
    <w:rsid w:val="7811440A"/>
    <w:rsid w:val="78121E8B"/>
    <w:rsid w:val="78130758"/>
    <w:rsid w:val="7813790D"/>
    <w:rsid w:val="78137BBA"/>
    <w:rsid w:val="7814538E"/>
    <w:rsid w:val="78166313"/>
    <w:rsid w:val="78187845"/>
    <w:rsid w:val="78194988"/>
    <w:rsid w:val="78197298"/>
    <w:rsid w:val="781A4D19"/>
    <w:rsid w:val="781A76D5"/>
    <w:rsid w:val="781B279B"/>
    <w:rsid w:val="781C021C"/>
    <w:rsid w:val="781D05EA"/>
    <w:rsid w:val="781E7BA9"/>
    <w:rsid w:val="781E7D5E"/>
    <w:rsid w:val="781E7E54"/>
    <w:rsid w:val="782013CC"/>
    <w:rsid w:val="78201591"/>
    <w:rsid w:val="78212B0A"/>
    <w:rsid w:val="78222126"/>
    <w:rsid w:val="782236A8"/>
    <w:rsid w:val="78237BA7"/>
    <w:rsid w:val="7825692D"/>
    <w:rsid w:val="78260B2C"/>
    <w:rsid w:val="782643AF"/>
    <w:rsid w:val="78271E31"/>
    <w:rsid w:val="782765AD"/>
    <w:rsid w:val="78276B74"/>
    <w:rsid w:val="782878B2"/>
    <w:rsid w:val="782878D8"/>
    <w:rsid w:val="78291AB0"/>
    <w:rsid w:val="782A2DB5"/>
    <w:rsid w:val="782A7532"/>
    <w:rsid w:val="782B3132"/>
    <w:rsid w:val="782B4FB4"/>
    <w:rsid w:val="782C0072"/>
    <w:rsid w:val="782C23C9"/>
    <w:rsid w:val="782D04B7"/>
    <w:rsid w:val="782D3D3A"/>
    <w:rsid w:val="782D5F38"/>
    <w:rsid w:val="782E17BB"/>
    <w:rsid w:val="782E3B07"/>
    <w:rsid w:val="782F431C"/>
    <w:rsid w:val="782F4F78"/>
    <w:rsid w:val="78305A5A"/>
    <w:rsid w:val="78306EBD"/>
    <w:rsid w:val="78312740"/>
    <w:rsid w:val="7831493E"/>
    <w:rsid w:val="783201C2"/>
    <w:rsid w:val="78337E41"/>
    <w:rsid w:val="783458C3"/>
    <w:rsid w:val="78353345"/>
    <w:rsid w:val="78356BC8"/>
    <w:rsid w:val="78360DC6"/>
    <w:rsid w:val="78361C89"/>
    <w:rsid w:val="78372663"/>
    <w:rsid w:val="78372827"/>
    <w:rsid w:val="78376848"/>
    <w:rsid w:val="783833C6"/>
    <w:rsid w:val="78385680"/>
    <w:rsid w:val="78387B4C"/>
    <w:rsid w:val="78391D4B"/>
    <w:rsid w:val="78393DA0"/>
    <w:rsid w:val="783A4B63"/>
    <w:rsid w:val="783A55A4"/>
    <w:rsid w:val="783C5CF3"/>
    <w:rsid w:val="783C6553"/>
    <w:rsid w:val="783D0751"/>
    <w:rsid w:val="783D3FD4"/>
    <w:rsid w:val="783E61D3"/>
    <w:rsid w:val="783F0B6E"/>
    <w:rsid w:val="784016D6"/>
    <w:rsid w:val="784129DA"/>
    <w:rsid w:val="78413395"/>
    <w:rsid w:val="78417157"/>
    <w:rsid w:val="78422AC1"/>
    <w:rsid w:val="78424BD9"/>
    <w:rsid w:val="7843265A"/>
    <w:rsid w:val="78435EDE"/>
    <w:rsid w:val="7844395F"/>
    <w:rsid w:val="78461060"/>
    <w:rsid w:val="784635DF"/>
    <w:rsid w:val="784655B3"/>
    <w:rsid w:val="784748E4"/>
    <w:rsid w:val="78476152"/>
    <w:rsid w:val="78476AE2"/>
    <w:rsid w:val="78482365"/>
    <w:rsid w:val="78491FE5"/>
    <w:rsid w:val="784A5868"/>
    <w:rsid w:val="784A5D07"/>
    <w:rsid w:val="784A63DE"/>
    <w:rsid w:val="784A7A67"/>
    <w:rsid w:val="784B17E2"/>
    <w:rsid w:val="784B19A6"/>
    <w:rsid w:val="784B32EA"/>
    <w:rsid w:val="784C2F6A"/>
    <w:rsid w:val="784D123E"/>
    <w:rsid w:val="784E1CF0"/>
    <w:rsid w:val="784E426F"/>
    <w:rsid w:val="784E646D"/>
    <w:rsid w:val="78501970"/>
    <w:rsid w:val="78504E72"/>
    <w:rsid w:val="785173F2"/>
    <w:rsid w:val="785206F6"/>
    <w:rsid w:val="78524E73"/>
    <w:rsid w:val="785328F5"/>
    <w:rsid w:val="78536178"/>
    <w:rsid w:val="78536F8A"/>
    <w:rsid w:val="78540376"/>
    <w:rsid w:val="78543BF9"/>
    <w:rsid w:val="78547CED"/>
    <w:rsid w:val="785670FD"/>
    <w:rsid w:val="78571E88"/>
    <w:rsid w:val="78574B7E"/>
    <w:rsid w:val="7858261A"/>
    <w:rsid w:val="785827DF"/>
    <w:rsid w:val="785A227F"/>
    <w:rsid w:val="785A5B03"/>
    <w:rsid w:val="785B7D01"/>
    <w:rsid w:val="785C1006"/>
    <w:rsid w:val="785C5783"/>
    <w:rsid w:val="785E0C86"/>
    <w:rsid w:val="785E4509"/>
    <w:rsid w:val="785E6707"/>
    <w:rsid w:val="785F1F8A"/>
    <w:rsid w:val="785F4189"/>
    <w:rsid w:val="78601C0A"/>
    <w:rsid w:val="78611500"/>
    <w:rsid w:val="7862209E"/>
    <w:rsid w:val="78622F0F"/>
    <w:rsid w:val="78632C3D"/>
    <w:rsid w:val="78643617"/>
    <w:rsid w:val="78646412"/>
    <w:rsid w:val="78653E94"/>
    <w:rsid w:val="786541B6"/>
    <w:rsid w:val="78656092"/>
    <w:rsid w:val="78660DE1"/>
    <w:rsid w:val="78661915"/>
    <w:rsid w:val="78663B14"/>
    <w:rsid w:val="78663C24"/>
    <w:rsid w:val="7866572F"/>
    <w:rsid w:val="78682435"/>
    <w:rsid w:val="7868289A"/>
    <w:rsid w:val="78687017"/>
    <w:rsid w:val="7869031C"/>
    <w:rsid w:val="786A0221"/>
    <w:rsid w:val="786A5D9D"/>
    <w:rsid w:val="786B0DBF"/>
    <w:rsid w:val="786B381F"/>
    <w:rsid w:val="786C12A0"/>
    <w:rsid w:val="786C1799"/>
    <w:rsid w:val="786C195E"/>
    <w:rsid w:val="786D6CA9"/>
    <w:rsid w:val="786D6D22"/>
    <w:rsid w:val="786E0F20"/>
    <w:rsid w:val="786E2ED7"/>
    <w:rsid w:val="786F69A2"/>
    <w:rsid w:val="78704423"/>
    <w:rsid w:val="78707CA6"/>
    <w:rsid w:val="78715728"/>
    <w:rsid w:val="787231A9"/>
    <w:rsid w:val="787259C9"/>
    <w:rsid w:val="7875412E"/>
    <w:rsid w:val="78761BB0"/>
    <w:rsid w:val="7876453C"/>
    <w:rsid w:val="787648A7"/>
    <w:rsid w:val="78792B34"/>
    <w:rsid w:val="78793335"/>
    <w:rsid w:val="787A3D0F"/>
    <w:rsid w:val="787B6037"/>
    <w:rsid w:val="787D5E27"/>
    <w:rsid w:val="787E4A3E"/>
    <w:rsid w:val="787E6FBC"/>
    <w:rsid w:val="787F384A"/>
    <w:rsid w:val="7881167C"/>
    <w:rsid w:val="788214B7"/>
    <w:rsid w:val="7882338A"/>
    <w:rsid w:val="78830EC5"/>
    <w:rsid w:val="78846947"/>
    <w:rsid w:val="788521FC"/>
    <w:rsid w:val="7885416D"/>
    <w:rsid w:val="78861E4A"/>
    <w:rsid w:val="7888534D"/>
    <w:rsid w:val="788860C0"/>
    <w:rsid w:val="78886285"/>
    <w:rsid w:val="788876EC"/>
    <w:rsid w:val="788A0850"/>
    <w:rsid w:val="788A40D3"/>
    <w:rsid w:val="788B039C"/>
    <w:rsid w:val="788B1B55"/>
    <w:rsid w:val="788C0F3B"/>
    <w:rsid w:val="788D1915"/>
    <w:rsid w:val="788E2ADA"/>
    <w:rsid w:val="788E7256"/>
    <w:rsid w:val="788F055B"/>
    <w:rsid w:val="788F4CD8"/>
    <w:rsid w:val="7890275A"/>
    <w:rsid w:val="78905FDD"/>
    <w:rsid w:val="78912E9A"/>
    <w:rsid w:val="78914FA6"/>
    <w:rsid w:val="78922CE5"/>
    <w:rsid w:val="78925C5D"/>
    <w:rsid w:val="78931861"/>
    <w:rsid w:val="78931D82"/>
    <w:rsid w:val="789336DE"/>
    <w:rsid w:val="7893651F"/>
    <w:rsid w:val="78936F61"/>
    <w:rsid w:val="78940C6A"/>
    <w:rsid w:val="78941160"/>
    <w:rsid w:val="789449E3"/>
    <w:rsid w:val="78952465"/>
    <w:rsid w:val="789620E4"/>
    <w:rsid w:val="78967EE6"/>
    <w:rsid w:val="789711D5"/>
    <w:rsid w:val="78975968"/>
    <w:rsid w:val="78992912"/>
    <w:rsid w:val="78993069"/>
    <w:rsid w:val="789A68EC"/>
    <w:rsid w:val="789B3CC7"/>
    <w:rsid w:val="789C1DEF"/>
    <w:rsid w:val="789D7871"/>
    <w:rsid w:val="789E2D74"/>
    <w:rsid w:val="789E52F2"/>
    <w:rsid w:val="789E5DDE"/>
    <w:rsid w:val="789E74F1"/>
    <w:rsid w:val="789F07F6"/>
    <w:rsid w:val="789F61E0"/>
    <w:rsid w:val="789F7357"/>
    <w:rsid w:val="78A000BA"/>
    <w:rsid w:val="78A029F4"/>
    <w:rsid w:val="78A059E2"/>
    <w:rsid w:val="78A10475"/>
    <w:rsid w:val="78A13CF9"/>
    <w:rsid w:val="78A141F4"/>
    <w:rsid w:val="78A2146F"/>
    <w:rsid w:val="78A23447"/>
    <w:rsid w:val="78A371FC"/>
    <w:rsid w:val="78A413FA"/>
    <w:rsid w:val="78A42BAC"/>
    <w:rsid w:val="78A44C7D"/>
    <w:rsid w:val="78A526FF"/>
    <w:rsid w:val="78A54023"/>
    <w:rsid w:val="78A56E7C"/>
    <w:rsid w:val="78A73E42"/>
    <w:rsid w:val="78A83684"/>
    <w:rsid w:val="78A8569E"/>
    <w:rsid w:val="78A87E00"/>
    <w:rsid w:val="78A90480"/>
    <w:rsid w:val="78AA3303"/>
    <w:rsid w:val="78AA3A80"/>
    <w:rsid w:val="78AA6B87"/>
    <w:rsid w:val="78AB77B5"/>
    <w:rsid w:val="78AC0D2E"/>
    <w:rsid w:val="78AC208A"/>
    <w:rsid w:val="78AC47D1"/>
    <w:rsid w:val="78AC6806"/>
    <w:rsid w:val="78AD1A91"/>
    <w:rsid w:val="78AD4288"/>
    <w:rsid w:val="78AD7B0B"/>
    <w:rsid w:val="78AF2E46"/>
    <w:rsid w:val="78AF300A"/>
    <w:rsid w:val="78AF300E"/>
    <w:rsid w:val="78AF6B87"/>
    <w:rsid w:val="78AF778B"/>
    <w:rsid w:val="78B00A90"/>
    <w:rsid w:val="78B02C8E"/>
    <w:rsid w:val="78B05F90"/>
    <w:rsid w:val="78B14583"/>
    <w:rsid w:val="78B23F93"/>
    <w:rsid w:val="78B25122"/>
    <w:rsid w:val="78B26191"/>
    <w:rsid w:val="78B31A15"/>
    <w:rsid w:val="78B33C13"/>
    <w:rsid w:val="78B41694"/>
    <w:rsid w:val="78B464D6"/>
    <w:rsid w:val="78B4669B"/>
    <w:rsid w:val="78B47496"/>
    <w:rsid w:val="78B57116"/>
    <w:rsid w:val="78B64B97"/>
    <w:rsid w:val="78B705EE"/>
    <w:rsid w:val="78B72619"/>
    <w:rsid w:val="78B81D2B"/>
    <w:rsid w:val="78B9139F"/>
    <w:rsid w:val="78B96546"/>
    <w:rsid w:val="78BA359E"/>
    <w:rsid w:val="78BA6E21"/>
    <w:rsid w:val="78BB48A3"/>
    <w:rsid w:val="78BC2324"/>
    <w:rsid w:val="78BC481D"/>
    <w:rsid w:val="78BC6AA1"/>
    <w:rsid w:val="78BD0EFA"/>
    <w:rsid w:val="78BD247C"/>
    <w:rsid w:val="78BD4522"/>
    <w:rsid w:val="78BD53BB"/>
    <w:rsid w:val="78BE0FF9"/>
    <w:rsid w:val="78BE1FA4"/>
    <w:rsid w:val="78BE5827"/>
    <w:rsid w:val="78BE5F5A"/>
    <w:rsid w:val="78BF0096"/>
    <w:rsid w:val="78BF7B76"/>
    <w:rsid w:val="78C00D2A"/>
    <w:rsid w:val="78C054A7"/>
    <w:rsid w:val="78C074D3"/>
    <w:rsid w:val="78C12F29"/>
    <w:rsid w:val="78C209AA"/>
    <w:rsid w:val="78C31CAF"/>
    <w:rsid w:val="78C3642C"/>
    <w:rsid w:val="78C41FC5"/>
    <w:rsid w:val="78C43EAD"/>
    <w:rsid w:val="78C5192F"/>
    <w:rsid w:val="78C551B2"/>
    <w:rsid w:val="78C642A1"/>
    <w:rsid w:val="78C673B0"/>
    <w:rsid w:val="78C706B5"/>
    <w:rsid w:val="78C728B3"/>
    <w:rsid w:val="78C740DC"/>
    <w:rsid w:val="78C74E32"/>
    <w:rsid w:val="78C80335"/>
    <w:rsid w:val="78C86137"/>
    <w:rsid w:val="78C93BB8"/>
    <w:rsid w:val="78CA3838"/>
    <w:rsid w:val="78CB70BB"/>
    <w:rsid w:val="78CC4B3D"/>
    <w:rsid w:val="78CC523C"/>
    <w:rsid w:val="78CC6D3B"/>
    <w:rsid w:val="78CD0CE6"/>
    <w:rsid w:val="78CD47BD"/>
    <w:rsid w:val="78CF3543"/>
    <w:rsid w:val="78CF5AC2"/>
    <w:rsid w:val="78CF7CC0"/>
    <w:rsid w:val="78D00FC5"/>
    <w:rsid w:val="78D02DFD"/>
    <w:rsid w:val="78D02FC1"/>
    <w:rsid w:val="78D05741"/>
    <w:rsid w:val="78D07E34"/>
    <w:rsid w:val="78D16A46"/>
    <w:rsid w:val="78D244C8"/>
    <w:rsid w:val="78D31F49"/>
    <w:rsid w:val="78D350D9"/>
    <w:rsid w:val="78D366C6"/>
    <w:rsid w:val="78D479CB"/>
    <w:rsid w:val="78D5544C"/>
    <w:rsid w:val="78D5702C"/>
    <w:rsid w:val="78D62ECE"/>
    <w:rsid w:val="78D7094F"/>
    <w:rsid w:val="78D750CC"/>
    <w:rsid w:val="78D93E53"/>
    <w:rsid w:val="78DB5A92"/>
    <w:rsid w:val="78DB7356"/>
    <w:rsid w:val="78DC47C4"/>
    <w:rsid w:val="78DD47D4"/>
    <w:rsid w:val="78DE02DA"/>
    <w:rsid w:val="78DF5D5C"/>
    <w:rsid w:val="78E037DD"/>
    <w:rsid w:val="78E06AB0"/>
    <w:rsid w:val="78E1125F"/>
    <w:rsid w:val="78E26CE0"/>
    <w:rsid w:val="78E34762"/>
    <w:rsid w:val="78E656E7"/>
    <w:rsid w:val="78E70BEA"/>
    <w:rsid w:val="78E73168"/>
    <w:rsid w:val="78E8101C"/>
    <w:rsid w:val="78E84DF7"/>
    <w:rsid w:val="78E8666B"/>
    <w:rsid w:val="78E87851"/>
    <w:rsid w:val="78E940ED"/>
    <w:rsid w:val="78EA1B6E"/>
    <w:rsid w:val="78EA6370"/>
    <w:rsid w:val="78ED0487"/>
    <w:rsid w:val="78ED2AF3"/>
    <w:rsid w:val="78ED6BDA"/>
    <w:rsid w:val="78EE0575"/>
    <w:rsid w:val="78EF1A00"/>
    <w:rsid w:val="78EF5FF6"/>
    <w:rsid w:val="78F114F9"/>
    <w:rsid w:val="78F13953"/>
    <w:rsid w:val="78F227FE"/>
    <w:rsid w:val="78F244F2"/>
    <w:rsid w:val="78F26F7B"/>
    <w:rsid w:val="78F4247E"/>
    <w:rsid w:val="78F45A6B"/>
    <w:rsid w:val="78F45C2F"/>
    <w:rsid w:val="78F53783"/>
    <w:rsid w:val="78F671A8"/>
    <w:rsid w:val="78F80E84"/>
    <w:rsid w:val="78F82C02"/>
    <w:rsid w:val="78F82DB7"/>
    <w:rsid w:val="78F84707"/>
    <w:rsid w:val="78F9125E"/>
    <w:rsid w:val="78F915C9"/>
    <w:rsid w:val="78F92189"/>
    <w:rsid w:val="78FA1E5E"/>
    <w:rsid w:val="78FB568C"/>
    <w:rsid w:val="78FC310E"/>
    <w:rsid w:val="78FC3213"/>
    <w:rsid w:val="78FC3F76"/>
    <w:rsid w:val="78FC788A"/>
    <w:rsid w:val="78FD0B8F"/>
    <w:rsid w:val="78FE2D8D"/>
    <w:rsid w:val="78FE6611"/>
    <w:rsid w:val="78FF4092"/>
    <w:rsid w:val="79001B14"/>
    <w:rsid w:val="79003D12"/>
    <w:rsid w:val="790068A3"/>
    <w:rsid w:val="79017442"/>
    <w:rsid w:val="79025017"/>
    <w:rsid w:val="79032A98"/>
    <w:rsid w:val="79034C97"/>
    <w:rsid w:val="7904051A"/>
    <w:rsid w:val="79065900"/>
    <w:rsid w:val="79065C1B"/>
    <w:rsid w:val="7907369D"/>
    <w:rsid w:val="79076F20"/>
    <w:rsid w:val="790849A2"/>
    <w:rsid w:val="79096BA0"/>
    <w:rsid w:val="790A4622"/>
    <w:rsid w:val="790A5788"/>
    <w:rsid w:val="790A7EA5"/>
    <w:rsid w:val="790B20A3"/>
    <w:rsid w:val="790B5926"/>
    <w:rsid w:val="790B6163"/>
    <w:rsid w:val="790C7B25"/>
    <w:rsid w:val="790D0E29"/>
    <w:rsid w:val="790D55A6"/>
    <w:rsid w:val="790D7718"/>
    <w:rsid w:val="790E68AB"/>
    <w:rsid w:val="790F0AA9"/>
    <w:rsid w:val="79101DAE"/>
    <w:rsid w:val="7910652B"/>
    <w:rsid w:val="79121A2E"/>
    <w:rsid w:val="791252B1"/>
    <w:rsid w:val="791374B0"/>
    <w:rsid w:val="79147BBC"/>
    <w:rsid w:val="791529B3"/>
    <w:rsid w:val="79156236"/>
    <w:rsid w:val="791574E6"/>
    <w:rsid w:val="79171739"/>
    <w:rsid w:val="7917715F"/>
    <w:rsid w:val="791813B9"/>
    <w:rsid w:val="791871BB"/>
    <w:rsid w:val="79187B3A"/>
    <w:rsid w:val="791906D8"/>
    <w:rsid w:val="79190D49"/>
    <w:rsid w:val="79191277"/>
    <w:rsid w:val="79194C3C"/>
    <w:rsid w:val="79196E3A"/>
    <w:rsid w:val="791B013F"/>
    <w:rsid w:val="791B29B4"/>
    <w:rsid w:val="791C5BC1"/>
    <w:rsid w:val="791C7DBF"/>
    <w:rsid w:val="791E32C2"/>
    <w:rsid w:val="791F0D44"/>
    <w:rsid w:val="791F6B45"/>
    <w:rsid w:val="792067C5"/>
    <w:rsid w:val="79207EB6"/>
    <w:rsid w:val="79221CC8"/>
    <w:rsid w:val="7922554C"/>
    <w:rsid w:val="79231B0D"/>
    <w:rsid w:val="7923774A"/>
    <w:rsid w:val="79240A4F"/>
    <w:rsid w:val="79240B36"/>
    <w:rsid w:val="792451CB"/>
    <w:rsid w:val="792564D0"/>
    <w:rsid w:val="79263F52"/>
    <w:rsid w:val="792719D3"/>
    <w:rsid w:val="792737ED"/>
    <w:rsid w:val="79276150"/>
    <w:rsid w:val="792841C7"/>
    <w:rsid w:val="79287455"/>
    <w:rsid w:val="79291653"/>
    <w:rsid w:val="79294D66"/>
    <w:rsid w:val="792A2958"/>
    <w:rsid w:val="792A70D5"/>
    <w:rsid w:val="792B03DA"/>
    <w:rsid w:val="792C25D8"/>
    <w:rsid w:val="792C6E7D"/>
    <w:rsid w:val="792D38DD"/>
    <w:rsid w:val="792D7857"/>
    <w:rsid w:val="792D7A1C"/>
    <w:rsid w:val="792E135E"/>
    <w:rsid w:val="792E5ADB"/>
    <w:rsid w:val="792F355C"/>
    <w:rsid w:val="792F6DE0"/>
    <w:rsid w:val="79304861"/>
    <w:rsid w:val="79306A60"/>
    <w:rsid w:val="79314655"/>
    <w:rsid w:val="79321F63"/>
    <w:rsid w:val="7933600F"/>
    <w:rsid w:val="793379E4"/>
    <w:rsid w:val="79342270"/>
    <w:rsid w:val="79342425"/>
    <w:rsid w:val="793425DB"/>
    <w:rsid w:val="79343267"/>
    <w:rsid w:val="79344625"/>
    <w:rsid w:val="79350CE9"/>
    <w:rsid w:val="79352EE7"/>
    <w:rsid w:val="79360969"/>
    <w:rsid w:val="79366578"/>
    <w:rsid w:val="793741EC"/>
    <w:rsid w:val="793763EA"/>
    <w:rsid w:val="79381C6E"/>
    <w:rsid w:val="793876EF"/>
    <w:rsid w:val="793918EE"/>
    <w:rsid w:val="793C2872"/>
    <w:rsid w:val="793C60F5"/>
    <w:rsid w:val="793D3B77"/>
    <w:rsid w:val="793E15F9"/>
    <w:rsid w:val="793F707A"/>
    <w:rsid w:val="79416B9B"/>
    <w:rsid w:val="79424C03"/>
    <w:rsid w:val="79424DB8"/>
    <w:rsid w:val="794269D6"/>
    <w:rsid w:val="79435A80"/>
    <w:rsid w:val="79443502"/>
    <w:rsid w:val="79450F83"/>
    <w:rsid w:val="7945168D"/>
    <w:rsid w:val="794617DD"/>
    <w:rsid w:val="79466A05"/>
    <w:rsid w:val="79481F08"/>
    <w:rsid w:val="794837A4"/>
    <w:rsid w:val="794874D7"/>
    <w:rsid w:val="794A540B"/>
    <w:rsid w:val="794B2E8D"/>
    <w:rsid w:val="794B58BC"/>
    <w:rsid w:val="794C090E"/>
    <w:rsid w:val="794C6296"/>
    <w:rsid w:val="794D6390"/>
    <w:rsid w:val="794D6C70"/>
    <w:rsid w:val="794E12A4"/>
    <w:rsid w:val="794E780F"/>
    <w:rsid w:val="794F1893"/>
    <w:rsid w:val="79504D96"/>
    <w:rsid w:val="79507314"/>
    <w:rsid w:val="795073E0"/>
    <w:rsid w:val="79507595"/>
    <w:rsid w:val="79512818"/>
    <w:rsid w:val="79523064"/>
    <w:rsid w:val="79533C02"/>
    <w:rsid w:val="79535D1B"/>
    <w:rsid w:val="7954379C"/>
    <w:rsid w:val="7955121E"/>
    <w:rsid w:val="7955517B"/>
    <w:rsid w:val="79572523"/>
    <w:rsid w:val="79585A26"/>
    <w:rsid w:val="79587FA4"/>
    <w:rsid w:val="795934A7"/>
    <w:rsid w:val="795A0647"/>
    <w:rsid w:val="795A080C"/>
    <w:rsid w:val="795B3127"/>
    <w:rsid w:val="795B69AA"/>
    <w:rsid w:val="795C0BA9"/>
    <w:rsid w:val="795D31F5"/>
    <w:rsid w:val="795D662A"/>
    <w:rsid w:val="795E32FD"/>
    <w:rsid w:val="795E40AC"/>
    <w:rsid w:val="795E66B4"/>
    <w:rsid w:val="795F169C"/>
    <w:rsid w:val="795F1B2D"/>
    <w:rsid w:val="795F53B0"/>
    <w:rsid w:val="79605415"/>
    <w:rsid w:val="796108B4"/>
    <w:rsid w:val="79626335"/>
    <w:rsid w:val="79630533"/>
    <w:rsid w:val="79633DB7"/>
    <w:rsid w:val="7963752C"/>
    <w:rsid w:val="79645FB5"/>
    <w:rsid w:val="79653A37"/>
    <w:rsid w:val="796572BA"/>
    <w:rsid w:val="796614B8"/>
    <w:rsid w:val="7968243D"/>
    <w:rsid w:val="79682BBD"/>
    <w:rsid w:val="79682D81"/>
    <w:rsid w:val="7969375C"/>
    <w:rsid w:val="79695CC0"/>
    <w:rsid w:val="79697EBE"/>
    <w:rsid w:val="796A3742"/>
    <w:rsid w:val="796A5940"/>
    <w:rsid w:val="796B11C3"/>
    <w:rsid w:val="796C0E43"/>
    <w:rsid w:val="796C6C45"/>
    <w:rsid w:val="796D41E4"/>
    <w:rsid w:val="796D46C6"/>
    <w:rsid w:val="796D6DEC"/>
    <w:rsid w:val="796E2148"/>
    <w:rsid w:val="796E35ED"/>
    <w:rsid w:val="796E3958"/>
    <w:rsid w:val="796E798B"/>
    <w:rsid w:val="796F0365"/>
    <w:rsid w:val="796F1DC8"/>
    <w:rsid w:val="796F7BC9"/>
    <w:rsid w:val="79700F04"/>
    <w:rsid w:val="797061ED"/>
    <w:rsid w:val="79710B4E"/>
    <w:rsid w:val="7972247C"/>
    <w:rsid w:val="79722D4C"/>
    <w:rsid w:val="797307CE"/>
    <w:rsid w:val="79764FD6"/>
    <w:rsid w:val="79772A57"/>
    <w:rsid w:val="797771D4"/>
    <w:rsid w:val="797804D9"/>
    <w:rsid w:val="79784C56"/>
    <w:rsid w:val="797866AB"/>
    <w:rsid w:val="797926D7"/>
    <w:rsid w:val="7979724A"/>
    <w:rsid w:val="797A0159"/>
    <w:rsid w:val="797A39DC"/>
    <w:rsid w:val="797B145D"/>
    <w:rsid w:val="797B5BDA"/>
    <w:rsid w:val="797C64A0"/>
    <w:rsid w:val="797C6EDF"/>
    <w:rsid w:val="797D10DD"/>
    <w:rsid w:val="797D4961"/>
    <w:rsid w:val="797F7E64"/>
    <w:rsid w:val="798058E5"/>
    <w:rsid w:val="79807AE3"/>
    <w:rsid w:val="79813367"/>
    <w:rsid w:val="798153CC"/>
    <w:rsid w:val="79820DE8"/>
    <w:rsid w:val="79830A68"/>
    <w:rsid w:val="79836B0A"/>
    <w:rsid w:val="798442EB"/>
    <w:rsid w:val="798464EA"/>
    <w:rsid w:val="79846F6D"/>
    <w:rsid w:val="798474E4"/>
    <w:rsid w:val="79860A5D"/>
    <w:rsid w:val="798619ED"/>
    <w:rsid w:val="79875270"/>
    <w:rsid w:val="79880773"/>
    <w:rsid w:val="79884EF0"/>
    <w:rsid w:val="79892971"/>
    <w:rsid w:val="79893713"/>
    <w:rsid w:val="79896D26"/>
    <w:rsid w:val="798A03F3"/>
    <w:rsid w:val="798A16BF"/>
    <w:rsid w:val="798A3C76"/>
    <w:rsid w:val="798B4C8C"/>
    <w:rsid w:val="798B5E75"/>
    <w:rsid w:val="798C38F6"/>
    <w:rsid w:val="798D5A6E"/>
    <w:rsid w:val="798E267C"/>
    <w:rsid w:val="798E6DF9"/>
    <w:rsid w:val="798F00FE"/>
    <w:rsid w:val="798F487B"/>
    <w:rsid w:val="798F7942"/>
    <w:rsid w:val="799022FC"/>
    <w:rsid w:val="79905B80"/>
    <w:rsid w:val="79913601"/>
    <w:rsid w:val="79917D7E"/>
    <w:rsid w:val="79921083"/>
    <w:rsid w:val="799257FF"/>
    <w:rsid w:val="79942FD2"/>
    <w:rsid w:val="79943B71"/>
    <w:rsid w:val="79944586"/>
    <w:rsid w:val="79952007"/>
    <w:rsid w:val="79964206"/>
    <w:rsid w:val="799650EA"/>
    <w:rsid w:val="7997550A"/>
    <w:rsid w:val="79975C89"/>
    <w:rsid w:val="79990A0D"/>
    <w:rsid w:val="7999518A"/>
    <w:rsid w:val="799A648F"/>
    <w:rsid w:val="799A7BDC"/>
    <w:rsid w:val="799B3F11"/>
    <w:rsid w:val="799E7093"/>
    <w:rsid w:val="799F2917"/>
    <w:rsid w:val="799F4B15"/>
    <w:rsid w:val="79A00398"/>
    <w:rsid w:val="79A02597"/>
    <w:rsid w:val="79A03FCF"/>
    <w:rsid w:val="79A10018"/>
    <w:rsid w:val="79A1389B"/>
    <w:rsid w:val="79A17F33"/>
    <w:rsid w:val="79A35F22"/>
    <w:rsid w:val="79A36D9F"/>
    <w:rsid w:val="79A44820"/>
    <w:rsid w:val="79A47660"/>
    <w:rsid w:val="79A57791"/>
    <w:rsid w:val="79A60BD9"/>
    <w:rsid w:val="79A669E4"/>
    <w:rsid w:val="79A67D23"/>
    <w:rsid w:val="79A75717"/>
    <w:rsid w:val="79A75FA3"/>
    <w:rsid w:val="79A83226"/>
    <w:rsid w:val="79A85041"/>
    <w:rsid w:val="79AA388F"/>
    <w:rsid w:val="79AC1C2C"/>
    <w:rsid w:val="79AC4E08"/>
    <w:rsid w:val="79AD59A6"/>
    <w:rsid w:val="79AD76AE"/>
    <w:rsid w:val="79AF2BB1"/>
    <w:rsid w:val="79AF7ABE"/>
    <w:rsid w:val="79B00498"/>
    <w:rsid w:val="79B00633"/>
    <w:rsid w:val="79B160B4"/>
    <w:rsid w:val="79B23B36"/>
    <w:rsid w:val="79B315B7"/>
    <w:rsid w:val="79B42F8A"/>
    <w:rsid w:val="79B47039"/>
    <w:rsid w:val="79B511C2"/>
    <w:rsid w:val="79B54ABA"/>
    <w:rsid w:val="79B6253C"/>
    <w:rsid w:val="79B77FBE"/>
    <w:rsid w:val="79B9661A"/>
    <w:rsid w:val="79BA69C4"/>
    <w:rsid w:val="79BB4445"/>
    <w:rsid w:val="79BB7D58"/>
    <w:rsid w:val="79BC1EC7"/>
    <w:rsid w:val="79BD574A"/>
    <w:rsid w:val="79BD7948"/>
    <w:rsid w:val="79BF2E4B"/>
    <w:rsid w:val="79C008CD"/>
    <w:rsid w:val="79C066CF"/>
    <w:rsid w:val="79C14961"/>
    <w:rsid w:val="79C1634F"/>
    <w:rsid w:val="79C27653"/>
    <w:rsid w:val="79C31852"/>
    <w:rsid w:val="79C35EDA"/>
    <w:rsid w:val="79C3609E"/>
    <w:rsid w:val="79C46A79"/>
    <w:rsid w:val="79C505D8"/>
    <w:rsid w:val="79C54D55"/>
    <w:rsid w:val="79C67FF1"/>
    <w:rsid w:val="79C70258"/>
    <w:rsid w:val="79C70B90"/>
    <w:rsid w:val="79C73ADB"/>
    <w:rsid w:val="79C8155D"/>
    <w:rsid w:val="79C8156A"/>
    <w:rsid w:val="79C85CD9"/>
    <w:rsid w:val="79C92109"/>
    <w:rsid w:val="79C9375B"/>
    <w:rsid w:val="79C96913"/>
    <w:rsid w:val="79C96FDE"/>
    <w:rsid w:val="79CA11DC"/>
    <w:rsid w:val="79CA2CA8"/>
    <w:rsid w:val="79CA4A60"/>
    <w:rsid w:val="79CB6C5E"/>
    <w:rsid w:val="79CC46E0"/>
    <w:rsid w:val="79CC7F63"/>
    <w:rsid w:val="79CD2161"/>
    <w:rsid w:val="79CE3466"/>
    <w:rsid w:val="79CE7BE3"/>
    <w:rsid w:val="79CF5664"/>
    <w:rsid w:val="79D06969"/>
    <w:rsid w:val="79D143EB"/>
    <w:rsid w:val="79D20FEE"/>
    <w:rsid w:val="79D233D9"/>
    <w:rsid w:val="79D2406A"/>
    <w:rsid w:val="79D25219"/>
    <w:rsid w:val="79D31AEC"/>
    <w:rsid w:val="79D34CF9"/>
    <w:rsid w:val="79D34EAE"/>
    <w:rsid w:val="79D378EE"/>
    <w:rsid w:val="79D446F2"/>
    <w:rsid w:val="79D52F41"/>
    <w:rsid w:val="79D54FEF"/>
    <w:rsid w:val="79D60872"/>
    <w:rsid w:val="79D744BA"/>
    <w:rsid w:val="79D7467F"/>
    <w:rsid w:val="79D75F65"/>
    <w:rsid w:val="79D762F4"/>
    <w:rsid w:val="79D917F7"/>
    <w:rsid w:val="79DA1477"/>
    <w:rsid w:val="79DC01FD"/>
    <w:rsid w:val="79DC497A"/>
    <w:rsid w:val="79DE3700"/>
    <w:rsid w:val="79DE7E7D"/>
    <w:rsid w:val="79DF2801"/>
    <w:rsid w:val="79DF58FF"/>
    <w:rsid w:val="79E007A3"/>
    <w:rsid w:val="79E01E53"/>
    <w:rsid w:val="79E06C03"/>
    <w:rsid w:val="79E13F3E"/>
    <w:rsid w:val="79E14685"/>
    <w:rsid w:val="79E26053"/>
    <w:rsid w:val="79E26208"/>
    <w:rsid w:val="79E26883"/>
    <w:rsid w:val="79E34305"/>
    <w:rsid w:val="79E41D86"/>
    <w:rsid w:val="79E4560A"/>
    <w:rsid w:val="79E5308B"/>
    <w:rsid w:val="79E56A30"/>
    <w:rsid w:val="79E60B0D"/>
    <w:rsid w:val="79E65289"/>
    <w:rsid w:val="79E7658E"/>
    <w:rsid w:val="79E8078D"/>
    <w:rsid w:val="79E84010"/>
    <w:rsid w:val="79E91A91"/>
    <w:rsid w:val="79E92285"/>
    <w:rsid w:val="79EA2C5F"/>
    <w:rsid w:val="79ED2696"/>
    <w:rsid w:val="79ED706C"/>
    <w:rsid w:val="79EE5F19"/>
    <w:rsid w:val="79EF5B99"/>
    <w:rsid w:val="79F015DC"/>
    <w:rsid w:val="79F1491F"/>
    <w:rsid w:val="79F16E9E"/>
    <w:rsid w:val="79F205CB"/>
    <w:rsid w:val="79F223A1"/>
    <w:rsid w:val="79F37769"/>
    <w:rsid w:val="79F42021"/>
    <w:rsid w:val="79F53325"/>
    <w:rsid w:val="79F60DA7"/>
    <w:rsid w:val="79F62EF9"/>
    <w:rsid w:val="79F65524"/>
    <w:rsid w:val="79F74636"/>
    <w:rsid w:val="79F842AA"/>
    <w:rsid w:val="79F91D2C"/>
    <w:rsid w:val="79FA3F2A"/>
    <w:rsid w:val="79FA77AD"/>
    <w:rsid w:val="79FB19AC"/>
    <w:rsid w:val="79FC2CB0"/>
    <w:rsid w:val="79FC742D"/>
    <w:rsid w:val="79FC7CC7"/>
    <w:rsid w:val="79FE1404"/>
    <w:rsid w:val="79FE61B3"/>
    <w:rsid w:val="79FF300D"/>
    <w:rsid w:val="79FF3378"/>
    <w:rsid w:val="79FF3C35"/>
    <w:rsid w:val="7A0016B7"/>
    <w:rsid w:val="7A0027B8"/>
    <w:rsid w:val="7A005E33"/>
    <w:rsid w:val="7A011336"/>
    <w:rsid w:val="7A013357"/>
    <w:rsid w:val="7A017138"/>
    <w:rsid w:val="7A024BBA"/>
    <w:rsid w:val="7A03263B"/>
    <w:rsid w:val="7A034805"/>
    <w:rsid w:val="7A034839"/>
    <w:rsid w:val="7A03546E"/>
    <w:rsid w:val="7A0400BD"/>
    <w:rsid w:val="7A0422BB"/>
    <w:rsid w:val="7A0438CB"/>
    <w:rsid w:val="7A056BAC"/>
    <w:rsid w:val="7A057D3D"/>
    <w:rsid w:val="7A0635C0"/>
    <w:rsid w:val="7A0657BE"/>
    <w:rsid w:val="7A080CC3"/>
    <w:rsid w:val="7A086AC3"/>
    <w:rsid w:val="7A09169E"/>
    <w:rsid w:val="7A091FC6"/>
    <w:rsid w:val="7A0A7A48"/>
    <w:rsid w:val="7A0D111A"/>
    <w:rsid w:val="7A0E4EF2"/>
    <w:rsid w:val="7A0E5113"/>
    <w:rsid w:val="7A0E644E"/>
    <w:rsid w:val="7A0F3ECF"/>
    <w:rsid w:val="7A101951"/>
    <w:rsid w:val="7A10700A"/>
    <w:rsid w:val="7A116E46"/>
    <w:rsid w:val="7A1173D2"/>
    <w:rsid w:val="7A124E54"/>
    <w:rsid w:val="7A1328D6"/>
    <w:rsid w:val="7A161598"/>
    <w:rsid w:val="7A163075"/>
    <w:rsid w:val="7A1712DC"/>
    <w:rsid w:val="7A173C13"/>
    <w:rsid w:val="7A1845EE"/>
    <w:rsid w:val="7A1974BB"/>
    <w:rsid w:val="7A1A2260"/>
    <w:rsid w:val="7A1C5763"/>
    <w:rsid w:val="7A1D194F"/>
    <w:rsid w:val="7A1D7C7E"/>
    <w:rsid w:val="7A1E0C67"/>
    <w:rsid w:val="7A1E13BB"/>
    <w:rsid w:val="7A1F1F5A"/>
    <w:rsid w:val="7A1F66E8"/>
    <w:rsid w:val="7A211BEB"/>
    <w:rsid w:val="7A21330E"/>
    <w:rsid w:val="7A2250EE"/>
    <w:rsid w:val="7A230972"/>
    <w:rsid w:val="7A2463F3"/>
    <w:rsid w:val="7A2618F6"/>
    <w:rsid w:val="7A263AF5"/>
    <w:rsid w:val="7A266580"/>
    <w:rsid w:val="7A266B63"/>
    <w:rsid w:val="7A271576"/>
    <w:rsid w:val="7A277378"/>
    <w:rsid w:val="7A284DF9"/>
    <w:rsid w:val="7A286FF8"/>
    <w:rsid w:val="7A29339B"/>
    <w:rsid w:val="7A294A79"/>
    <w:rsid w:val="7A2A24FB"/>
    <w:rsid w:val="7A2A25EE"/>
    <w:rsid w:val="7A2A2B0F"/>
    <w:rsid w:val="7A2A5D7E"/>
    <w:rsid w:val="7A2B1BAD"/>
    <w:rsid w:val="7A2B2D92"/>
    <w:rsid w:val="7A2B7F7C"/>
    <w:rsid w:val="7A2C376D"/>
    <w:rsid w:val="7A2C59FE"/>
    <w:rsid w:val="7A2D347F"/>
    <w:rsid w:val="7A2E4784"/>
    <w:rsid w:val="7A2F2206"/>
    <w:rsid w:val="7A304404"/>
    <w:rsid w:val="7A305A3A"/>
    <w:rsid w:val="7A307C87"/>
    <w:rsid w:val="7A311E86"/>
    <w:rsid w:val="7A315709"/>
    <w:rsid w:val="7A316DFD"/>
    <w:rsid w:val="7A32318A"/>
    <w:rsid w:val="7A327907"/>
    <w:rsid w:val="7A330376"/>
    <w:rsid w:val="7A330C0C"/>
    <w:rsid w:val="7A335389"/>
    <w:rsid w:val="7A3410D9"/>
    <w:rsid w:val="7A342E0A"/>
    <w:rsid w:val="7A34668D"/>
    <w:rsid w:val="7A361B91"/>
    <w:rsid w:val="7A364017"/>
    <w:rsid w:val="7A36630D"/>
    <w:rsid w:val="7A373D8F"/>
    <w:rsid w:val="7A377612"/>
    <w:rsid w:val="7A385094"/>
    <w:rsid w:val="7A385D2E"/>
    <w:rsid w:val="7A394769"/>
    <w:rsid w:val="7A395308"/>
    <w:rsid w:val="7A3A0597"/>
    <w:rsid w:val="7A3A2795"/>
    <w:rsid w:val="7A3A4D14"/>
    <w:rsid w:val="7A3B0217"/>
    <w:rsid w:val="7A3B6881"/>
    <w:rsid w:val="7A3C3A9A"/>
    <w:rsid w:val="7A3C5C98"/>
    <w:rsid w:val="7A3D151B"/>
    <w:rsid w:val="7A3E119B"/>
    <w:rsid w:val="7A3E6F9D"/>
    <w:rsid w:val="7A3F1373"/>
    <w:rsid w:val="7A3F4A1F"/>
    <w:rsid w:val="7A4024A0"/>
    <w:rsid w:val="7A412120"/>
    <w:rsid w:val="7A4259A3"/>
    <w:rsid w:val="7A430EA6"/>
    <w:rsid w:val="7A446928"/>
    <w:rsid w:val="7A450B26"/>
    <w:rsid w:val="7A460876"/>
    <w:rsid w:val="7A4665A8"/>
    <w:rsid w:val="7A486B67"/>
    <w:rsid w:val="7A486D1D"/>
    <w:rsid w:val="7A492DB0"/>
    <w:rsid w:val="7A49752C"/>
    <w:rsid w:val="7A4A160C"/>
    <w:rsid w:val="7A4A4FAE"/>
    <w:rsid w:val="7A4B2370"/>
    <w:rsid w:val="7A4B2A2F"/>
    <w:rsid w:val="7A4B62B3"/>
    <w:rsid w:val="7A4D17B6"/>
    <w:rsid w:val="7A4D3724"/>
    <w:rsid w:val="7A4F1436"/>
    <w:rsid w:val="7A4F4C9D"/>
    <w:rsid w:val="7A4F4E61"/>
    <w:rsid w:val="7A5101BC"/>
    <w:rsid w:val="7A5223BA"/>
    <w:rsid w:val="7A526DB4"/>
    <w:rsid w:val="7A527E3C"/>
    <w:rsid w:val="7A5358BD"/>
    <w:rsid w:val="7A5404F2"/>
    <w:rsid w:val="7A541090"/>
    <w:rsid w:val="7A542CE8"/>
    <w:rsid w:val="7A550DC0"/>
    <w:rsid w:val="7A551C2F"/>
    <w:rsid w:val="7A551F3B"/>
    <w:rsid w:val="7A5520F1"/>
    <w:rsid w:val="7A556BC2"/>
    <w:rsid w:val="7A564644"/>
    <w:rsid w:val="7A566842"/>
    <w:rsid w:val="7A5720C5"/>
    <w:rsid w:val="7A572FE3"/>
    <w:rsid w:val="7A5742C4"/>
    <w:rsid w:val="7A587B47"/>
    <w:rsid w:val="7A5955C8"/>
    <w:rsid w:val="7A5B5C9A"/>
    <w:rsid w:val="7A5C074B"/>
    <w:rsid w:val="7A5C3FCF"/>
    <w:rsid w:val="7A5D7213"/>
    <w:rsid w:val="7A5D73D7"/>
    <w:rsid w:val="7A5E74D2"/>
    <w:rsid w:val="7A5E7DB1"/>
    <w:rsid w:val="7A5F4F53"/>
    <w:rsid w:val="7A6029D5"/>
    <w:rsid w:val="7A607152"/>
    <w:rsid w:val="7A610456"/>
    <w:rsid w:val="7A614BD3"/>
    <w:rsid w:val="7A622655"/>
    <w:rsid w:val="7A634C39"/>
    <w:rsid w:val="7A6413DB"/>
    <w:rsid w:val="7A644563"/>
    <w:rsid w:val="7A644B7F"/>
    <w:rsid w:val="7A652F2A"/>
    <w:rsid w:val="7A6530E0"/>
    <w:rsid w:val="7A6535D9"/>
    <w:rsid w:val="7A655559"/>
    <w:rsid w:val="7A656E5D"/>
    <w:rsid w:val="7A66105B"/>
    <w:rsid w:val="7A672360"/>
    <w:rsid w:val="7A676ADC"/>
    <w:rsid w:val="7A676C97"/>
    <w:rsid w:val="7A68455E"/>
    <w:rsid w:val="7A687DE1"/>
    <w:rsid w:val="7A691FDF"/>
    <w:rsid w:val="7A695863"/>
    <w:rsid w:val="7A6A32E4"/>
    <w:rsid w:val="7A6B29F2"/>
    <w:rsid w:val="7A6C09E6"/>
    <w:rsid w:val="7A6D4269"/>
    <w:rsid w:val="7A6E38A0"/>
    <w:rsid w:val="7A6F196A"/>
    <w:rsid w:val="7A6F443F"/>
    <w:rsid w:val="7A7059B7"/>
    <w:rsid w:val="7A712C6F"/>
    <w:rsid w:val="7A726172"/>
    <w:rsid w:val="7A726D40"/>
    <w:rsid w:val="7A730B94"/>
    <w:rsid w:val="7A741675"/>
    <w:rsid w:val="7A7570F7"/>
    <w:rsid w:val="7A761BE6"/>
    <w:rsid w:val="7A767A7E"/>
    <w:rsid w:val="7A7725C1"/>
    <w:rsid w:val="7A78007C"/>
    <w:rsid w:val="7A782F9B"/>
    <w:rsid w:val="7A7A46D8"/>
    <w:rsid w:val="7A7B5277"/>
    <w:rsid w:val="7A7D4503"/>
    <w:rsid w:val="7A7E1F85"/>
    <w:rsid w:val="7A7E71CA"/>
    <w:rsid w:val="7A7F0907"/>
    <w:rsid w:val="7A7F7A06"/>
    <w:rsid w:val="7A8105BA"/>
    <w:rsid w:val="7A810E46"/>
    <w:rsid w:val="7A811367"/>
    <w:rsid w:val="7A811E80"/>
    <w:rsid w:val="7A812F09"/>
    <w:rsid w:val="7A822A1F"/>
    <w:rsid w:val="7A8265E1"/>
    <w:rsid w:val="7A83640D"/>
    <w:rsid w:val="7A843E8E"/>
    <w:rsid w:val="7A843F98"/>
    <w:rsid w:val="7A851910"/>
    <w:rsid w:val="7A897144"/>
    <w:rsid w:val="7A8A01C7"/>
    <w:rsid w:val="7A8A161B"/>
    <w:rsid w:val="7A8A3819"/>
    <w:rsid w:val="7A8A4571"/>
    <w:rsid w:val="7A8B129B"/>
    <w:rsid w:val="7A8C4B1E"/>
    <w:rsid w:val="7A8D0761"/>
    <w:rsid w:val="7A8E0021"/>
    <w:rsid w:val="7A8E473B"/>
    <w:rsid w:val="7A8F5AA2"/>
    <w:rsid w:val="7A8F7CA1"/>
    <w:rsid w:val="7A904F95"/>
    <w:rsid w:val="7A905722"/>
    <w:rsid w:val="7A910FA6"/>
    <w:rsid w:val="7A91596F"/>
    <w:rsid w:val="7A920C25"/>
    <w:rsid w:val="7A92650D"/>
    <w:rsid w:val="7A926A27"/>
    <w:rsid w:val="7A9366A7"/>
    <w:rsid w:val="7A9479AC"/>
    <w:rsid w:val="7A950461"/>
    <w:rsid w:val="7A962EAF"/>
    <w:rsid w:val="7A9750AD"/>
    <w:rsid w:val="7A982578"/>
    <w:rsid w:val="7A982B2F"/>
    <w:rsid w:val="7A9905B0"/>
    <w:rsid w:val="7A993E33"/>
    <w:rsid w:val="7A9A18B5"/>
    <w:rsid w:val="7A9A2998"/>
    <w:rsid w:val="7A9A6032"/>
    <w:rsid w:val="7A9C1535"/>
    <w:rsid w:val="7A9C4DB8"/>
    <w:rsid w:val="7A9D283A"/>
    <w:rsid w:val="7A9E53BF"/>
    <w:rsid w:val="7A9E7346"/>
    <w:rsid w:val="7A9F3625"/>
    <w:rsid w:val="7A9F3F34"/>
    <w:rsid w:val="7AA008BF"/>
    <w:rsid w:val="7AA11240"/>
    <w:rsid w:val="7AA21FFC"/>
    <w:rsid w:val="7AA2343E"/>
    <w:rsid w:val="7AA30EC0"/>
    <w:rsid w:val="7AA36941"/>
    <w:rsid w:val="7AA421C5"/>
    <w:rsid w:val="7AA43575"/>
    <w:rsid w:val="7AA443C3"/>
    <w:rsid w:val="7AA51E44"/>
    <w:rsid w:val="7AA656C8"/>
    <w:rsid w:val="7AA9084B"/>
    <w:rsid w:val="7AA940B9"/>
    <w:rsid w:val="7AA9664C"/>
    <w:rsid w:val="7AAA017E"/>
    <w:rsid w:val="7AAA1FDB"/>
    <w:rsid w:val="7AAB0B58"/>
    <w:rsid w:val="7AAB0D1D"/>
    <w:rsid w:val="7AAB0E6A"/>
    <w:rsid w:val="7AAB1B4F"/>
    <w:rsid w:val="7AAB3D4E"/>
    <w:rsid w:val="7AAB75D1"/>
    <w:rsid w:val="7AAC0793"/>
    <w:rsid w:val="7AAD2AD4"/>
    <w:rsid w:val="7AAD7251"/>
    <w:rsid w:val="7AAD7310"/>
    <w:rsid w:val="7AAF380F"/>
    <w:rsid w:val="7AB14F4C"/>
    <w:rsid w:val="7AB236D8"/>
    <w:rsid w:val="7AB26F5C"/>
    <w:rsid w:val="7AB349DD"/>
    <w:rsid w:val="7AB46BDC"/>
    <w:rsid w:val="7AB5465D"/>
    <w:rsid w:val="7AB57A3E"/>
    <w:rsid w:val="7AB57EE0"/>
    <w:rsid w:val="7AB6117B"/>
    <w:rsid w:val="7AB620DF"/>
    <w:rsid w:val="7AB733E4"/>
    <w:rsid w:val="7AB82530"/>
    <w:rsid w:val="7AB826F4"/>
    <w:rsid w:val="7AB93063"/>
    <w:rsid w:val="7ABA0AE5"/>
    <w:rsid w:val="7ABB1DEA"/>
    <w:rsid w:val="7ABB289A"/>
    <w:rsid w:val="7ABB2C05"/>
    <w:rsid w:val="7ABB6566"/>
    <w:rsid w:val="7ABC1261"/>
    <w:rsid w:val="7ABC1A6A"/>
    <w:rsid w:val="7ABC786B"/>
    <w:rsid w:val="7ABD52ED"/>
    <w:rsid w:val="7ABD5D84"/>
    <w:rsid w:val="7ABD74EB"/>
    <w:rsid w:val="7ABE2D6E"/>
    <w:rsid w:val="7AC07CD8"/>
    <w:rsid w:val="7AC13CF3"/>
    <w:rsid w:val="7AC3298E"/>
    <w:rsid w:val="7AC371F6"/>
    <w:rsid w:val="7AC422A5"/>
    <w:rsid w:val="7AC4352C"/>
    <w:rsid w:val="7AC46E76"/>
    <w:rsid w:val="7AC53F07"/>
    <w:rsid w:val="7AC555F6"/>
    <w:rsid w:val="7AC62379"/>
    <w:rsid w:val="7AC65EF2"/>
    <w:rsid w:val="7AC75644"/>
    <w:rsid w:val="7AC810FF"/>
    <w:rsid w:val="7AC861E3"/>
    <w:rsid w:val="7AC94D0C"/>
    <w:rsid w:val="7AC96B81"/>
    <w:rsid w:val="7ACA0D7F"/>
    <w:rsid w:val="7ACA3F5F"/>
    <w:rsid w:val="7ACA4603"/>
    <w:rsid w:val="7ACA7597"/>
    <w:rsid w:val="7ACB2084"/>
    <w:rsid w:val="7ACB3A3E"/>
    <w:rsid w:val="7ACC7B06"/>
    <w:rsid w:val="7ACD5587"/>
    <w:rsid w:val="7ACE3009"/>
    <w:rsid w:val="7ACE7785"/>
    <w:rsid w:val="7ACF5207"/>
    <w:rsid w:val="7AD02C89"/>
    <w:rsid w:val="7AD1070A"/>
    <w:rsid w:val="7AD13F8D"/>
    <w:rsid w:val="7AD21A0F"/>
    <w:rsid w:val="7AD258DE"/>
    <w:rsid w:val="7AD3168F"/>
    <w:rsid w:val="7AD37490"/>
    <w:rsid w:val="7AD47110"/>
    <w:rsid w:val="7AD52994"/>
    <w:rsid w:val="7AD60415"/>
    <w:rsid w:val="7AD60594"/>
    <w:rsid w:val="7AD70F6E"/>
    <w:rsid w:val="7AD80A50"/>
    <w:rsid w:val="7AD81B0D"/>
    <w:rsid w:val="7AD83918"/>
    <w:rsid w:val="7AD8769F"/>
    <w:rsid w:val="7AD9139A"/>
    <w:rsid w:val="7ADA6E1B"/>
    <w:rsid w:val="7ADB489D"/>
    <w:rsid w:val="7ADC7DA0"/>
    <w:rsid w:val="7ADD5362"/>
    <w:rsid w:val="7ADE32A3"/>
    <w:rsid w:val="7ADF6716"/>
    <w:rsid w:val="7ADF7479"/>
    <w:rsid w:val="7AE067A6"/>
    <w:rsid w:val="7AE14228"/>
    <w:rsid w:val="7AE31DA6"/>
    <w:rsid w:val="7AE31F6B"/>
    <w:rsid w:val="7AE3772B"/>
    <w:rsid w:val="7AE6195B"/>
    <w:rsid w:val="7AE74A5D"/>
    <w:rsid w:val="7AE76131"/>
    <w:rsid w:val="7AE8016D"/>
    <w:rsid w:val="7AE83BB3"/>
    <w:rsid w:val="7AE855FB"/>
    <w:rsid w:val="7AE87E01"/>
    <w:rsid w:val="7AEC02B2"/>
    <w:rsid w:val="7AED182A"/>
    <w:rsid w:val="7AEE5ABC"/>
    <w:rsid w:val="7AEF353D"/>
    <w:rsid w:val="7AF16A40"/>
    <w:rsid w:val="7AF244C2"/>
    <w:rsid w:val="7AF24EBB"/>
    <w:rsid w:val="7AF27D45"/>
    <w:rsid w:val="7AF357C7"/>
    <w:rsid w:val="7AF379C5"/>
    <w:rsid w:val="7AF45447"/>
    <w:rsid w:val="7AF50CCA"/>
    <w:rsid w:val="7AF53541"/>
    <w:rsid w:val="7AF542EE"/>
    <w:rsid w:val="7AF6094A"/>
    <w:rsid w:val="7AF63020"/>
    <w:rsid w:val="7AF631D6"/>
    <w:rsid w:val="7AF6674C"/>
    <w:rsid w:val="7AF72429"/>
    <w:rsid w:val="7AF810EA"/>
    <w:rsid w:val="7AF81C4F"/>
    <w:rsid w:val="7AF83E4D"/>
    <w:rsid w:val="7AFA5152"/>
    <w:rsid w:val="7AFB0655"/>
    <w:rsid w:val="7AFB303D"/>
    <w:rsid w:val="7AFB4DD2"/>
    <w:rsid w:val="7AFC2853"/>
    <w:rsid w:val="7AFC60D6"/>
    <w:rsid w:val="7AFD02D5"/>
    <w:rsid w:val="7AFD3B58"/>
    <w:rsid w:val="7AFE15D9"/>
    <w:rsid w:val="7AFF705B"/>
    <w:rsid w:val="7B004ADD"/>
    <w:rsid w:val="7B01255E"/>
    <w:rsid w:val="7B016CDB"/>
    <w:rsid w:val="7B017E0B"/>
    <w:rsid w:val="7B0209A9"/>
    <w:rsid w:val="7B02475C"/>
    <w:rsid w:val="7B027FE0"/>
    <w:rsid w:val="7B0363F4"/>
    <w:rsid w:val="7B0434E3"/>
    <w:rsid w:val="7B046089"/>
    <w:rsid w:val="7B054DBB"/>
    <w:rsid w:val="7B0556E1"/>
    <w:rsid w:val="7B063163"/>
    <w:rsid w:val="7B063660"/>
    <w:rsid w:val="7B0669E6"/>
    <w:rsid w:val="7B07403A"/>
    <w:rsid w:val="7B074467"/>
    <w:rsid w:val="7B074BD9"/>
    <w:rsid w:val="7B084A14"/>
    <w:rsid w:val="7B0855B3"/>
    <w:rsid w:val="7B097470"/>
    <w:rsid w:val="7B0A53EC"/>
    <w:rsid w:val="7B0B2E6E"/>
    <w:rsid w:val="7B0B75EA"/>
    <w:rsid w:val="7B0B76CA"/>
    <w:rsid w:val="7B0C0269"/>
    <w:rsid w:val="7B0C08EF"/>
    <w:rsid w:val="7B0C506C"/>
    <w:rsid w:val="7B0D6371"/>
    <w:rsid w:val="7B0E3DF2"/>
    <w:rsid w:val="7B0E5FF1"/>
    <w:rsid w:val="7B0F1874"/>
    <w:rsid w:val="7B0F3A72"/>
    <w:rsid w:val="7B1014F4"/>
    <w:rsid w:val="7B1138F9"/>
    <w:rsid w:val="7B114D77"/>
    <w:rsid w:val="7B116F75"/>
    <w:rsid w:val="7B1242D4"/>
    <w:rsid w:val="7B127FDA"/>
    <w:rsid w:val="7B135CFC"/>
    <w:rsid w:val="7B1373E3"/>
    <w:rsid w:val="7B14377D"/>
    <w:rsid w:val="7B1511FF"/>
    <w:rsid w:val="7B1565B0"/>
    <w:rsid w:val="7B1633FD"/>
    <w:rsid w:val="7B166C80"/>
    <w:rsid w:val="7B166F8A"/>
    <w:rsid w:val="7B170503"/>
    <w:rsid w:val="7B170E7E"/>
    <w:rsid w:val="7B174702"/>
    <w:rsid w:val="7B182183"/>
    <w:rsid w:val="7B186900"/>
    <w:rsid w:val="7B194382"/>
    <w:rsid w:val="7B197C05"/>
    <w:rsid w:val="7B1B7885"/>
    <w:rsid w:val="7B1C3B93"/>
    <w:rsid w:val="7B1C3D58"/>
    <w:rsid w:val="7B1C5306"/>
    <w:rsid w:val="7B1D2D88"/>
    <w:rsid w:val="7B1D660B"/>
    <w:rsid w:val="7B1E0809"/>
    <w:rsid w:val="7B1E408D"/>
    <w:rsid w:val="7B1E52D0"/>
    <w:rsid w:val="7B1F1B0E"/>
    <w:rsid w:val="7B1F628B"/>
    <w:rsid w:val="7B203D0C"/>
    <w:rsid w:val="7B217224"/>
    <w:rsid w:val="7B2214EA"/>
    <w:rsid w:val="7B221D76"/>
    <w:rsid w:val="7B230961"/>
    <w:rsid w:val="7B234C91"/>
    <w:rsid w:val="7B23675D"/>
    <w:rsid w:val="7B242713"/>
    <w:rsid w:val="7B2528B4"/>
    <w:rsid w:val="7B2539A9"/>
    <w:rsid w:val="7B253A17"/>
    <w:rsid w:val="7B255C16"/>
    <w:rsid w:val="7B261499"/>
    <w:rsid w:val="7B261FC1"/>
    <w:rsid w:val="7B263617"/>
    <w:rsid w:val="7B263697"/>
    <w:rsid w:val="7B276F1B"/>
    <w:rsid w:val="7B29241E"/>
    <w:rsid w:val="7B29461C"/>
    <w:rsid w:val="7B29572F"/>
    <w:rsid w:val="7B2A209D"/>
    <w:rsid w:val="7B2A7E9F"/>
    <w:rsid w:val="7B2B5921"/>
    <w:rsid w:val="7B2B6AE3"/>
    <w:rsid w:val="7B2B7B1F"/>
    <w:rsid w:val="7B2C0E24"/>
    <w:rsid w:val="7B2C33A2"/>
    <w:rsid w:val="7B2C7846"/>
    <w:rsid w:val="7B2D3022"/>
    <w:rsid w:val="7B2E4327"/>
    <w:rsid w:val="7B2E6262"/>
    <w:rsid w:val="7B2F1DA8"/>
    <w:rsid w:val="7B302174"/>
    <w:rsid w:val="7B303E7C"/>
    <w:rsid w:val="7B303FA7"/>
    <w:rsid w:val="7B304032"/>
    <w:rsid w:val="7B304708"/>
    <w:rsid w:val="7B30782A"/>
    <w:rsid w:val="7B3152AC"/>
    <w:rsid w:val="7B322D2D"/>
    <w:rsid w:val="7B324450"/>
    <w:rsid w:val="7B3274AA"/>
    <w:rsid w:val="7B334E2A"/>
    <w:rsid w:val="7B334F2B"/>
    <w:rsid w:val="7B334FEE"/>
    <w:rsid w:val="7B3429AD"/>
    <w:rsid w:val="7B35042F"/>
    <w:rsid w:val="7B353CB2"/>
    <w:rsid w:val="7B366F41"/>
    <w:rsid w:val="7B373932"/>
    <w:rsid w:val="7B38067F"/>
    <w:rsid w:val="7B3813B3"/>
    <w:rsid w:val="7B3926B8"/>
    <w:rsid w:val="7B3A48B6"/>
    <w:rsid w:val="7B3A7C36"/>
    <w:rsid w:val="7B3B2338"/>
    <w:rsid w:val="7B3C3170"/>
    <w:rsid w:val="7B3C363D"/>
    <w:rsid w:val="7B3D10BE"/>
    <w:rsid w:val="7B3E6D30"/>
    <w:rsid w:val="7B3E709B"/>
    <w:rsid w:val="7B3F45C1"/>
    <w:rsid w:val="7B3F5288"/>
    <w:rsid w:val="7B3F62EE"/>
    <w:rsid w:val="7B402043"/>
    <w:rsid w:val="7B41739F"/>
    <w:rsid w:val="7B417AC4"/>
    <w:rsid w:val="7B425546"/>
    <w:rsid w:val="7B427F3E"/>
    <w:rsid w:val="7B43443B"/>
    <w:rsid w:val="7B440A49"/>
    <w:rsid w:val="7B4412F3"/>
    <w:rsid w:val="7B451E91"/>
    <w:rsid w:val="7B45751D"/>
    <w:rsid w:val="7B4619CE"/>
    <w:rsid w:val="7B47744F"/>
    <w:rsid w:val="7B492952"/>
    <w:rsid w:val="7B4B5E55"/>
    <w:rsid w:val="7B4C1878"/>
    <w:rsid w:val="7B4D039C"/>
    <w:rsid w:val="7B4D1359"/>
    <w:rsid w:val="7B4D7639"/>
    <w:rsid w:val="7B4E0D77"/>
    <w:rsid w:val="7B4F1915"/>
    <w:rsid w:val="7B4F6590"/>
    <w:rsid w:val="7B5022DD"/>
    <w:rsid w:val="7B512E8E"/>
    <w:rsid w:val="7B51461E"/>
    <w:rsid w:val="7B517D5F"/>
    <w:rsid w:val="7B534407"/>
    <w:rsid w:val="7B544DE1"/>
    <w:rsid w:val="7B555980"/>
    <w:rsid w:val="7B556765"/>
    <w:rsid w:val="7B5641E6"/>
    <w:rsid w:val="7B5754EB"/>
    <w:rsid w:val="7B576EF9"/>
    <w:rsid w:val="7B5876EA"/>
    <w:rsid w:val="7B5909EE"/>
    <w:rsid w:val="7B5A4576"/>
    <w:rsid w:val="7B5A4E02"/>
    <w:rsid w:val="7B5B3CEA"/>
    <w:rsid w:val="7B5B3EF1"/>
    <w:rsid w:val="7B5C26B1"/>
    <w:rsid w:val="7B5C32A8"/>
    <w:rsid w:val="7B5C345E"/>
    <w:rsid w:val="7B5C3B71"/>
    <w:rsid w:val="7B5D3CC6"/>
    <w:rsid w:val="7B5E3716"/>
    <w:rsid w:val="7B5E4E76"/>
    <w:rsid w:val="7B5E7074"/>
    <w:rsid w:val="7B5F28F8"/>
    <w:rsid w:val="7B600379"/>
    <w:rsid w:val="7B602578"/>
    <w:rsid w:val="7B605DDE"/>
    <w:rsid w:val="7B615DFB"/>
    <w:rsid w:val="7B617FF9"/>
    <w:rsid w:val="7B6249F8"/>
    <w:rsid w:val="7B6312FE"/>
    <w:rsid w:val="7B6408D0"/>
    <w:rsid w:val="7B640F7E"/>
    <w:rsid w:val="7B644801"/>
    <w:rsid w:val="7B652283"/>
    <w:rsid w:val="7B6569FF"/>
    <w:rsid w:val="7B675786"/>
    <w:rsid w:val="7B683207"/>
    <w:rsid w:val="7B686D42"/>
    <w:rsid w:val="7B687429"/>
    <w:rsid w:val="7B687984"/>
    <w:rsid w:val="7B694AFF"/>
    <w:rsid w:val="7B694CC3"/>
    <w:rsid w:val="7B6A2E87"/>
    <w:rsid w:val="7B6A670A"/>
    <w:rsid w:val="7B6B0909"/>
    <w:rsid w:val="7B6B418C"/>
    <w:rsid w:val="7B6B623C"/>
    <w:rsid w:val="7B6C067B"/>
    <w:rsid w:val="7B6C1C0D"/>
    <w:rsid w:val="7B6C638A"/>
    <w:rsid w:val="7B6D3E0C"/>
    <w:rsid w:val="7B6E5110"/>
    <w:rsid w:val="7B701708"/>
    <w:rsid w:val="7B720293"/>
    <w:rsid w:val="7B723B17"/>
    <w:rsid w:val="7B731598"/>
    <w:rsid w:val="7B735D15"/>
    <w:rsid w:val="7B743797"/>
    <w:rsid w:val="7B76251D"/>
    <w:rsid w:val="7B7664D6"/>
    <w:rsid w:val="7B771530"/>
    <w:rsid w:val="7B776EB0"/>
    <w:rsid w:val="7B785A20"/>
    <w:rsid w:val="7B787C13"/>
    <w:rsid w:val="7B7934A2"/>
    <w:rsid w:val="7B7956A0"/>
    <w:rsid w:val="7B797EF7"/>
    <w:rsid w:val="7B7A0F23"/>
    <w:rsid w:val="7B7A3121"/>
    <w:rsid w:val="7B7B0BA3"/>
    <w:rsid w:val="7B7C1EA8"/>
    <w:rsid w:val="7B7D32A4"/>
    <w:rsid w:val="7B7D40A6"/>
    <w:rsid w:val="7B7E1B28"/>
    <w:rsid w:val="7B7F2E2C"/>
    <w:rsid w:val="7B7F75A9"/>
    <w:rsid w:val="7B8008AE"/>
    <w:rsid w:val="7B80502B"/>
    <w:rsid w:val="7B812AAC"/>
    <w:rsid w:val="7B823DB1"/>
    <w:rsid w:val="7B826770"/>
    <w:rsid w:val="7B831833"/>
    <w:rsid w:val="7B840A4C"/>
    <w:rsid w:val="7B841746"/>
    <w:rsid w:val="7B843A31"/>
    <w:rsid w:val="7B8472B4"/>
    <w:rsid w:val="7B8514B2"/>
    <w:rsid w:val="7B8627B7"/>
    <w:rsid w:val="7B870239"/>
    <w:rsid w:val="7B8749B6"/>
    <w:rsid w:val="7B882437"/>
    <w:rsid w:val="7B88353D"/>
    <w:rsid w:val="7B885CBA"/>
    <w:rsid w:val="7B89373C"/>
    <w:rsid w:val="7B8A11BD"/>
    <w:rsid w:val="7B8A5F6C"/>
    <w:rsid w:val="7B8B33BC"/>
    <w:rsid w:val="7B8C0E3D"/>
    <w:rsid w:val="7B8C46C1"/>
    <w:rsid w:val="7B8D2142"/>
    <w:rsid w:val="7B8D4340"/>
    <w:rsid w:val="7B8D6D92"/>
    <w:rsid w:val="7B8E1DC2"/>
    <w:rsid w:val="7B8E776C"/>
    <w:rsid w:val="7B8E7BC4"/>
    <w:rsid w:val="7B8F0147"/>
    <w:rsid w:val="7B8F3DE8"/>
    <w:rsid w:val="7B8F5645"/>
    <w:rsid w:val="7B9030C7"/>
    <w:rsid w:val="7B9052C5"/>
    <w:rsid w:val="7B911884"/>
    <w:rsid w:val="7B9207C8"/>
    <w:rsid w:val="7B922FC1"/>
    <w:rsid w:val="7B9265CA"/>
    <w:rsid w:val="7B9337D7"/>
    <w:rsid w:val="7B93399C"/>
    <w:rsid w:val="7B93624A"/>
    <w:rsid w:val="7B941ACD"/>
    <w:rsid w:val="7B955067"/>
    <w:rsid w:val="7B9553D2"/>
    <w:rsid w:val="7B95754E"/>
    <w:rsid w:val="7B962A52"/>
    <w:rsid w:val="7B97648D"/>
    <w:rsid w:val="7B990153"/>
    <w:rsid w:val="7B991BC7"/>
    <w:rsid w:val="7B9A1458"/>
    <w:rsid w:val="7B9A5BD4"/>
    <w:rsid w:val="7B9B3656"/>
    <w:rsid w:val="7B9B6ED9"/>
    <w:rsid w:val="7B9C1CE2"/>
    <w:rsid w:val="7B9C495B"/>
    <w:rsid w:val="7B9D23DC"/>
    <w:rsid w:val="7B9D6B59"/>
    <w:rsid w:val="7B9E45DB"/>
    <w:rsid w:val="7B9E7E5E"/>
    <w:rsid w:val="7B9F47D4"/>
    <w:rsid w:val="7BA03361"/>
    <w:rsid w:val="7BA1555F"/>
    <w:rsid w:val="7BA15F11"/>
    <w:rsid w:val="7BA342E6"/>
    <w:rsid w:val="7BA41D67"/>
    <w:rsid w:val="7BA47E64"/>
    <w:rsid w:val="7BA50A03"/>
    <w:rsid w:val="7BA613DD"/>
    <w:rsid w:val="7BA6526A"/>
    <w:rsid w:val="7BA82956"/>
    <w:rsid w:val="7BA934F5"/>
    <w:rsid w:val="7BA961EF"/>
    <w:rsid w:val="7BAB16F2"/>
    <w:rsid w:val="7BAB4A6E"/>
    <w:rsid w:val="7BAC7174"/>
    <w:rsid w:val="7BAD6B85"/>
    <w:rsid w:val="7BAE00F8"/>
    <w:rsid w:val="7BAE042E"/>
    <w:rsid w:val="7BAE78E8"/>
    <w:rsid w:val="7BAF5B7A"/>
    <w:rsid w:val="7BAF6C7F"/>
    <w:rsid w:val="7BB00E61"/>
    <w:rsid w:val="7BB035FB"/>
    <w:rsid w:val="7BB1107D"/>
    <w:rsid w:val="7BB1183B"/>
    <w:rsid w:val="7BB223DA"/>
    <w:rsid w:val="7BB22542"/>
    <w:rsid w:val="7BB26AFF"/>
    <w:rsid w:val="7BB42002"/>
    <w:rsid w:val="7BB57A83"/>
    <w:rsid w:val="7BB64ECC"/>
    <w:rsid w:val="7BB65090"/>
    <w:rsid w:val="7BB72F86"/>
    <w:rsid w:val="7BB80A08"/>
    <w:rsid w:val="7BB96FE3"/>
    <w:rsid w:val="7BBB055C"/>
    <w:rsid w:val="7BBD0713"/>
    <w:rsid w:val="7BBD4E90"/>
    <w:rsid w:val="7BBE3213"/>
    <w:rsid w:val="7BBE6194"/>
    <w:rsid w:val="7BBF0393"/>
    <w:rsid w:val="7BBF3C16"/>
    <w:rsid w:val="7BC01697"/>
    <w:rsid w:val="7BC13896"/>
    <w:rsid w:val="7BC17119"/>
    <w:rsid w:val="7BC21317"/>
    <w:rsid w:val="7BC3261C"/>
    <w:rsid w:val="7BC36A67"/>
    <w:rsid w:val="7BC5229C"/>
    <w:rsid w:val="7BC55B1F"/>
    <w:rsid w:val="7BC57D1D"/>
    <w:rsid w:val="7BC609BA"/>
    <w:rsid w:val="7BC635A1"/>
    <w:rsid w:val="7BC6579F"/>
    <w:rsid w:val="7BC71022"/>
    <w:rsid w:val="7BC73221"/>
    <w:rsid w:val="7BC80CA2"/>
    <w:rsid w:val="7BC8610F"/>
    <w:rsid w:val="7BC94525"/>
    <w:rsid w:val="7BC96724"/>
    <w:rsid w:val="7BCA1FA7"/>
    <w:rsid w:val="7BCA41A5"/>
    <w:rsid w:val="7BCA420F"/>
    <w:rsid w:val="7BCB7A29"/>
    <w:rsid w:val="7BCC54AA"/>
    <w:rsid w:val="7BCC55C4"/>
    <w:rsid w:val="7BCC76A8"/>
    <w:rsid w:val="7BCD09AD"/>
    <w:rsid w:val="7BCD512A"/>
    <w:rsid w:val="7BCE6B3D"/>
    <w:rsid w:val="7BCE6D01"/>
    <w:rsid w:val="7BCE7347"/>
    <w:rsid w:val="7BCF062D"/>
    <w:rsid w:val="7BCF3EB0"/>
    <w:rsid w:val="7BD01B16"/>
    <w:rsid w:val="7BD060AF"/>
    <w:rsid w:val="7BD173B3"/>
    <w:rsid w:val="7BD24E35"/>
    <w:rsid w:val="7BD328B6"/>
    <w:rsid w:val="7BD37033"/>
    <w:rsid w:val="7BD40338"/>
    <w:rsid w:val="7BD44AB5"/>
    <w:rsid w:val="7BD52536"/>
    <w:rsid w:val="7BD55DBA"/>
    <w:rsid w:val="7BD712BD"/>
    <w:rsid w:val="7BD74E83"/>
    <w:rsid w:val="7BD75A22"/>
    <w:rsid w:val="7BD75BE6"/>
    <w:rsid w:val="7BD834BB"/>
    <w:rsid w:val="7BD865C1"/>
    <w:rsid w:val="7BD90F3C"/>
    <w:rsid w:val="7BD947C0"/>
    <w:rsid w:val="7BDA69BE"/>
    <w:rsid w:val="7BDB0514"/>
    <w:rsid w:val="7BDB06D8"/>
    <w:rsid w:val="7BDB4440"/>
    <w:rsid w:val="7BDB78F5"/>
    <w:rsid w:val="7BDC10B2"/>
    <w:rsid w:val="7BDC1EC1"/>
    <w:rsid w:val="7BDD1B24"/>
    <w:rsid w:val="7BDD1C51"/>
    <w:rsid w:val="7BDD31C6"/>
    <w:rsid w:val="7BDD53C4"/>
    <w:rsid w:val="7BDE0F2D"/>
    <w:rsid w:val="7BDE2E46"/>
    <w:rsid w:val="7BDF0180"/>
    <w:rsid w:val="7BDF7C5F"/>
    <w:rsid w:val="7BE0414B"/>
    <w:rsid w:val="7BE2184C"/>
    <w:rsid w:val="7BE350CF"/>
    <w:rsid w:val="7BE36A1F"/>
    <w:rsid w:val="7BE372CE"/>
    <w:rsid w:val="7BE42B51"/>
    <w:rsid w:val="7BE4685A"/>
    <w:rsid w:val="7BE505D2"/>
    <w:rsid w:val="7BE52E7C"/>
    <w:rsid w:val="7BE56054"/>
    <w:rsid w:val="7BE60252"/>
    <w:rsid w:val="7BE60972"/>
    <w:rsid w:val="7BE63AD5"/>
    <w:rsid w:val="7BE71511"/>
    <w:rsid w:val="7BE71557"/>
    <w:rsid w:val="7BE820AF"/>
    <w:rsid w:val="7BE83755"/>
    <w:rsid w:val="7BE92A89"/>
    <w:rsid w:val="7BEA24DC"/>
    <w:rsid w:val="7BEA6C58"/>
    <w:rsid w:val="7BEC215B"/>
    <w:rsid w:val="7BEC38BF"/>
    <w:rsid w:val="7BEC3C2A"/>
    <w:rsid w:val="7BEC4BA1"/>
    <w:rsid w:val="7BEC59DF"/>
    <w:rsid w:val="7BED3460"/>
    <w:rsid w:val="7BEE0EE2"/>
    <w:rsid w:val="7BEE237C"/>
    <w:rsid w:val="7BEE565F"/>
    <w:rsid w:val="7BEE62DE"/>
    <w:rsid w:val="7BEF6963"/>
    <w:rsid w:val="7BF003F6"/>
    <w:rsid w:val="7BF043E5"/>
    <w:rsid w:val="7BF07857"/>
    <w:rsid w:val="7BF11E66"/>
    <w:rsid w:val="7BF165E3"/>
    <w:rsid w:val="7BF278E8"/>
    <w:rsid w:val="7BF3536A"/>
    <w:rsid w:val="7BF42D23"/>
    <w:rsid w:val="7BF42DEB"/>
    <w:rsid w:val="7BF47568"/>
    <w:rsid w:val="7BF5086D"/>
    <w:rsid w:val="7BF5248E"/>
    <w:rsid w:val="7BF54FE9"/>
    <w:rsid w:val="7BF73D70"/>
    <w:rsid w:val="7BF74FFF"/>
    <w:rsid w:val="7BF839F0"/>
    <w:rsid w:val="7BF91471"/>
    <w:rsid w:val="7BF92B4E"/>
    <w:rsid w:val="7BF97273"/>
    <w:rsid w:val="7BFB2776"/>
    <w:rsid w:val="7BFB54A5"/>
    <w:rsid w:val="7BFC01F8"/>
    <w:rsid w:val="7BFC15CB"/>
    <w:rsid w:val="7BFD36FB"/>
    <w:rsid w:val="7BFD5C79"/>
    <w:rsid w:val="7BFD7E77"/>
    <w:rsid w:val="7BFF27A7"/>
    <w:rsid w:val="7BFF6BFE"/>
    <w:rsid w:val="7C00467F"/>
    <w:rsid w:val="7C017364"/>
    <w:rsid w:val="7C0242FF"/>
    <w:rsid w:val="7C035604"/>
    <w:rsid w:val="7C035E38"/>
    <w:rsid w:val="7C047802"/>
    <w:rsid w:val="7C050B07"/>
    <w:rsid w:val="7C066589"/>
    <w:rsid w:val="7C070787"/>
    <w:rsid w:val="7C07400A"/>
    <w:rsid w:val="7C081A8C"/>
    <w:rsid w:val="7C086208"/>
    <w:rsid w:val="7C0A4F8F"/>
    <w:rsid w:val="7C0A6A4B"/>
    <w:rsid w:val="7C0A6D20"/>
    <w:rsid w:val="7C0C0492"/>
    <w:rsid w:val="7C0C417E"/>
    <w:rsid w:val="7C0C76D6"/>
    <w:rsid w:val="7C0E3995"/>
    <w:rsid w:val="7C0E60D1"/>
    <w:rsid w:val="7C1101E9"/>
    <w:rsid w:val="7C11491A"/>
    <w:rsid w:val="7C120D88"/>
    <w:rsid w:val="7C120F4C"/>
    <w:rsid w:val="7C12239B"/>
    <w:rsid w:val="7C142300"/>
    <w:rsid w:val="7C1424C5"/>
    <w:rsid w:val="7C14589E"/>
    <w:rsid w:val="7C152E9F"/>
    <w:rsid w:val="7C160DA1"/>
    <w:rsid w:val="7C166823"/>
    <w:rsid w:val="7C173056"/>
    <w:rsid w:val="7C1742A4"/>
    <w:rsid w:val="7C1745DC"/>
    <w:rsid w:val="7C181F3F"/>
    <w:rsid w:val="7C18245F"/>
    <w:rsid w:val="7C184FB7"/>
    <w:rsid w:val="7C191192"/>
    <w:rsid w:val="7C1977A8"/>
    <w:rsid w:val="7C1A5229"/>
    <w:rsid w:val="7C1A652F"/>
    <w:rsid w:val="7C1C080B"/>
    <w:rsid w:val="7C1D61AE"/>
    <w:rsid w:val="7C1E1BC0"/>
    <w:rsid w:val="7C1E1D84"/>
    <w:rsid w:val="7C1F16B1"/>
    <w:rsid w:val="7C214BB4"/>
    <w:rsid w:val="7C224876"/>
    <w:rsid w:val="7C225EB9"/>
    <w:rsid w:val="7C235250"/>
    <w:rsid w:val="7C2413BC"/>
    <w:rsid w:val="7C245B39"/>
    <w:rsid w:val="7C2535BA"/>
    <w:rsid w:val="7C2648BF"/>
    <w:rsid w:val="7C274566"/>
    <w:rsid w:val="7C276ABD"/>
    <w:rsid w:val="7C281644"/>
    <w:rsid w:val="7C287DC2"/>
    <w:rsid w:val="7C295844"/>
    <w:rsid w:val="7C296138"/>
    <w:rsid w:val="7C2A32C5"/>
    <w:rsid w:val="7C2A7A42"/>
    <w:rsid w:val="7C2B0D47"/>
    <w:rsid w:val="7C2B3597"/>
    <w:rsid w:val="7C2D09C7"/>
    <w:rsid w:val="7C2D4B10"/>
    <w:rsid w:val="7C2E1CCB"/>
    <w:rsid w:val="7C2F194B"/>
    <w:rsid w:val="7C3051CE"/>
    <w:rsid w:val="7C3073CD"/>
    <w:rsid w:val="7C314E4E"/>
    <w:rsid w:val="7C3201A0"/>
    <w:rsid w:val="7C3206D2"/>
    <w:rsid w:val="7C330351"/>
    <w:rsid w:val="7C336153"/>
    <w:rsid w:val="7C345DD3"/>
    <w:rsid w:val="7C351656"/>
    <w:rsid w:val="7C3522B8"/>
    <w:rsid w:val="7C353855"/>
    <w:rsid w:val="7C356B8E"/>
    <w:rsid w:val="7C356EF9"/>
    <w:rsid w:val="7C3639F5"/>
    <w:rsid w:val="7C365A76"/>
    <w:rsid w:val="7C3670D8"/>
    <w:rsid w:val="7C3725DB"/>
    <w:rsid w:val="7C372DE3"/>
    <w:rsid w:val="7C3743CF"/>
    <w:rsid w:val="7C376D58"/>
    <w:rsid w:val="7C38005C"/>
    <w:rsid w:val="7C39225B"/>
    <w:rsid w:val="7C3A3560"/>
    <w:rsid w:val="7C3B0FE1"/>
    <w:rsid w:val="7C3B575E"/>
    <w:rsid w:val="7C3B7086"/>
    <w:rsid w:val="7C3C7A60"/>
    <w:rsid w:val="7C3D07C3"/>
    <w:rsid w:val="7C3E1F66"/>
    <w:rsid w:val="7C3E66E2"/>
    <w:rsid w:val="7C3F4164"/>
    <w:rsid w:val="7C3F6DDE"/>
    <w:rsid w:val="7C3F79E7"/>
    <w:rsid w:val="7C405469"/>
    <w:rsid w:val="7C417667"/>
    <w:rsid w:val="7C42096C"/>
    <w:rsid w:val="7C431DAC"/>
    <w:rsid w:val="7C432B6A"/>
    <w:rsid w:val="7C4405EC"/>
    <w:rsid w:val="7C440ADF"/>
    <w:rsid w:val="7C4518F1"/>
    <w:rsid w:val="7C45606D"/>
    <w:rsid w:val="7C463AEF"/>
    <w:rsid w:val="7C467372"/>
    <w:rsid w:val="7C470082"/>
    <w:rsid w:val="7C474AAA"/>
    <w:rsid w:val="7C474DF4"/>
    <w:rsid w:val="7C476FF2"/>
    <w:rsid w:val="7C482875"/>
    <w:rsid w:val="7C4902F7"/>
    <w:rsid w:val="7C4915FB"/>
    <w:rsid w:val="7C4924F5"/>
    <w:rsid w:val="7C4A1FD6"/>
    <w:rsid w:val="7C4B59F8"/>
    <w:rsid w:val="7C4C127B"/>
    <w:rsid w:val="7C4D6CFD"/>
    <w:rsid w:val="7C4E2200"/>
    <w:rsid w:val="7C4E477F"/>
    <w:rsid w:val="7C4E4AC7"/>
    <w:rsid w:val="7C4E697D"/>
    <w:rsid w:val="7C4F43FE"/>
    <w:rsid w:val="7C4F7C82"/>
    <w:rsid w:val="7C501E80"/>
    <w:rsid w:val="7C505703"/>
    <w:rsid w:val="7C513185"/>
    <w:rsid w:val="7C516BDF"/>
    <w:rsid w:val="7C520C06"/>
    <w:rsid w:val="7C523B48"/>
    <w:rsid w:val="7C532E05"/>
    <w:rsid w:val="7C536688"/>
    <w:rsid w:val="7C540886"/>
    <w:rsid w:val="7C541895"/>
    <w:rsid w:val="7C544109"/>
    <w:rsid w:val="7C551B8B"/>
    <w:rsid w:val="7C556308"/>
    <w:rsid w:val="7C57180B"/>
    <w:rsid w:val="7C573B71"/>
    <w:rsid w:val="7C57508E"/>
    <w:rsid w:val="7C584387"/>
    <w:rsid w:val="7C58728C"/>
    <w:rsid w:val="7C594D0E"/>
    <w:rsid w:val="7C5950EA"/>
    <w:rsid w:val="7C5A278F"/>
    <w:rsid w:val="7C5A5AC4"/>
    <w:rsid w:val="7C5B0211"/>
    <w:rsid w:val="7C5C1516"/>
    <w:rsid w:val="7C5C5C93"/>
    <w:rsid w:val="7C5C703D"/>
    <w:rsid w:val="7C5D6F97"/>
    <w:rsid w:val="7C5D7BDC"/>
    <w:rsid w:val="7C5E077A"/>
    <w:rsid w:val="7C5E1319"/>
    <w:rsid w:val="7C5E4A19"/>
    <w:rsid w:val="7C5E6C17"/>
    <w:rsid w:val="7C5F1CF3"/>
    <w:rsid w:val="7C5F249A"/>
    <w:rsid w:val="7C5F4699"/>
    <w:rsid w:val="7C60211A"/>
    <w:rsid w:val="7C607F1C"/>
    <w:rsid w:val="7C613431"/>
    <w:rsid w:val="7C615578"/>
    <w:rsid w:val="7C617B9C"/>
    <w:rsid w:val="7C62341F"/>
    <w:rsid w:val="7C624460"/>
    <w:rsid w:val="7C62561D"/>
    <w:rsid w:val="7C630EA1"/>
    <w:rsid w:val="7C655D5E"/>
    <w:rsid w:val="7C6565A2"/>
    <w:rsid w:val="7C661E25"/>
    <w:rsid w:val="7C666AC1"/>
    <w:rsid w:val="7C671AA5"/>
    <w:rsid w:val="7C682DAA"/>
    <w:rsid w:val="7C690A14"/>
    <w:rsid w:val="7C694FA8"/>
    <w:rsid w:val="7C6A2A2A"/>
    <w:rsid w:val="7C6B04AB"/>
    <w:rsid w:val="7C6C5AC7"/>
    <w:rsid w:val="7C6C5F2D"/>
    <w:rsid w:val="7C6D39AE"/>
    <w:rsid w:val="7C6E1430"/>
    <w:rsid w:val="7C6E4C43"/>
    <w:rsid w:val="7C6E4CB3"/>
    <w:rsid w:val="7C6F042B"/>
    <w:rsid w:val="7C7001B6"/>
    <w:rsid w:val="7C7061BC"/>
    <w:rsid w:val="7C706380"/>
    <w:rsid w:val="7C716D5B"/>
    <w:rsid w:val="7C7236B9"/>
    <w:rsid w:val="7C7278F9"/>
    <w:rsid w:val="7C73113B"/>
    <w:rsid w:val="7C735B02"/>
    <w:rsid w:val="7C740E72"/>
    <w:rsid w:val="7C746BBD"/>
    <w:rsid w:val="7C75463E"/>
    <w:rsid w:val="7C772F8A"/>
    <w:rsid w:val="7C777B41"/>
    <w:rsid w:val="7C793044"/>
    <w:rsid w:val="7C7A0AC6"/>
    <w:rsid w:val="7C7A4EDD"/>
    <w:rsid w:val="7C7D2A53"/>
    <w:rsid w:val="7C7E0732"/>
    <w:rsid w:val="7C7E1AF1"/>
    <w:rsid w:val="7C7E1E5C"/>
    <w:rsid w:val="7C7F110C"/>
    <w:rsid w:val="7C7F12D0"/>
    <w:rsid w:val="7C815ED2"/>
    <w:rsid w:val="7C8233E8"/>
    <w:rsid w:val="7C823954"/>
    <w:rsid w:val="7C8313D5"/>
    <w:rsid w:val="7C85533B"/>
    <w:rsid w:val="7C86235A"/>
    <w:rsid w:val="7C87365F"/>
    <w:rsid w:val="7C877DDC"/>
    <w:rsid w:val="7C8810E0"/>
    <w:rsid w:val="7C88585D"/>
    <w:rsid w:val="7C887617"/>
    <w:rsid w:val="7C890B90"/>
    <w:rsid w:val="7C8932DF"/>
    <w:rsid w:val="7C896B62"/>
    <w:rsid w:val="7C8A0D60"/>
    <w:rsid w:val="7C8A156A"/>
    <w:rsid w:val="7C8A45E3"/>
    <w:rsid w:val="7C8B67E2"/>
    <w:rsid w:val="7C8C2AE3"/>
    <w:rsid w:val="7C8C2CA7"/>
    <w:rsid w:val="7C8C4263"/>
    <w:rsid w:val="7C8C5751"/>
    <w:rsid w:val="7C8D1CE5"/>
    <w:rsid w:val="7C8D5568"/>
    <w:rsid w:val="7C8E2FEA"/>
    <w:rsid w:val="7C8E405C"/>
    <w:rsid w:val="7C8E737A"/>
    <w:rsid w:val="7C8E7766"/>
    <w:rsid w:val="7C8F0A6B"/>
    <w:rsid w:val="7C8F4BFB"/>
    <w:rsid w:val="7C9106EB"/>
    <w:rsid w:val="7C92616D"/>
    <w:rsid w:val="7C933BEE"/>
    <w:rsid w:val="7C937471"/>
    <w:rsid w:val="7C9376EC"/>
    <w:rsid w:val="7C952974"/>
    <w:rsid w:val="7C9603F6"/>
    <w:rsid w:val="7C962567"/>
    <w:rsid w:val="7C964B73"/>
    <w:rsid w:val="7C970076"/>
    <w:rsid w:val="7C9838F9"/>
    <w:rsid w:val="7C985AF7"/>
    <w:rsid w:val="7C99137B"/>
    <w:rsid w:val="7C9944BA"/>
    <w:rsid w:val="7C9A0FFB"/>
    <w:rsid w:val="7C9A6DFC"/>
    <w:rsid w:val="7C9B6A7C"/>
    <w:rsid w:val="7C9B74EC"/>
    <w:rsid w:val="7C9C22FF"/>
    <w:rsid w:val="7C9C6796"/>
    <w:rsid w:val="7C9D7D81"/>
    <w:rsid w:val="7C9D7F46"/>
    <w:rsid w:val="7C9E5802"/>
    <w:rsid w:val="7C9E7A01"/>
    <w:rsid w:val="7C9E7B4B"/>
    <w:rsid w:val="7C9F3284"/>
    <w:rsid w:val="7C9F5482"/>
    <w:rsid w:val="7CA01288"/>
    <w:rsid w:val="7CA02F04"/>
    <w:rsid w:val="7CA06787"/>
    <w:rsid w:val="7CA10985"/>
    <w:rsid w:val="7CA11E26"/>
    <w:rsid w:val="7CA21C8A"/>
    <w:rsid w:val="7CA26407"/>
    <w:rsid w:val="7CA331DB"/>
    <w:rsid w:val="7CA33E88"/>
    <w:rsid w:val="7CA4190A"/>
    <w:rsid w:val="7CA43D7A"/>
    <w:rsid w:val="7CA4518D"/>
    <w:rsid w:val="7CA5738C"/>
    <w:rsid w:val="7CA64E0D"/>
    <w:rsid w:val="7CA76112"/>
    <w:rsid w:val="7CA828C1"/>
    <w:rsid w:val="7CA875CE"/>
    <w:rsid w:val="7CA95D92"/>
    <w:rsid w:val="7CAA04DB"/>
    <w:rsid w:val="7CAA3813"/>
    <w:rsid w:val="7CAA5B44"/>
    <w:rsid w:val="7CAA7097"/>
    <w:rsid w:val="7CAB16E6"/>
    <w:rsid w:val="7CAB4B18"/>
    <w:rsid w:val="7CAC259A"/>
    <w:rsid w:val="7CAC6D16"/>
    <w:rsid w:val="7CAD001B"/>
    <w:rsid w:val="7CAD4798"/>
    <w:rsid w:val="7CAE5A9D"/>
    <w:rsid w:val="7CAF351E"/>
    <w:rsid w:val="7CAF7C9B"/>
    <w:rsid w:val="7CB00FA0"/>
    <w:rsid w:val="7CB10C20"/>
    <w:rsid w:val="7CB16A21"/>
    <w:rsid w:val="7CB244A3"/>
    <w:rsid w:val="7CB266A1"/>
    <w:rsid w:val="7CB26CCA"/>
    <w:rsid w:val="7CB31F25"/>
    <w:rsid w:val="7CB34123"/>
    <w:rsid w:val="7CB41BA4"/>
    <w:rsid w:val="7CB479A6"/>
    <w:rsid w:val="7CB61980"/>
    <w:rsid w:val="7CB7092B"/>
    <w:rsid w:val="7CB7235A"/>
    <w:rsid w:val="7CB805AB"/>
    <w:rsid w:val="7CB836FA"/>
    <w:rsid w:val="7CB918AF"/>
    <w:rsid w:val="7CB91E86"/>
    <w:rsid w:val="7CBA3AAE"/>
    <w:rsid w:val="7CBA4636"/>
    <w:rsid w:val="7CBA7331"/>
    <w:rsid w:val="7CBB152F"/>
    <w:rsid w:val="7CBB4DB2"/>
    <w:rsid w:val="7CBC2834"/>
    <w:rsid w:val="7CBC59EA"/>
    <w:rsid w:val="7CBC6FB1"/>
    <w:rsid w:val="7CBD4A32"/>
    <w:rsid w:val="7CBD6589"/>
    <w:rsid w:val="7CBD674D"/>
    <w:rsid w:val="7CBE24B4"/>
    <w:rsid w:val="7CBE5D37"/>
    <w:rsid w:val="7CBF7F35"/>
    <w:rsid w:val="7CC11C19"/>
    <w:rsid w:val="7CC13438"/>
    <w:rsid w:val="7CC16CBC"/>
    <w:rsid w:val="7CC20EBA"/>
    <w:rsid w:val="7CC2473D"/>
    <w:rsid w:val="7CC3693C"/>
    <w:rsid w:val="7CC443BD"/>
    <w:rsid w:val="7CC47C40"/>
    <w:rsid w:val="7CC548D0"/>
    <w:rsid w:val="7CC556C2"/>
    <w:rsid w:val="7CC63144"/>
    <w:rsid w:val="7CC6544B"/>
    <w:rsid w:val="7CC70BC5"/>
    <w:rsid w:val="7CC75342"/>
    <w:rsid w:val="7CC75E49"/>
    <w:rsid w:val="7CC7600D"/>
    <w:rsid w:val="7CC80845"/>
    <w:rsid w:val="7CC84A54"/>
    <w:rsid w:val="7CC86647"/>
    <w:rsid w:val="7CCA0125"/>
    <w:rsid w:val="7CCA3D48"/>
    <w:rsid w:val="7CCA7F60"/>
    <w:rsid w:val="7CCB17CA"/>
    <w:rsid w:val="7CCC169D"/>
    <w:rsid w:val="7CCC504D"/>
    <w:rsid w:val="7CCE0550"/>
    <w:rsid w:val="7CCE274E"/>
    <w:rsid w:val="7CCF01D0"/>
    <w:rsid w:val="7CCF3A53"/>
    <w:rsid w:val="7CD158CD"/>
    <w:rsid w:val="7CD16F56"/>
    <w:rsid w:val="7CD21154"/>
    <w:rsid w:val="7CD32459"/>
    <w:rsid w:val="7CD36BD6"/>
    <w:rsid w:val="7CD44657"/>
    <w:rsid w:val="7CD47EDB"/>
    <w:rsid w:val="7CD5595C"/>
    <w:rsid w:val="7CD60D99"/>
    <w:rsid w:val="7CD6759C"/>
    <w:rsid w:val="7CD868E1"/>
    <w:rsid w:val="7CD92EB0"/>
    <w:rsid w:val="7CD93074"/>
    <w:rsid w:val="7CD94362"/>
    <w:rsid w:val="7CDA1DE4"/>
    <w:rsid w:val="7CDB45ED"/>
    <w:rsid w:val="7CDC50CF"/>
    <w:rsid w:val="7CDE70DF"/>
    <w:rsid w:val="7CDF626C"/>
    <w:rsid w:val="7CDF7C7E"/>
    <w:rsid w:val="7CE03CED"/>
    <w:rsid w:val="7CE1176F"/>
    <w:rsid w:val="7CE15A92"/>
    <w:rsid w:val="7CE21BD1"/>
    <w:rsid w:val="7CE271F0"/>
    <w:rsid w:val="7CE32934"/>
    <w:rsid w:val="7CE331FC"/>
    <w:rsid w:val="7CE3371D"/>
    <w:rsid w:val="7CE338D3"/>
    <w:rsid w:val="7CE4330E"/>
    <w:rsid w:val="7CE710FA"/>
    <w:rsid w:val="7CE73E14"/>
    <w:rsid w:val="7CE86B7B"/>
    <w:rsid w:val="7CE945FD"/>
    <w:rsid w:val="7CEA00DC"/>
    <w:rsid w:val="7CEB39AF"/>
    <w:rsid w:val="7CED3003"/>
    <w:rsid w:val="7CEE0A85"/>
    <w:rsid w:val="7CEE2BCE"/>
    <w:rsid w:val="7CEF35A8"/>
    <w:rsid w:val="7CEF376C"/>
    <w:rsid w:val="7CF1528D"/>
    <w:rsid w:val="7CF230ED"/>
    <w:rsid w:val="7CF2566E"/>
    <w:rsid w:val="7CF30790"/>
    <w:rsid w:val="7CF34556"/>
    <w:rsid w:val="7CF34F0C"/>
    <w:rsid w:val="7CF4298E"/>
    <w:rsid w:val="7CF53C93"/>
    <w:rsid w:val="7CF61714"/>
    <w:rsid w:val="7CF71AB3"/>
    <w:rsid w:val="7CF77196"/>
    <w:rsid w:val="7CF81394"/>
    <w:rsid w:val="7CF820C9"/>
    <w:rsid w:val="7CF84C17"/>
    <w:rsid w:val="7CF92699"/>
    <w:rsid w:val="7CF96E16"/>
    <w:rsid w:val="7CFA011A"/>
    <w:rsid w:val="7CFC361E"/>
    <w:rsid w:val="7CFC7D9A"/>
    <w:rsid w:val="7CFD109F"/>
    <w:rsid w:val="7CFD581C"/>
    <w:rsid w:val="7CFE329D"/>
    <w:rsid w:val="7CFF45A2"/>
    <w:rsid w:val="7D0001B6"/>
    <w:rsid w:val="7D002024"/>
    <w:rsid w:val="7D0067A0"/>
    <w:rsid w:val="7D007C96"/>
    <w:rsid w:val="7D007E4B"/>
    <w:rsid w:val="7D011CA4"/>
    <w:rsid w:val="7D0239FF"/>
    <w:rsid w:val="7D025527"/>
    <w:rsid w:val="7D031D4D"/>
    <w:rsid w:val="7D032FA8"/>
    <w:rsid w:val="7D0351A7"/>
    <w:rsid w:val="7D040A2A"/>
    <w:rsid w:val="7D0506AA"/>
    <w:rsid w:val="7D0564AB"/>
    <w:rsid w:val="7D064A03"/>
    <w:rsid w:val="7D0753DD"/>
    <w:rsid w:val="7D0755A2"/>
    <w:rsid w:val="7D087430"/>
    <w:rsid w:val="7D0A4B32"/>
    <w:rsid w:val="7D0B0093"/>
    <w:rsid w:val="7D0B25B3"/>
    <w:rsid w:val="7D0C0035"/>
    <w:rsid w:val="7D0C0A6E"/>
    <w:rsid w:val="7D0C38B8"/>
    <w:rsid w:val="7D0D2C18"/>
    <w:rsid w:val="7D0E3538"/>
    <w:rsid w:val="7D0E6DBB"/>
    <w:rsid w:val="7D0F0FB9"/>
    <w:rsid w:val="7D0F2B85"/>
    <w:rsid w:val="7D0F483D"/>
    <w:rsid w:val="7D10135B"/>
    <w:rsid w:val="7D1022BE"/>
    <w:rsid w:val="7D104E4C"/>
    <w:rsid w:val="7D11008D"/>
    <w:rsid w:val="7D1103F8"/>
    <w:rsid w:val="7D1140FE"/>
    <w:rsid w:val="7D124C9D"/>
    <w:rsid w:val="7D133243"/>
    <w:rsid w:val="7D1363DA"/>
    <w:rsid w:val="7D1379BF"/>
    <w:rsid w:val="7D152EC3"/>
    <w:rsid w:val="7D16032D"/>
    <w:rsid w:val="7D1641C7"/>
    <w:rsid w:val="7D171C49"/>
    <w:rsid w:val="7D1763C6"/>
    <w:rsid w:val="7D183E47"/>
    <w:rsid w:val="7D192609"/>
    <w:rsid w:val="7D19514C"/>
    <w:rsid w:val="7D1A4DCC"/>
    <w:rsid w:val="7D1B284D"/>
    <w:rsid w:val="7D1C60D1"/>
    <w:rsid w:val="7D1D5D51"/>
    <w:rsid w:val="7D1E37D2"/>
    <w:rsid w:val="7D1F1254"/>
    <w:rsid w:val="7D1F2F41"/>
    <w:rsid w:val="7D202558"/>
    <w:rsid w:val="7D204AD7"/>
    <w:rsid w:val="7D207DB1"/>
    <w:rsid w:val="7D217FDA"/>
    <w:rsid w:val="7D225A5C"/>
    <w:rsid w:val="7D231EC9"/>
    <w:rsid w:val="7D2334DD"/>
    <w:rsid w:val="7D237C5A"/>
    <w:rsid w:val="7D25315D"/>
    <w:rsid w:val="7D25327D"/>
    <w:rsid w:val="7D2569E0"/>
    <w:rsid w:val="7D271EE3"/>
    <w:rsid w:val="7D277A24"/>
    <w:rsid w:val="7D285559"/>
    <w:rsid w:val="7D291B63"/>
    <w:rsid w:val="7D2A2E68"/>
    <w:rsid w:val="7D2A458C"/>
    <w:rsid w:val="7D2A6AD2"/>
    <w:rsid w:val="7D2A75E5"/>
    <w:rsid w:val="7D2B5066"/>
    <w:rsid w:val="7D2B74AC"/>
    <w:rsid w:val="7D2D0569"/>
    <w:rsid w:val="7D2D0BE9"/>
    <w:rsid w:val="7D2E15C4"/>
    <w:rsid w:val="7D2F3A6C"/>
    <w:rsid w:val="7D2F69CB"/>
    <w:rsid w:val="7D2F72F0"/>
    <w:rsid w:val="7D3149F1"/>
    <w:rsid w:val="7D320274"/>
    <w:rsid w:val="7D335CF6"/>
    <w:rsid w:val="7D337EF4"/>
    <w:rsid w:val="7D343777"/>
    <w:rsid w:val="7D346391"/>
    <w:rsid w:val="7D360E79"/>
    <w:rsid w:val="7D366C7B"/>
    <w:rsid w:val="7D3702E5"/>
    <w:rsid w:val="7D376065"/>
    <w:rsid w:val="7D3768FA"/>
    <w:rsid w:val="7D38498B"/>
    <w:rsid w:val="7D387BFF"/>
    <w:rsid w:val="7D3917C9"/>
    <w:rsid w:val="7D391DFD"/>
    <w:rsid w:val="7D395681"/>
    <w:rsid w:val="7D3A23FC"/>
    <w:rsid w:val="7D3B05D1"/>
    <w:rsid w:val="7D3B0B84"/>
    <w:rsid w:val="7D3B3B39"/>
    <w:rsid w:val="7D3C3975"/>
    <w:rsid w:val="7D3C4514"/>
    <w:rsid w:val="7D3C6605"/>
    <w:rsid w:val="7D3C7B90"/>
    <w:rsid w:val="7D3D4087"/>
    <w:rsid w:val="7D3D7974"/>
    <w:rsid w:val="7D3E1B08"/>
    <w:rsid w:val="7D3E4206"/>
    <w:rsid w:val="7D40198C"/>
    <w:rsid w:val="7D40500C"/>
    <w:rsid w:val="7D4071CA"/>
    <w:rsid w:val="7D412A8D"/>
    <w:rsid w:val="7D42050F"/>
    <w:rsid w:val="7D4312E1"/>
    <w:rsid w:val="7D435F90"/>
    <w:rsid w:val="7D443A12"/>
    <w:rsid w:val="7D4472CE"/>
    <w:rsid w:val="7D45285A"/>
    <w:rsid w:val="7D463234"/>
    <w:rsid w:val="7D466F15"/>
    <w:rsid w:val="7D473F98"/>
    <w:rsid w:val="7D482418"/>
    <w:rsid w:val="7D493119"/>
    <w:rsid w:val="7D493466"/>
    <w:rsid w:val="7D49534C"/>
    <w:rsid w:val="7D4A288D"/>
    <w:rsid w:val="7D4A2BF9"/>
    <w:rsid w:val="7D4A591B"/>
    <w:rsid w:val="7D4C0002"/>
    <w:rsid w:val="7D4C0E1E"/>
    <w:rsid w:val="7D4C4BA9"/>
    <w:rsid w:val="7D4E1A42"/>
    <w:rsid w:val="7D512D27"/>
    <w:rsid w:val="7D513693"/>
    <w:rsid w:val="7D5207A9"/>
    <w:rsid w:val="7D524231"/>
    <w:rsid w:val="7D541AAE"/>
    <w:rsid w:val="7D543CAC"/>
    <w:rsid w:val="7D5457AA"/>
    <w:rsid w:val="7D55172E"/>
    <w:rsid w:val="7D55752F"/>
    <w:rsid w:val="7D564FB1"/>
    <w:rsid w:val="7D567A86"/>
    <w:rsid w:val="7D570460"/>
    <w:rsid w:val="7D58029C"/>
    <w:rsid w:val="7D580E3B"/>
    <w:rsid w:val="7D585F36"/>
    <w:rsid w:val="7D590134"/>
    <w:rsid w:val="7D593BE7"/>
    <w:rsid w:val="7D5A5BB5"/>
    <w:rsid w:val="7D5C3AF1"/>
    <w:rsid w:val="7D5D6B3A"/>
    <w:rsid w:val="7D5E40CD"/>
    <w:rsid w:val="7D5E506A"/>
    <w:rsid w:val="7D5E7E3F"/>
    <w:rsid w:val="7D5F203D"/>
    <w:rsid w:val="7D603342"/>
    <w:rsid w:val="7D615540"/>
    <w:rsid w:val="7D617181"/>
    <w:rsid w:val="7D617346"/>
    <w:rsid w:val="7D626845"/>
    <w:rsid w:val="7D627D20"/>
    <w:rsid w:val="7D630A43"/>
    <w:rsid w:val="7D641299"/>
    <w:rsid w:val="7D650960"/>
    <w:rsid w:val="7D653F46"/>
    <w:rsid w:val="7D6577CA"/>
    <w:rsid w:val="7D66524B"/>
    <w:rsid w:val="7D6679FD"/>
    <w:rsid w:val="7D672CCD"/>
    <w:rsid w:val="7D676FBC"/>
    <w:rsid w:val="7D67744A"/>
    <w:rsid w:val="7D6903CE"/>
    <w:rsid w:val="7D69294D"/>
    <w:rsid w:val="7D6961D0"/>
    <w:rsid w:val="7D6A3C51"/>
    <w:rsid w:val="7D6A5E50"/>
    <w:rsid w:val="7D6A5EA2"/>
    <w:rsid w:val="7D6B16D3"/>
    <w:rsid w:val="7D6C7155"/>
    <w:rsid w:val="7D6D6DD4"/>
    <w:rsid w:val="7D6D7FBA"/>
    <w:rsid w:val="7D6E4856"/>
    <w:rsid w:val="7D6F22D8"/>
    <w:rsid w:val="7D705B5B"/>
    <w:rsid w:val="7D71105E"/>
    <w:rsid w:val="7D7157DB"/>
    <w:rsid w:val="7D72325C"/>
    <w:rsid w:val="7D726ADF"/>
    <w:rsid w:val="7D730CDE"/>
    <w:rsid w:val="7D734561"/>
    <w:rsid w:val="7D741FE3"/>
    <w:rsid w:val="7D7521DA"/>
    <w:rsid w:val="7D7541E1"/>
    <w:rsid w:val="7D756300"/>
    <w:rsid w:val="7D757A64"/>
    <w:rsid w:val="7D761C62"/>
    <w:rsid w:val="7D7654E6"/>
    <w:rsid w:val="7D772F67"/>
    <w:rsid w:val="7D785165"/>
    <w:rsid w:val="7D792BE7"/>
    <w:rsid w:val="7D7A0669"/>
    <w:rsid w:val="7D7A1991"/>
    <w:rsid w:val="7D7A3EEC"/>
    <w:rsid w:val="7D7B60EA"/>
    <w:rsid w:val="7D7C30CE"/>
    <w:rsid w:val="7D7D15ED"/>
    <w:rsid w:val="7D7D4E70"/>
    <w:rsid w:val="7D7E706F"/>
    <w:rsid w:val="7D7F0374"/>
    <w:rsid w:val="7D7F5D84"/>
    <w:rsid w:val="7D802572"/>
    <w:rsid w:val="7D80675E"/>
    <w:rsid w:val="7D813877"/>
    <w:rsid w:val="7D817FF3"/>
    <w:rsid w:val="7D8234F7"/>
    <w:rsid w:val="7D8255AF"/>
    <w:rsid w:val="7D830F78"/>
    <w:rsid w:val="7D843C0B"/>
    <w:rsid w:val="7D8469FA"/>
    <w:rsid w:val="7D861EFD"/>
    <w:rsid w:val="7D865293"/>
    <w:rsid w:val="7D87797E"/>
    <w:rsid w:val="7D8800D5"/>
    <w:rsid w:val="7D883202"/>
    <w:rsid w:val="7D890C83"/>
    <w:rsid w:val="7D892E81"/>
    <w:rsid w:val="7D8948E1"/>
    <w:rsid w:val="7D8A0903"/>
    <w:rsid w:val="7D8A4186"/>
    <w:rsid w:val="7D8B1C08"/>
    <w:rsid w:val="7D8B601E"/>
    <w:rsid w:val="7D8D1888"/>
    <w:rsid w:val="7D8D510B"/>
    <w:rsid w:val="7D8E0CD4"/>
    <w:rsid w:val="7D8E2B8C"/>
    <w:rsid w:val="7D8E7F71"/>
    <w:rsid w:val="7D90280C"/>
    <w:rsid w:val="7D90608F"/>
    <w:rsid w:val="7D91028E"/>
    <w:rsid w:val="7D912DEC"/>
    <w:rsid w:val="7D913B11"/>
    <w:rsid w:val="7D9176B5"/>
    <w:rsid w:val="7D921593"/>
    <w:rsid w:val="7D925D0F"/>
    <w:rsid w:val="7D933791"/>
    <w:rsid w:val="7D937014"/>
    <w:rsid w:val="7D944A96"/>
    <w:rsid w:val="7D944D3F"/>
    <w:rsid w:val="7D952517"/>
    <w:rsid w:val="7D956C94"/>
    <w:rsid w:val="7D964715"/>
    <w:rsid w:val="7D967F99"/>
    <w:rsid w:val="7D975A1A"/>
    <w:rsid w:val="7D983576"/>
    <w:rsid w:val="7D987C19"/>
    <w:rsid w:val="7D990F1D"/>
    <w:rsid w:val="7D996C29"/>
    <w:rsid w:val="7D9B26AB"/>
    <w:rsid w:val="7D9C1EA2"/>
    <w:rsid w:val="7D9C24E7"/>
    <w:rsid w:val="7D9C3085"/>
    <w:rsid w:val="7D9C40A0"/>
    <w:rsid w:val="7D9D1B22"/>
    <w:rsid w:val="7D9D7924"/>
    <w:rsid w:val="7D9E518D"/>
    <w:rsid w:val="7D9E53A5"/>
    <w:rsid w:val="7D9F2048"/>
    <w:rsid w:val="7D9F2E27"/>
    <w:rsid w:val="7D9F5025"/>
    <w:rsid w:val="7DA008A8"/>
    <w:rsid w:val="7DA0129B"/>
    <w:rsid w:val="7DA01B27"/>
    <w:rsid w:val="7DA05D3C"/>
    <w:rsid w:val="7DA13DAB"/>
    <w:rsid w:val="7DA16716"/>
    <w:rsid w:val="7DA273D6"/>
    <w:rsid w:val="7DA37C8F"/>
    <w:rsid w:val="7DA44D30"/>
    <w:rsid w:val="7DA527B2"/>
    <w:rsid w:val="7DA75CB5"/>
    <w:rsid w:val="7DA93EBE"/>
    <w:rsid w:val="7DA95D47"/>
    <w:rsid w:val="7DAA55FB"/>
    <w:rsid w:val="7DAA6C39"/>
    <w:rsid w:val="7DAB46BB"/>
    <w:rsid w:val="7DAB5FD5"/>
    <w:rsid w:val="7DAC69B0"/>
    <w:rsid w:val="7DAD7BBE"/>
    <w:rsid w:val="7DAE4304"/>
    <w:rsid w:val="7DAE5640"/>
    <w:rsid w:val="7DAF0AC7"/>
    <w:rsid w:val="7DB025F5"/>
    <w:rsid w:val="7DB165C4"/>
    <w:rsid w:val="7DB22BDF"/>
    <w:rsid w:val="7DB31AC7"/>
    <w:rsid w:val="7DB47549"/>
    <w:rsid w:val="7DB54FCA"/>
    <w:rsid w:val="7DB62A4C"/>
    <w:rsid w:val="7DB704CD"/>
    <w:rsid w:val="7DB76FD2"/>
    <w:rsid w:val="7DB85F4F"/>
    <w:rsid w:val="7DBA4CD5"/>
    <w:rsid w:val="7DBB1AC4"/>
    <w:rsid w:val="7DBB2757"/>
    <w:rsid w:val="7DBC01D8"/>
    <w:rsid w:val="7DBD5C5A"/>
    <w:rsid w:val="7DBD65C0"/>
    <w:rsid w:val="7DBD7E58"/>
    <w:rsid w:val="7DBE36DC"/>
    <w:rsid w:val="7DBE3BDC"/>
    <w:rsid w:val="7DBE4C1D"/>
    <w:rsid w:val="7DBE52F3"/>
    <w:rsid w:val="7DBF115D"/>
    <w:rsid w:val="7DBF3E70"/>
    <w:rsid w:val="7DC14660"/>
    <w:rsid w:val="7DC355E5"/>
    <w:rsid w:val="7DC3726C"/>
    <w:rsid w:val="7DC55265"/>
    <w:rsid w:val="7DC62CE6"/>
    <w:rsid w:val="7DC728FC"/>
    <w:rsid w:val="7DC832D7"/>
    <w:rsid w:val="7DC861E9"/>
    <w:rsid w:val="7DC93C6B"/>
    <w:rsid w:val="7DC974EE"/>
    <w:rsid w:val="7DCA16EC"/>
    <w:rsid w:val="7DCB53EE"/>
    <w:rsid w:val="7DCB55B3"/>
    <w:rsid w:val="7DCB716E"/>
    <w:rsid w:val="7DCD2671"/>
    <w:rsid w:val="7DCD56F2"/>
    <w:rsid w:val="7DCD5EF4"/>
    <w:rsid w:val="7DCE00F3"/>
    <w:rsid w:val="7DCE3976"/>
    <w:rsid w:val="7DCF00A4"/>
    <w:rsid w:val="7DCF13F7"/>
    <w:rsid w:val="7DCF5B74"/>
    <w:rsid w:val="7DD04185"/>
    <w:rsid w:val="7DD148FB"/>
    <w:rsid w:val="7DD221BC"/>
    <w:rsid w:val="7DD47A7D"/>
    <w:rsid w:val="7DD554FF"/>
    <w:rsid w:val="7DD62F81"/>
    <w:rsid w:val="7DD65A11"/>
    <w:rsid w:val="7DD70A02"/>
    <w:rsid w:val="7DD84285"/>
    <w:rsid w:val="7DD86DC5"/>
    <w:rsid w:val="7DD92198"/>
    <w:rsid w:val="7DD97789"/>
    <w:rsid w:val="7DDA33C5"/>
    <w:rsid w:val="7DDA520A"/>
    <w:rsid w:val="7DDB7408"/>
    <w:rsid w:val="7DDC1A7B"/>
    <w:rsid w:val="7DDC4E8A"/>
    <w:rsid w:val="7DDD290B"/>
    <w:rsid w:val="7DDD618F"/>
    <w:rsid w:val="7DDE038D"/>
    <w:rsid w:val="7DDE3C10"/>
    <w:rsid w:val="7DDF1692"/>
    <w:rsid w:val="7DDF5E0F"/>
    <w:rsid w:val="7DE07113"/>
    <w:rsid w:val="7DE14B95"/>
    <w:rsid w:val="7DE26685"/>
    <w:rsid w:val="7DE26D93"/>
    <w:rsid w:val="7DE34815"/>
    <w:rsid w:val="7DE45B1A"/>
    <w:rsid w:val="7DE50961"/>
    <w:rsid w:val="7DE57D18"/>
    <w:rsid w:val="7DE6101D"/>
    <w:rsid w:val="7DE62736"/>
    <w:rsid w:val="7DE65799"/>
    <w:rsid w:val="7DE71D15"/>
    <w:rsid w:val="7DE7321B"/>
    <w:rsid w:val="7DE76A9E"/>
    <w:rsid w:val="7DE84520"/>
    <w:rsid w:val="7DE93DD1"/>
    <w:rsid w:val="7DE94C40"/>
    <w:rsid w:val="7DE95376"/>
    <w:rsid w:val="7DE9671E"/>
    <w:rsid w:val="7DEA1C21"/>
    <w:rsid w:val="7DEA37BD"/>
    <w:rsid w:val="7DEA3CDD"/>
    <w:rsid w:val="7DEA3E2D"/>
    <w:rsid w:val="7DEA3E93"/>
    <w:rsid w:val="7DEA3FF1"/>
    <w:rsid w:val="7DEA7A23"/>
    <w:rsid w:val="7DEC2F26"/>
    <w:rsid w:val="7DED2BA6"/>
    <w:rsid w:val="7DEE6429"/>
    <w:rsid w:val="7DEF005C"/>
    <w:rsid w:val="7DEF0220"/>
    <w:rsid w:val="7DF0192C"/>
    <w:rsid w:val="7DF03B2A"/>
    <w:rsid w:val="7DF115AC"/>
    <w:rsid w:val="7DF228B1"/>
    <w:rsid w:val="7DF24E2F"/>
    <w:rsid w:val="7DF2702E"/>
    <w:rsid w:val="7DF30332"/>
    <w:rsid w:val="7DF32D12"/>
    <w:rsid w:val="7DF42531"/>
    <w:rsid w:val="7DF438B1"/>
    <w:rsid w:val="7DF5444F"/>
    <w:rsid w:val="7DF57FB2"/>
    <w:rsid w:val="7DF64C65"/>
    <w:rsid w:val="7DF734B5"/>
    <w:rsid w:val="7DF76D39"/>
    <w:rsid w:val="7DF847BA"/>
    <w:rsid w:val="7DF863A2"/>
    <w:rsid w:val="7DF9223C"/>
    <w:rsid w:val="7DF969B8"/>
    <w:rsid w:val="7DFA7CBD"/>
    <w:rsid w:val="7DFB1059"/>
    <w:rsid w:val="7DFB573F"/>
    <w:rsid w:val="7DFC793D"/>
    <w:rsid w:val="7DFD0C42"/>
    <w:rsid w:val="7DFD53BF"/>
    <w:rsid w:val="7DFF08C2"/>
    <w:rsid w:val="7E001BC6"/>
    <w:rsid w:val="7E013DC5"/>
    <w:rsid w:val="7E0250CA"/>
    <w:rsid w:val="7E032B4B"/>
    <w:rsid w:val="7E03663C"/>
    <w:rsid w:val="7E0405CD"/>
    <w:rsid w:val="7E04598F"/>
    <w:rsid w:val="7E0471DB"/>
    <w:rsid w:val="7E05024D"/>
    <w:rsid w:val="7E05604E"/>
    <w:rsid w:val="7E061524"/>
    <w:rsid w:val="7E063AD0"/>
    <w:rsid w:val="7E070C98"/>
    <w:rsid w:val="7E0714B7"/>
    <w:rsid w:val="7E086FD3"/>
    <w:rsid w:val="7E0A24D6"/>
    <w:rsid w:val="7E0B4983"/>
    <w:rsid w:val="7E0C345B"/>
    <w:rsid w:val="7E0D0EDC"/>
    <w:rsid w:val="7E0E695E"/>
    <w:rsid w:val="7E0F43DF"/>
    <w:rsid w:val="7E101E61"/>
    <w:rsid w:val="7E110BB2"/>
    <w:rsid w:val="7E1178E2"/>
    <w:rsid w:val="7E125364"/>
    <w:rsid w:val="7E13212B"/>
    <w:rsid w:val="7E162512"/>
    <w:rsid w:val="7E1717EC"/>
    <w:rsid w:val="7E182C27"/>
    <w:rsid w:val="7E18635A"/>
    <w:rsid w:val="7E196EF9"/>
    <w:rsid w:val="7E1A2770"/>
    <w:rsid w:val="7E1B01F2"/>
    <w:rsid w:val="7E1C5C73"/>
    <w:rsid w:val="7E1C7D03"/>
    <w:rsid w:val="7E1D36F5"/>
    <w:rsid w:val="7E1E1177"/>
    <w:rsid w:val="7E203B02"/>
    <w:rsid w:val="7E2120FB"/>
    <w:rsid w:val="7E2146A1"/>
    <w:rsid w:val="7E223400"/>
    <w:rsid w:val="7E2255FE"/>
    <w:rsid w:val="7E227B7D"/>
    <w:rsid w:val="7E240B01"/>
    <w:rsid w:val="7E246903"/>
    <w:rsid w:val="7E2547CF"/>
    <w:rsid w:val="7E256583"/>
    <w:rsid w:val="7E257192"/>
    <w:rsid w:val="7E27146E"/>
    <w:rsid w:val="7E285309"/>
    <w:rsid w:val="7E292823"/>
    <w:rsid w:val="7E294F89"/>
    <w:rsid w:val="7E2A080C"/>
    <w:rsid w:val="7E2A2A0B"/>
    <w:rsid w:val="7E2A628E"/>
    <w:rsid w:val="7E2B048C"/>
    <w:rsid w:val="7E2C493A"/>
    <w:rsid w:val="7E2D54D9"/>
    <w:rsid w:val="7E2E1411"/>
    <w:rsid w:val="7E2E4C94"/>
    <w:rsid w:val="7E2F2716"/>
    <w:rsid w:val="7E300197"/>
    <w:rsid w:val="7E304914"/>
    <w:rsid w:val="7E3077B5"/>
    <w:rsid w:val="7E311391"/>
    <w:rsid w:val="7E312396"/>
    <w:rsid w:val="7E33111C"/>
    <w:rsid w:val="7E331708"/>
    <w:rsid w:val="7E3322A7"/>
    <w:rsid w:val="7E335899"/>
    <w:rsid w:val="7E337317"/>
    <w:rsid w:val="7E3374CC"/>
    <w:rsid w:val="7E342C81"/>
    <w:rsid w:val="7E34331A"/>
    <w:rsid w:val="7E350D9C"/>
    <w:rsid w:val="7E3620A1"/>
    <w:rsid w:val="7E3643BE"/>
    <w:rsid w:val="7E36681D"/>
    <w:rsid w:val="7E37429F"/>
    <w:rsid w:val="7E374F5D"/>
    <w:rsid w:val="7E377B22"/>
    <w:rsid w:val="7E3855A4"/>
    <w:rsid w:val="7E393025"/>
    <w:rsid w:val="7E396311"/>
    <w:rsid w:val="7E3977A2"/>
    <w:rsid w:val="7E3A0AA7"/>
    <w:rsid w:val="7E3A2CA5"/>
    <w:rsid w:val="7E3B6528"/>
    <w:rsid w:val="7E3C3FAA"/>
    <w:rsid w:val="7E3C61A8"/>
    <w:rsid w:val="7E3D3C2A"/>
    <w:rsid w:val="7E3E1B66"/>
    <w:rsid w:val="7E3E74AD"/>
    <w:rsid w:val="7E3F2540"/>
    <w:rsid w:val="7E3F2705"/>
    <w:rsid w:val="7E3F4F2E"/>
    <w:rsid w:val="7E402A56"/>
    <w:rsid w:val="7E404BAE"/>
    <w:rsid w:val="7E410432"/>
    <w:rsid w:val="7E412630"/>
    <w:rsid w:val="7E4200B1"/>
    <w:rsid w:val="7E4210B2"/>
    <w:rsid w:val="7E4313B6"/>
    <w:rsid w:val="7E44676F"/>
    <w:rsid w:val="7E446E38"/>
    <w:rsid w:val="7E45730E"/>
    <w:rsid w:val="7E467CE8"/>
    <w:rsid w:val="7E474539"/>
    <w:rsid w:val="7E477DBC"/>
    <w:rsid w:val="7E481426"/>
    <w:rsid w:val="7E481FBB"/>
    <w:rsid w:val="7E48583E"/>
    <w:rsid w:val="7E4C3F17"/>
    <w:rsid w:val="7E4C4244"/>
    <w:rsid w:val="7E4E5655"/>
    <w:rsid w:val="7E4E602F"/>
    <w:rsid w:val="7E4E7747"/>
    <w:rsid w:val="7E4F463C"/>
    <w:rsid w:val="7E5051BF"/>
    <w:rsid w:val="7E5073C7"/>
    <w:rsid w:val="7E5106CC"/>
    <w:rsid w:val="7E52614D"/>
    <w:rsid w:val="7E533BCF"/>
    <w:rsid w:val="7E541651"/>
    <w:rsid w:val="7E54384F"/>
    <w:rsid w:val="7E5570D2"/>
    <w:rsid w:val="7E5637D7"/>
    <w:rsid w:val="7E564B54"/>
    <w:rsid w:val="7E566D52"/>
    <w:rsid w:val="7E5725D5"/>
    <w:rsid w:val="7E5747D4"/>
    <w:rsid w:val="7E595AD8"/>
    <w:rsid w:val="7E5A0FDB"/>
    <w:rsid w:val="7E5A5758"/>
    <w:rsid w:val="7E5C44DF"/>
    <w:rsid w:val="7E5D00E7"/>
    <w:rsid w:val="7E5D1143"/>
    <w:rsid w:val="7E5D1F60"/>
    <w:rsid w:val="7E5D66DD"/>
    <w:rsid w:val="7E5D7F31"/>
    <w:rsid w:val="7E5F1BE0"/>
    <w:rsid w:val="7E60325B"/>
    <w:rsid w:val="7E610966"/>
    <w:rsid w:val="7E6150E3"/>
    <w:rsid w:val="7E6247D4"/>
    <w:rsid w:val="7E6255FC"/>
    <w:rsid w:val="7E6305E6"/>
    <w:rsid w:val="7E633E69"/>
    <w:rsid w:val="7E6351AE"/>
    <w:rsid w:val="7E646068"/>
    <w:rsid w:val="7E65736C"/>
    <w:rsid w:val="7E664DEE"/>
    <w:rsid w:val="7E676FEC"/>
    <w:rsid w:val="7E677CA0"/>
    <w:rsid w:val="7E684A6E"/>
    <w:rsid w:val="7E695D73"/>
    <w:rsid w:val="7E6A2B1A"/>
    <w:rsid w:val="7E6A37F4"/>
    <w:rsid w:val="7E6B47E6"/>
    <w:rsid w:val="7E6B59F3"/>
    <w:rsid w:val="7E6C15F6"/>
    <w:rsid w:val="7E6C1962"/>
    <w:rsid w:val="7E6C1E82"/>
    <w:rsid w:val="7E6C6CF7"/>
    <w:rsid w:val="7E6E38C7"/>
    <w:rsid w:val="7E6E560C"/>
    <w:rsid w:val="7E6F5FE6"/>
    <w:rsid w:val="7E6F61AB"/>
    <w:rsid w:val="7E6F7C7C"/>
    <w:rsid w:val="7E7056FE"/>
    <w:rsid w:val="7E706B85"/>
    <w:rsid w:val="7E71317F"/>
    <w:rsid w:val="7E717724"/>
    <w:rsid w:val="7E7202C2"/>
    <w:rsid w:val="7E720C01"/>
    <w:rsid w:val="7E730C9D"/>
    <w:rsid w:val="7E734104"/>
    <w:rsid w:val="7E736682"/>
    <w:rsid w:val="7E741677"/>
    <w:rsid w:val="7E741B85"/>
    <w:rsid w:val="7E757607"/>
    <w:rsid w:val="7E762DB4"/>
    <w:rsid w:val="7E78058B"/>
    <w:rsid w:val="7E795A6A"/>
    <w:rsid w:val="7E79600D"/>
    <w:rsid w:val="7E7A3A8F"/>
    <w:rsid w:val="7E7A4815"/>
    <w:rsid w:val="7E7B6FE3"/>
    <w:rsid w:val="7E7C2430"/>
    <w:rsid w:val="7E7C6F92"/>
    <w:rsid w:val="7E7C7B82"/>
    <w:rsid w:val="7E7D055C"/>
    <w:rsid w:val="7E7D4A13"/>
    <w:rsid w:val="7E7E10FB"/>
    <w:rsid w:val="7E802674"/>
    <w:rsid w:val="7E813419"/>
    <w:rsid w:val="7E820E9B"/>
    <w:rsid w:val="7E83691D"/>
    <w:rsid w:val="7E851E20"/>
    <w:rsid w:val="7E863124"/>
    <w:rsid w:val="7E8678A1"/>
    <w:rsid w:val="7E875323"/>
    <w:rsid w:val="7E8769F7"/>
    <w:rsid w:val="7E890826"/>
    <w:rsid w:val="7E8940A9"/>
    <w:rsid w:val="7E8A1D6F"/>
    <w:rsid w:val="7E8B17AA"/>
    <w:rsid w:val="7E8B3D29"/>
    <w:rsid w:val="7E8B4DC2"/>
    <w:rsid w:val="7E8B75AC"/>
    <w:rsid w:val="7E8C722C"/>
    <w:rsid w:val="7E8E4A25"/>
    <w:rsid w:val="7E8F5FB2"/>
    <w:rsid w:val="7E905C32"/>
    <w:rsid w:val="7E905F9E"/>
    <w:rsid w:val="7E9136B4"/>
    <w:rsid w:val="7E9271C8"/>
    <w:rsid w:val="7E930E19"/>
    <w:rsid w:val="7E94162E"/>
    <w:rsid w:val="7E944638"/>
    <w:rsid w:val="7E947EBC"/>
    <w:rsid w:val="7E9520BA"/>
    <w:rsid w:val="7E955D07"/>
    <w:rsid w:val="7E967B3C"/>
    <w:rsid w:val="7E970BD8"/>
    <w:rsid w:val="7E98034C"/>
    <w:rsid w:val="7E98303F"/>
    <w:rsid w:val="7E997755"/>
    <w:rsid w:val="7E9A6542"/>
    <w:rsid w:val="7E9C1A45"/>
    <w:rsid w:val="7E9C52C8"/>
    <w:rsid w:val="7E9D2D4A"/>
    <w:rsid w:val="7E9D74C6"/>
    <w:rsid w:val="7E9E07CB"/>
    <w:rsid w:val="7E9E4F48"/>
    <w:rsid w:val="7E9F10B2"/>
    <w:rsid w:val="7E9F624D"/>
    <w:rsid w:val="7EA0044B"/>
    <w:rsid w:val="7EA03CCE"/>
    <w:rsid w:val="7EA131CA"/>
    <w:rsid w:val="7EA15ECD"/>
    <w:rsid w:val="7EA2394E"/>
    <w:rsid w:val="7EA30504"/>
    <w:rsid w:val="7EA313D0"/>
    <w:rsid w:val="7EA34C53"/>
    <w:rsid w:val="7EA36E51"/>
    <w:rsid w:val="7EA452E1"/>
    <w:rsid w:val="7EA50156"/>
    <w:rsid w:val="7EA52323"/>
    <w:rsid w:val="7EA53F2D"/>
    <w:rsid w:val="7EA55CBC"/>
    <w:rsid w:val="7EA55E80"/>
    <w:rsid w:val="7EA63200"/>
    <w:rsid w:val="7EA71F32"/>
    <w:rsid w:val="7EA73659"/>
    <w:rsid w:val="7EA77234"/>
    <w:rsid w:val="7EA773F9"/>
    <w:rsid w:val="7EA87DD3"/>
    <w:rsid w:val="7EA907AD"/>
    <w:rsid w:val="7EA90972"/>
    <w:rsid w:val="7EA96B5C"/>
    <w:rsid w:val="7EAA2BA5"/>
    <w:rsid w:val="7EAA67DC"/>
    <w:rsid w:val="7EAB7AE1"/>
    <w:rsid w:val="7EAD2FE4"/>
    <w:rsid w:val="7EAD3464"/>
    <w:rsid w:val="7EAD3628"/>
    <w:rsid w:val="7EAE0A66"/>
    <w:rsid w:val="7EAE51E2"/>
    <w:rsid w:val="7EAF2C64"/>
    <w:rsid w:val="7EB119EA"/>
    <w:rsid w:val="7EB16167"/>
    <w:rsid w:val="7EB16AF4"/>
    <w:rsid w:val="7EB23BE8"/>
    <w:rsid w:val="7EB2746C"/>
    <w:rsid w:val="7EB27693"/>
    <w:rsid w:val="7EB3006D"/>
    <w:rsid w:val="7EB34EED"/>
    <w:rsid w:val="7EB40DD0"/>
    <w:rsid w:val="7EB4296F"/>
    <w:rsid w:val="7EB470EC"/>
    <w:rsid w:val="7EB503F0"/>
    <w:rsid w:val="7EB548C5"/>
    <w:rsid w:val="7EB54B6D"/>
    <w:rsid w:val="7EB54F9B"/>
    <w:rsid w:val="7EB55151"/>
    <w:rsid w:val="7EB625EF"/>
    <w:rsid w:val="7EB65E72"/>
    <w:rsid w:val="7EB93573"/>
    <w:rsid w:val="7EB9429C"/>
    <w:rsid w:val="7EB96DF7"/>
    <w:rsid w:val="7EBA0FF5"/>
    <w:rsid w:val="7EBA4878"/>
    <w:rsid w:val="7EBB22FA"/>
    <w:rsid w:val="7EBB6D07"/>
    <w:rsid w:val="7EBC1F79"/>
    <w:rsid w:val="7EBC6F52"/>
    <w:rsid w:val="7EBC7D7B"/>
    <w:rsid w:val="7EBD7AF1"/>
    <w:rsid w:val="7EBE04CB"/>
    <w:rsid w:val="7EBE547D"/>
    <w:rsid w:val="7EBF0D00"/>
    <w:rsid w:val="7EC00980"/>
    <w:rsid w:val="7EC06781"/>
    <w:rsid w:val="7EC14203"/>
    <w:rsid w:val="7EC16401"/>
    <w:rsid w:val="7EC21C85"/>
    <w:rsid w:val="7EC23E83"/>
    <w:rsid w:val="7EC37706"/>
    <w:rsid w:val="7EC37778"/>
    <w:rsid w:val="7EC37AE3"/>
    <w:rsid w:val="7EC448BF"/>
    <w:rsid w:val="7EC44CC7"/>
    <w:rsid w:val="7EC47386"/>
    <w:rsid w:val="7EC55299"/>
    <w:rsid w:val="7EC65E37"/>
    <w:rsid w:val="7EC6610C"/>
    <w:rsid w:val="7EC76812"/>
    <w:rsid w:val="7EC9380E"/>
    <w:rsid w:val="7EC97091"/>
    <w:rsid w:val="7ECA128F"/>
    <w:rsid w:val="7ECA14C8"/>
    <w:rsid w:val="7ECA4B12"/>
    <w:rsid w:val="7ECB2594"/>
    <w:rsid w:val="7ECC0016"/>
    <w:rsid w:val="7ECC4792"/>
    <w:rsid w:val="7ECD35DF"/>
    <w:rsid w:val="7ECD5A97"/>
    <w:rsid w:val="7ECE3FBA"/>
    <w:rsid w:val="7ECE4181"/>
    <w:rsid w:val="7ECF0F9A"/>
    <w:rsid w:val="7ECF4994"/>
    <w:rsid w:val="7ECF5717"/>
    <w:rsid w:val="7ED03198"/>
    <w:rsid w:val="7ED06A1C"/>
    <w:rsid w:val="7ED21F1F"/>
    <w:rsid w:val="7ED2669C"/>
    <w:rsid w:val="7ED26AAB"/>
    <w:rsid w:val="7ED3411D"/>
    <w:rsid w:val="7ED379A0"/>
    <w:rsid w:val="7ED72300"/>
    <w:rsid w:val="7ED763A7"/>
    <w:rsid w:val="7ED918AA"/>
    <w:rsid w:val="7ED94418"/>
    <w:rsid w:val="7EDA4FB6"/>
    <w:rsid w:val="7EDA732B"/>
    <w:rsid w:val="7EDB4DAD"/>
    <w:rsid w:val="7EDC02B0"/>
    <w:rsid w:val="7EDD5D31"/>
    <w:rsid w:val="7EDD6F0A"/>
    <w:rsid w:val="7EE06CB6"/>
    <w:rsid w:val="7EE14738"/>
    <w:rsid w:val="7EE37C3B"/>
    <w:rsid w:val="7EE43B13"/>
    <w:rsid w:val="7EE456BC"/>
    <w:rsid w:val="7EE5313E"/>
    <w:rsid w:val="7EE60BBF"/>
    <w:rsid w:val="7EE65DEF"/>
    <w:rsid w:val="7EE821C9"/>
    <w:rsid w:val="7EE840C2"/>
    <w:rsid w:val="7EE91B44"/>
    <w:rsid w:val="7EE97D42"/>
    <w:rsid w:val="7EEA75C6"/>
    <w:rsid w:val="7EEB5047"/>
    <w:rsid w:val="7EEC1E59"/>
    <w:rsid w:val="7EEC634C"/>
    <w:rsid w:val="7EED5CFF"/>
    <w:rsid w:val="7EEE184F"/>
    <w:rsid w:val="7EEE3597"/>
    <w:rsid w:val="7EEE5FCC"/>
    <w:rsid w:val="7EEE70C5"/>
    <w:rsid w:val="7EEF3A4D"/>
    <w:rsid w:val="7EF04B10"/>
    <w:rsid w:val="7EF04D52"/>
    <w:rsid w:val="7EF127D4"/>
    <w:rsid w:val="7EF154EA"/>
    <w:rsid w:val="7EF16F50"/>
    <w:rsid w:val="7EF20255"/>
    <w:rsid w:val="7EF26089"/>
    <w:rsid w:val="7EF32454"/>
    <w:rsid w:val="7EF35CD7"/>
    <w:rsid w:val="7EF40365"/>
    <w:rsid w:val="7EF45957"/>
    <w:rsid w:val="7EF50D3F"/>
    <w:rsid w:val="7EF511DA"/>
    <w:rsid w:val="7EF533D8"/>
    <w:rsid w:val="7EF618DD"/>
    <w:rsid w:val="7EF66C5B"/>
    <w:rsid w:val="7EF746DD"/>
    <w:rsid w:val="7EF768DB"/>
    <w:rsid w:val="7EF8215F"/>
    <w:rsid w:val="7EF8435D"/>
    <w:rsid w:val="7EF97BE0"/>
    <w:rsid w:val="7EFA43CF"/>
    <w:rsid w:val="7EFA5662"/>
    <w:rsid w:val="7EFA62F0"/>
    <w:rsid w:val="7EFB30E3"/>
    <w:rsid w:val="7EFB3DBC"/>
    <w:rsid w:val="7EFB4DA9"/>
    <w:rsid w:val="7EFB52E1"/>
    <w:rsid w:val="7EFC0B65"/>
    <w:rsid w:val="7EFC2D63"/>
    <w:rsid w:val="7EFD07E5"/>
    <w:rsid w:val="7EFD64E7"/>
    <w:rsid w:val="7EFF3CE8"/>
    <w:rsid w:val="7EFF756B"/>
    <w:rsid w:val="7EFF7A60"/>
    <w:rsid w:val="7EFF7C24"/>
    <w:rsid w:val="7F00043A"/>
    <w:rsid w:val="7F001769"/>
    <w:rsid w:val="7F001CE7"/>
    <w:rsid w:val="7F011B77"/>
    <w:rsid w:val="7F012A6E"/>
    <w:rsid w:val="7F0204F0"/>
    <w:rsid w:val="7F022716"/>
    <w:rsid w:val="7F024C6C"/>
    <w:rsid w:val="7F0326EE"/>
    <w:rsid w:val="7F0330F0"/>
    <w:rsid w:val="7F0332B5"/>
    <w:rsid w:val="7F0342B0"/>
    <w:rsid w:val="7F0439F3"/>
    <w:rsid w:val="7F043C8F"/>
    <w:rsid w:val="7F052D52"/>
    <w:rsid w:val="7F0540CF"/>
    <w:rsid w:val="7F055BF1"/>
    <w:rsid w:val="7F0823F9"/>
    <w:rsid w:val="7F08326E"/>
    <w:rsid w:val="7F086780"/>
    <w:rsid w:val="7F086B76"/>
    <w:rsid w:val="7F0B337E"/>
    <w:rsid w:val="7F0C0DFF"/>
    <w:rsid w:val="7F0C2A46"/>
    <w:rsid w:val="7F0C557C"/>
    <w:rsid w:val="7F0D0A7F"/>
    <w:rsid w:val="7F0D1E11"/>
    <w:rsid w:val="7F0D1FD5"/>
    <w:rsid w:val="7F0D2891"/>
    <w:rsid w:val="7F0E4302"/>
    <w:rsid w:val="7F0E6500"/>
    <w:rsid w:val="7F0F1D84"/>
    <w:rsid w:val="7F0F3F82"/>
    <w:rsid w:val="7F104C8C"/>
    <w:rsid w:val="7F115287"/>
    <w:rsid w:val="7F117485"/>
    <w:rsid w:val="7F122D08"/>
    <w:rsid w:val="7F136BDF"/>
    <w:rsid w:val="7F14040A"/>
    <w:rsid w:val="7F14620B"/>
    <w:rsid w:val="7F1475B9"/>
    <w:rsid w:val="7F14777D"/>
    <w:rsid w:val="7F16172A"/>
    <w:rsid w:val="7F16390D"/>
    <w:rsid w:val="7F17138E"/>
    <w:rsid w:val="7F1716D0"/>
    <w:rsid w:val="7F182434"/>
    <w:rsid w:val="7F186E10"/>
    <w:rsid w:val="7F190115"/>
    <w:rsid w:val="7F194892"/>
    <w:rsid w:val="7F1A2313"/>
    <w:rsid w:val="7F1A37E8"/>
    <w:rsid w:val="7F1A39AC"/>
    <w:rsid w:val="7F1A5B96"/>
    <w:rsid w:val="7F1A5FD0"/>
    <w:rsid w:val="7F1B454B"/>
    <w:rsid w:val="7F1B692A"/>
    <w:rsid w:val="7F1B7D95"/>
    <w:rsid w:val="7F1C3BEB"/>
    <w:rsid w:val="7F1C42C1"/>
    <w:rsid w:val="7F1C47E2"/>
    <w:rsid w:val="7F1D6663"/>
    <w:rsid w:val="7F1D6B1B"/>
    <w:rsid w:val="7F1E0D19"/>
    <w:rsid w:val="7F1E459D"/>
    <w:rsid w:val="7F1F201E"/>
    <w:rsid w:val="7F207AA0"/>
    <w:rsid w:val="7F215521"/>
    <w:rsid w:val="7F220135"/>
    <w:rsid w:val="7F22771F"/>
    <w:rsid w:val="7F2351A1"/>
    <w:rsid w:val="7F2406A4"/>
    <w:rsid w:val="7F2421C0"/>
    <w:rsid w:val="7F242C23"/>
    <w:rsid w:val="7F24326C"/>
    <w:rsid w:val="7F2464A6"/>
    <w:rsid w:val="7F247147"/>
    <w:rsid w:val="7F256126"/>
    <w:rsid w:val="7F271629"/>
    <w:rsid w:val="7F294B2C"/>
    <w:rsid w:val="7F2968FC"/>
    <w:rsid w:val="7F2A03AF"/>
    <w:rsid w:val="7F2A25AD"/>
    <w:rsid w:val="7F2B5E31"/>
    <w:rsid w:val="7F2C1334"/>
    <w:rsid w:val="7F2C13EE"/>
    <w:rsid w:val="7F2C38B2"/>
    <w:rsid w:val="7F2C5AB1"/>
    <w:rsid w:val="7F2E0FB4"/>
    <w:rsid w:val="7F2E4837"/>
    <w:rsid w:val="7F2F4F26"/>
    <w:rsid w:val="7F2F6A35"/>
    <w:rsid w:val="7F3040A4"/>
    <w:rsid w:val="7F3044B7"/>
    <w:rsid w:val="7F311F38"/>
    <w:rsid w:val="7F3157BC"/>
    <w:rsid w:val="7F33543B"/>
    <w:rsid w:val="7F346740"/>
    <w:rsid w:val="7F3541C2"/>
    <w:rsid w:val="7F3602D3"/>
    <w:rsid w:val="7F3663C0"/>
    <w:rsid w:val="7F3815E6"/>
    <w:rsid w:val="7F3823EB"/>
    <w:rsid w:val="7F385146"/>
    <w:rsid w:val="7F387A7F"/>
    <w:rsid w:val="7F392457"/>
    <w:rsid w:val="7F3B60CB"/>
    <w:rsid w:val="7F3F4AD1"/>
    <w:rsid w:val="7F417FD4"/>
    <w:rsid w:val="7F42110C"/>
    <w:rsid w:val="7F431AE6"/>
    <w:rsid w:val="7F4334D7"/>
    <w:rsid w:val="7F453DC2"/>
    <w:rsid w:val="7F463BFE"/>
    <w:rsid w:val="7F46479C"/>
    <w:rsid w:val="7F471DFC"/>
    <w:rsid w:val="7F4831CC"/>
    <w:rsid w:val="7F4A08E4"/>
    <w:rsid w:val="7F4A728E"/>
    <w:rsid w:val="7F4C09CB"/>
    <w:rsid w:val="7F4E72EA"/>
    <w:rsid w:val="7F4E7F9E"/>
    <w:rsid w:val="7F4F2EE8"/>
    <w:rsid w:val="7F4F6B4F"/>
    <w:rsid w:val="7F5027ED"/>
    <w:rsid w:val="7F51026F"/>
    <w:rsid w:val="7F521573"/>
    <w:rsid w:val="7F533772"/>
    <w:rsid w:val="7F5355D5"/>
    <w:rsid w:val="7F5411F3"/>
    <w:rsid w:val="7F544A77"/>
    <w:rsid w:val="7F5576EC"/>
    <w:rsid w:val="7F565D15"/>
    <w:rsid w:val="7F5759FB"/>
    <w:rsid w:val="7F5819C8"/>
    <w:rsid w:val="7F5923A2"/>
    <w:rsid w:val="7F59567B"/>
    <w:rsid w:val="7F5B0B7E"/>
    <w:rsid w:val="7F5B4401"/>
    <w:rsid w:val="7F5C1E83"/>
    <w:rsid w:val="7F5C42F5"/>
    <w:rsid w:val="7F5D4081"/>
    <w:rsid w:val="7F5E5386"/>
    <w:rsid w:val="7F5E5A33"/>
    <w:rsid w:val="7F5E7584"/>
    <w:rsid w:val="7F5F2E08"/>
    <w:rsid w:val="7F5F5006"/>
    <w:rsid w:val="7F5F65D1"/>
    <w:rsid w:val="7F600889"/>
    <w:rsid w:val="7F607170"/>
    <w:rsid w:val="7F610509"/>
    <w:rsid w:val="7F61630B"/>
    <w:rsid w:val="7F621288"/>
    <w:rsid w:val="7F625F8B"/>
    <w:rsid w:val="7F63129E"/>
    <w:rsid w:val="7F63180E"/>
    <w:rsid w:val="7F631975"/>
    <w:rsid w:val="7F631A9D"/>
    <w:rsid w:val="7F633A0C"/>
    <w:rsid w:val="7F656F0F"/>
    <w:rsid w:val="7F663D79"/>
    <w:rsid w:val="7F664928"/>
    <w:rsid w:val="7F664991"/>
    <w:rsid w:val="7F672412"/>
    <w:rsid w:val="7F687E94"/>
    <w:rsid w:val="7F695E91"/>
    <w:rsid w:val="7F6A3397"/>
    <w:rsid w:val="7F6C211D"/>
    <w:rsid w:val="7F6D431C"/>
    <w:rsid w:val="7F6D7B9F"/>
    <w:rsid w:val="7F6E1D9D"/>
    <w:rsid w:val="7F6F30A2"/>
    <w:rsid w:val="7F700B24"/>
    <w:rsid w:val="7F703639"/>
    <w:rsid w:val="7F7165A5"/>
    <w:rsid w:val="7F7207A3"/>
    <w:rsid w:val="7F722E84"/>
    <w:rsid w:val="7F7231F0"/>
    <w:rsid w:val="7F723A7C"/>
    <w:rsid w:val="7F724027"/>
    <w:rsid w:val="7F724BB2"/>
    <w:rsid w:val="7F731AA8"/>
    <w:rsid w:val="7F736225"/>
    <w:rsid w:val="7F743CA6"/>
    <w:rsid w:val="7F74612B"/>
    <w:rsid w:val="7F751728"/>
    <w:rsid w:val="7F754FAB"/>
    <w:rsid w:val="7F7571AA"/>
    <w:rsid w:val="7F770242"/>
    <w:rsid w:val="7F7704AE"/>
    <w:rsid w:val="7F7726AD"/>
    <w:rsid w:val="7F78012E"/>
    <w:rsid w:val="7F780C1C"/>
    <w:rsid w:val="7F791980"/>
    <w:rsid w:val="7F7939B1"/>
    <w:rsid w:val="7F795BB0"/>
    <w:rsid w:val="7F7A3631"/>
    <w:rsid w:val="7F7B10B3"/>
    <w:rsid w:val="7F7B6EB5"/>
    <w:rsid w:val="7F7C38D3"/>
    <w:rsid w:val="7F7C6B34"/>
    <w:rsid w:val="7F7D23B8"/>
    <w:rsid w:val="7F7D45B6"/>
    <w:rsid w:val="7F7D60D7"/>
    <w:rsid w:val="7F7D7E39"/>
    <w:rsid w:val="7F7E2038"/>
    <w:rsid w:val="7F7E58BB"/>
    <w:rsid w:val="7F7E59EA"/>
    <w:rsid w:val="7F7E5BAF"/>
    <w:rsid w:val="7F7F333C"/>
    <w:rsid w:val="7F7F7AB9"/>
    <w:rsid w:val="7F80553B"/>
    <w:rsid w:val="7F805EED"/>
    <w:rsid w:val="7F820A3E"/>
    <w:rsid w:val="7F823E73"/>
    <w:rsid w:val="7F8242C1"/>
    <w:rsid w:val="7F831D43"/>
    <w:rsid w:val="7F8364BF"/>
    <w:rsid w:val="7F843F41"/>
    <w:rsid w:val="7F8477C4"/>
    <w:rsid w:val="7F855246"/>
    <w:rsid w:val="7F862CC7"/>
    <w:rsid w:val="7F867444"/>
    <w:rsid w:val="7F870749"/>
    <w:rsid w:val="7F882947"/>
    <w:rsid w:val="7F8848D0"/>
    <w:rsid w:val="7F8861CA"/>
    <w:rsid w:val="7F8903C9"/>
    <w:rsid w:val="7F8952AA"/>
    <w:rsid w:val="7F8A5E4A"/>
    <w:rsid w:val="7F8A69E7"/>
    <w:rsid w:val="7F8C134D"/>
    <w:rsid w:val="7F8D2652"/>
    <w:rsid w:val="7F8D6DCF"/>
    <w:rsid w:val="7F8E00D4"/>
    <w:rsid w:val="7F8E0BEB"/>
    <w:rsid w:val="7F8F01AA"/>
    <w:rsid w:val="7F8F5B55"/>
    <w:rsid w:val="7F8F7D53"/>
    <w:rsid w:val="7F9035D7"/>
    <w:rsid w:val="7F9047D2"/>
    <w:rsid w:val="7F9057D5"/>
    <w:rsid w:val="7F911058"/>
    <w:rsid w:val="7F913256"/>
    <w:rsid w:val="7F920CD8"/>
    <w:rsid w:val="7F926ADA"/>
    <w:rsid w:val="7F93675A"/>
    <w:rsid w:val="7F941FDD"/>
    <w:rsid w:val="7F9441DB"/>
    <w:rsid w:val="7F945543"/>
    <w:rsid w:val="7F9554E0"/>
    <w:rsid w:val="7F957A5E"/>
    <w:rsid w:val="7F9709E3"/>
    <w:rsid w:val="7F986465"/>
    <w:rsid w:val="7F991937"/>
    <w:rsid w:val="7F993EE6"/>
    <w:rsid w:val="7F9A1968"/>
    <w:rsid w:val="7F9B2EB0"/>
    <w:rsid w:val="7F9B73E9"/>
    <w:rsid w:val="7F9C15E8"/>
    <w:rsid w:val="7F9E4E03"/>
    <w:rsid w:val="7F9F256C"/>
    <w:rsid w:val="7F9F5DEF"/>
    <w:rsid w:val="7FA26D74"/>
    <w:rsid w:val="7FA30658"/>
    <w:rsid w:val="7FA347F6"/>
    <w:rsid w:val="7FA57CF9"/>
    <w:rsid w:val="7FA6276F"/>
    <w:rsid w:val="7FA6330E"/>
    <w:rsid w:val="7FA6577A"/>
    <w:rsid w:val="7FA73CE8"/>
    <w:rsid w:val="7FA846C3"/>
    <w:rsid w:val="7FAA4181"/>
    <w:rsid w:val="7FAB1C02"/>
    <w:rsid w:val="7FAC4A8E"/>
    <w:rsid w:val="7FAC7379"/>
    <w:rsid w:val="7FAD2B87"/>
    <w:rsid w:val="7FAD5105"/>
    <w:rsid w:val="7FAD7F17"/>
    <w:rsid w:val="7FAF1655"/>
    <w:rsid w:val="7FAF2DF8"/>
    <w:rsid w:val="7FB1158D"/>
    <w:rsid w:val="7FB2700E"/>
    <w:rsid w:val="7FB34146"/>
    <w:rsid w:val="7FB57F93"/>
    <w:rsid w:val="7FB73496"/>
    <w:rsid w:val="7FB777D7"/>
    <w:rsid w:val="7FB80F18"/>
    <w:rsid w:val="7FB8479B"/>
    <w:rsid w:val="7FB9221D"/>
    <w:rsid w:val="7FB96999"/>
    <w:rsid w:val="7FBB1E9C"/>
    <w:rsid w:val="7FBB22C9"/>
    <w:rsid w:val="7FBB248D"/>
    <w:rsid w:val="7FBB6153"/>
    <w:rsid w:val="7FBB6829"/>
    <w:rsid w:val="7FBC31A1"/>
    <w:rsid w:val="7FBC58C7"/>
    <w:rsid w:val="7FBC791E"/>
    <w:rsid w:val="7FBD0C23"/>
    <w:rsid w:val="7FBD3A06"/>
    <w:rsid w:val="7FBD539F"/>
    <w:rsid w:val="7FBD6760"/>
    <w:rsid w:val="7FBE66A4"/>
    <w:rsid w:val="7FBF08A3"/>
    <w:rsid w:val="7FBF4126"/>
    <w:rsid w:val="7FC127C8"/>
    <w:rsid w:val="7FC17629"/>
    <w:rsid w:val="7FC27C35"/>
    <w:rsid w:val="7FC3060F"/>
    <w:rsid w:val="7FC32B2C"/>
    <w:rsid w:val="7FC527AC"/>
    <w:rsid w:val="7FC5602F"/>
    <w:rsid w:val="7FC65CAF"/>
    <w:rsid w:val="7FC71532"/>
    <w:rsid w:val="7FC73731"/>
    <w:rsid w:val="7FC811B2"/>
    <w:rsid w:val="7FC822D4"/>
    <w:rsid w:val="7FC91BFD"/>
    <w:rsid w:val="7FC93EBA"/>
    <w:rsid w:val="7FC94A35"/>
    <w:rsid w:val="7FCA46B5"/>
    <w:rsid w:val="7FCA5219"/>
    <w:rsid w:val="7FCB7B83"/>
    <w:rsid w:val="7FCB7F38"/>
    <w:rsid w:val="7FCC59BA"/>
    <w:rsid w:val="7FCD563A"/>
    <w:rsid w:val="7FCE30BB"/>
    <w:rsid w:val="7FCF08A9"/>
    <w:rsid w:val="7FCF0B3D"/>
    <w:rsid w:val="7FD01E42"/>
    <w:rsid w:val="7FD01FE6"/>
    <w:rsid w:val="7FD129C1"/>
    <w:rsid w:val="7FD21AC2"/>
    <w:rsid w:val="7FD40848"/>
    <w:rsid w:val="7FD44FC5"/>
    <w:rsid w:val="7FD5583B"/>
    <w:rsid w:val="7FD562CA"/>
    <w:rsid w:val="7FD63D4B"/>
    <w:rsid w:val="7FD717CD"/>
    <w:rsid w:val="7FD87953"/>
    <w:rsid w:val="7FD9144C"/>
    <w:rsid w:val="7FD92BEC"/>
    <w:rsid w:val="7FD94CD0"/>
    <w:rsid w:val="7FDB4950"/>
    <w:rsid w:val="7FDC23D1"/>
    <w:rsid w:val="7FDD36D6"/>
    <w:rsid w:val="7FDE1157"/>
    <w:rsid w:val="7FDE3356"/>
    <w:rsid w:val="7FDE58D4"/>
    <w:rsid w:val="7FDF0DD7"/>
    <w:rsid w:val="7FDF4F36"/>
    <w:rsid w:val="7FDF6BD9"/>
    <w:rsid w:val="7FE120DC"/>
    <w:rsid w:val="7FE16674"/>
    <w:rsid w:val="7FE21D5C"/>
    <w:rsid w:val="7FE27212"/>
    <w:rsid w:val="7FE355DF"/>
    <w:rsid w:val="7FE37BEC"/>
    <w:rsid w:val="7FE47E50"/>
    <w:rsid w:val="7FE50AE2"/>
    <w:rsid w:val="7FE63FE5"/>
    <w:rsid w:val="7FE71A67"/>
    <w:rsid w:val="7FE726DE"/>
    <w:rsid w:val="7FE74CF3"/>
    <w:rsid w:val="7FE761E4"/>
    <w:rsid w:val="7FE83C65"/>
    <w:rsid w:val="7FE874E8"/>
    <w:rsid w:val="7FE93C57"/>
    <w:rsid w:val="7FE94F6A"/>
    <w:rsid w:val="7FEA29EC"/>
    <w:rsid w:val="7FEB046D"/>
    <w:rsid w:val="7FEB4BEA"/>
    <w:rsid w:val="7FEC5EEF"/>
    <w:rsid w:val="7FED3970"/>
    <w:rsid w:val="7FED74AC"/>
    <w:rsid w:val="7FEE6E32"/>
    <w:rsid w:val="7FEE7E86"/>
    <w:rsid w:val="7FF16AF3"/>
    <w:rsid w:val="7FF24575"/>
    <w:rsid w:val="7FF31FF6"/>
    <w:rsid w:val="7FF3587A"/>
    <w:rsid w:val="7FF43CBB"/>
    <w:rsid w:val="7FF440B5"/>
    <w:rsid w:val="7FF525E1"/>
    <w:rsid w:val="7FF609FC"/>
    <w:rsid w:val="7FF62F7B"/>
    <w:rsid w:val="7FF6562E"/>
    <w:rsid w:val="7FF667FE"/>
    <w:rsid w:val="7FF7647E"/>
    <w:rsid w:val="7FF81D01"/>
    <w:rsid w:val="7FF83F00"/>
    <w:rsid w:val="7FF8790A"/>
    <w:rsid w:val="7FFA0CBF"/>
    <w:rsid w:val="7FFA203D"/>
    <w:rsid w:val="7FFA5204"/>
    <w:rsid w:val="7FFA621E"/>
    <w:rsid w:val="7FFA7403"/>
    <w:rsid w:val="7FFB2C86"/>
    <w:rsid w:val="7FFB4E84"/>
    <w:rsid w:val="7FFC0707"/>
    <w:rsid w:val="7FFC23FC"/>
    <w:rsid w:val="7FFC2906"/>
    <w:rsid w:val="7FFE3B39"/>
    <w:rsid w:val="7FFE466E"/>
    <w:rsid w:val="7FFF388A"/>
    <w:rsid w:val="7FFF451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iPriority="99"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5"/>
    <w:qFormat/>
    <w:uiPriority w:val="0"/>
    <w:pPr>
      <w:keepNext/>
      <w:spacing w:line="360" w:lineRule="auto"/>
      <w:outlineLvl w:val="1"/>
    </w:pPr>
    <w:rPr>
      <w:b/>
      <w:sz w:val="28"/>
      <w:szCs w:val="20"/>
      <w:lang w:val="zh-CN"/>
    </w:rPr>
  </w:style>
  <w:style w:type="paragraph" w:styleId="4">
    <w:name w:val="heading 3"/>
    <w:basedOn w:val="1"/>
    <w:next w:val="1"/>
    <w:link w:val="56"/>
    <w:qFormat/>
    <w:uiPriority w:val="0"/>
    <w:pPr>
      <w:keepNext/>
      <w:keepLines/>
      <w:widowControl/>
      <w:spacing w:before="120" w:after="120"/>
      <w:outlineLvl w:val="2"/>
    </w:pPr>
    <w:rPr>
      <w:rFonts w:eastAsia="黑体"/>
      <w:sz w:val="24"/>
      <w:szCs w:val="20"/>
    </w:rPr>
  </w:style>
  <w:style w:type="paragraph" w:styleId="5">
    <w:name w:val="heading 4"/>
    <w:basedOn w:val="1"/>
    <w:next w:val="1"/>
    <w:link w:val="57"/>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qFormat/>
    <w:uiPriority w:val="0"/>
    <w:pPr>
      <w:keepNext/>
      <w:keepLines/>
      <w:numPr>
        <w:ilvl w:val="4"/>
        <w:numId w:val="1"/>
      </w:numPr>
      <w:tabs>
        <w:tab w:val="left" w:pos="1008"/>
        <w:tab w:val="clear" w:pos="0"/>
      </w:tabs>
      <w:ind w:firstLineChars="0"/>
      <w:jc w:val="center"/>
      <w:outlineLvl w:val="4"/>
    </w:pPr>
    <w:rPr>
      <w:b/>
      <w:bCs/>
      <w:sz w:val="21"/>
      <w:szCs w:val="21"/>
    </w:rPr>
  </w:style>
  <w:style w:type="paragraph" w:styleId="7">
    <w:name w:val="heading 7"/>
    <w:basedOn w:val="1"/>
    <w:next w:val="1"/>
    <w:link w:val="58"/>
    <w:qFormat/>
    <w:uiPriority w:val="0"/>
    <w:pPr>
      <w:keepNext/>
      <w:keepLines/>
      <w:spacing w:before="240" w:after="64" w:line="320" w:lineRule="auto"/>
      <w:outlineLvl w:val="6"/>
    </w:pPr>
    <w:rPr>
      <w:b/>
      <w:bCs/>
      <w:sz w:val="24"/>
    </w:rPr>
  </w:style>
  <w:style w:type="character" w:default="1" w:styleId="48">
    <w:name w:val="Default Paragraph Font"/>
    <w:semiHidden/>
    <w:qFormat/>
    <w:uiPriority w:val="0"/>
    <w:rPr>
      <w:rFonts w:ascii="Times New Roman" w:hAnsi="Times New Roman"/>
      <w:bCs/>
      <w:kern w:val="0"/>
    </w:rPr>
  </w:style>
  <w:style w:type="table" w:default="1" w:styleId="45">
    <w:name w:val="Normal Table"/>
    <w:semiHidden/>
    <w:qFormat/>
    <w:uiPriority w:val="0"/>
    <w:tblPr>
      <w:tblCellMar>
        <w:top w:w="0" w:type="dxa"/>
        <w:left w:w="108" w:type="dxa"/>
        <w:bottom w:w="0" w:type="dxa"/>
        <w:right w:w="108" w:type="dxa"/>
      </w:tblCellMar>
    </w:tblPr>
  </w:style>
  <w:style w:type="paragraph" w:styleId="8">
    <w:name w:val="toc 7"/>
    <w:basedOn w:val="1"/>
    <w:next w:val="1"/>
    <w:qFormat/>
    <w:uiPriority w:val="0"/>
    <w:pPr>
      <w:ind w:left="2520" w:leftChars="1200"/>
    </w:pPr>
  </w:style>
  <w:style w:type="paragraph" w:styleId="9">
    <w:name w:val="Normal Indent"/>
    <w:basedOn w:val="1"/>
    <w:link w:val="59"/>
    <w:qFormat/>
    <w:uiPriority w:val="0"/>
    <w:pPr>
      <w:ind w:firstLine="420" w:firstLineChars="200"/>
    </w:pPr>
    <w:rPr>
      <w:rFonts w:ascii="Calibri" w:hAnsi="Calibri"/>
    </w:rPr>
  </w:style>
  <w:style w:type="paragraph" w:styleId="10">
    <w:name w:val="caption"/>
    <w:basedOn w:val="1"/>
    <w:next w:val="1"/>
    <w:qFormat/>
    <w:uiPriority w:val="0"/>
    <w:pPr>
      <w:spacing w:before="160" w:after="160" w:line="288" w:lineRule="auto"/>
      <w:ind w:firstLine="510"/>
      <w:jc w:val="center"/>
    </w:pPr>
    <w:rPr>
      <w:rFonts w:ascii="Arial" w:hAnsi="Arial" w:eastAsia="黑体"/>
      <w:sz w:val="24"/>
      <w:szCs w:val="20"/>
    </w:rPr>
  </w:style>
  <w:style w:type="paragraph" w:styleId="11">
    <w:name w:val="Document Map"/>
    <w:basedOn w:val="1"/>
    <w:link w:val="60"/>
    <w:qFormat/>
    <w:uiPriority w:val="0"/>
    <w:pPr>
      <w:shd w:val="clear" w:color="auto" w:fill="000080"/>
    </w:pPr>
  </w:style>
  <w:style w:type="paragraph" w:styleId="12">
    <w:name w:val="annotation text"/>
    <w:basedOn w:val="1"/>
    <w:link w:val="61"/>
    <w:qFormat/>
    <w:uiPriority w:val="0"/>
    <w:pPr>
      <w:jc w:val="left"/>
    </w:pPr>
    <w:rPr>
      <w:kern w:val="0"/>
      <w:sz w:val="24"/>
      <w:szCs w:val="20"/>
    </w:rPr>
  </w:style>
  <w:style w:type="paragraph" w:styleId="13">
    <w:name w:val="index 6"/>
    <w:basedOn w:val="1"/>
    <w:next w:val="1"/>
    <w:qFormat/>
    <w:uiPriority w:val="0"/>
    <w:pPr>
      <w:ind w:left="2100"/>
      <w:jc w:val="both"/>
    </w:pPr>
    <w:rPr>
      <w:rFonts w:ascii="Times New Roman" w:hAnsi="Times New Roman"/>
      <w:kern w:val="2"/>
      <w:sz w:val="21"/>
      <w:szCs w:val="24"/>
    </w:rPr>
  </w:style>
  <w:style w:type="paragraph" w:styleId="14">
    <w:name w:val="Body Text"/>
    <w:basedOn w:val="1"/>
    <w:next w:val="15"/>
    <w:link w:val="62"/>
    <w:qFormat/>
    <w:uiPriority w:val="0"/>
    <w:pPr>
      <w:widowControl/>
      <w:snapToGrid w:val="0"/>
      <w:spacing w:before="60" w:after="160" w:line="259" w:lineRule="auto"/>
      <w:ind w:right="113"/>
    </w:pPr>
    <w:rPr>
      <w:kern w:val="0"/>
      <w:sz w:val="18"/>
      <w:szCs w:val="20"/>
    </w:rPr>
  </w:style>
  <w:style w:type="paragraph" w:customStyle="1" w:styleId="15">
    <w:name w:val="默认段落"/>
    <w:basedOn w:val="1"/>
    <w:qFormat/>
    <w:uiPriority w:val="0"/>
    <w:rPr>
      <w:rFonts w:ascii="Calibri" w:hAnsi="Calibri"/>
    </w:rPr>
  </w:style>
  <w:style w:type="paragraph" w:styleId="16">
    <w:name w:val="Body Text Indent"/>
    <w:basedOn w:val="1"/>
    <w:link w:val="63"/>
    <w:qFormat/>
    <w:uiPriority w:val="0"/>
    <w:pPr>
      <w:spacing w:after="120"/>
      <w:ind w:left="420" w:leftChars="200"/>
    </w:pPr>
    <w:rPr>
      <w:kern w:val="0"/>
      <w:sz w:val="24"/>
      <w:szCs w:val="20"/>
    </w:rPr>
  </w:style>
  <w:style w:type="paragraph" w:styleId="17">
    <w:name w:val="toc 5"/>
    <w:basedOn w:val="1"/>
    <w:next w:val="1"/>
    <w:qFormat/>
    <w:uiPriority w:val="0"/>
    <w:pPr>
      <w:ind w:left="1680" w:leftChars="800"/>
    </w:pPr>
  </w:style>
  <w:style w:type="paragraph" w:styleId="18">
    <w:name w:val="toc 3"/>
    <w:basedOn w:val="1"/>
    <w:next w:val="1"/>
    <w:unhideWhenUsed/>
    <w:qFormat/>
    <w:uiPriority w:val="39"/>
    <w:pPr>
      <w:ind w:left="840" w:leftChars="400"/>
    </w:pPr>
  </w:style>
  <w:style w:type="paragraph" w:styleId="19">
    <w:name w:val="Plain Text"/>
    <w:basedOn w:val="1"/>
    <w:link w:val="64"/>
    <w:qFormat/>
    <w:uiPriority w:val="0"/>
    <w:rPr>
      <w:rFonts w:ascii="宋体" w:hAnsi="Courier New"/>
      <w:szCs w:val="21"/>
    </w:rPr>
  </w:style>
  <w:style w:type="paragraph" w:styleId="20">
    <w:name w:val="toc 8"/>
    <w:basedOn w:val="1"/>
    <w:next w:val="1"/>
    <w:qFormat/>
    <w:uiPriority w:val="0"/>
    <w:pPr>
      <w:ind w:left="2940" w:leftChars="1400"/>
    </w:pPr>
  </w:style>
  <w:style w:type="paragraph" w:styleId="21">
    <w:name w:val="Date"/>
    <w:basedOn w:val="1"/>
    <w:next w:val="1"/>
    <w:link w:val="65"/>
    <w:qFormat/>
    <w:uiPriority w:val="0"/>
    <w:pPr>
      <w:ind w:left="100" w:leftChars="2500"/>
    </w:pPr>
    <w:rPr>
      <w:kern w:val="0"/>
      <w:sz w:val="24"/>
      <w:szCs w:val="20"/>
    </w:rPr>
  </w:style>
  <w:style w:type="paragraph" w:styleId="22">
    <w:name w:val="Body Text Indent 2"/>
    <w:basedOn w:val="1"/>
    <w:link w:val="66"/>
    <w:qFormat/>
    <w:uiPriority w:val="0"/>
    <w:pPr>
      <w:spacing w:after="120" w:line="480" w:lineRule="auto"/>
      <w:ind w:left="420" w:leftChars="200"/>
    </w:pPr>
    <w:rPr>
      <w:szCs w:val="20"/>
    </w:rPr>
  </w:style>
  <w:style w:type="paragraph" w:styleId="23">
    <w:name w:val="Balloon Text"/>
    <w:basedOn w:val="1"/>
    <w:link w:val="67"/>
    <w:qFormat/>
    <w:uiPriority w:val="99"/>
    <w:rPr>
      <w:kern w:val="0"/>
      <w:sz w:val="18"/>
      <w:szCs w:val="20"/>
    </w:rPr>
  </w:style>
  <w:style w:type="paragraph" w:styleId="24">
    <w:name w:val="footer"/>
    <w:basedOn w:val="1"/>
    <w:link w:val="68"/>
    <w:qFormat/>
    <w:uiPriority w:val="99"/>
    <w:pPr>
      <w:tabs>
        <w:tab w:val="center" w:pos="4153"/>
        <w:tab w:val="right" w:pos="8306"/>
      </w:tabs>
      <w:snapToGrid w:val="0"/>
      <w:jc w:val="left"/>
    </w:pPr>
    <w:rPr>
      <w:kern w:val="0"/>
      <w:sz w:val="18"/>
      <w:szCs w:val="20"/>
    </w:rPr>
  </w:style>
  <w:style w:type="paragraph" w:styleId="25">
    <w:name w:val="header"/>
    <w:basedOn w:val="1"/>
    <w:next w:val="24"/>
    <w:link w:val="69"/>
    <w:qFormat/>
    <w:uiPriority w:val="99"/>
    <w:pPr>
      <w:pBdr>
        <w:bottom w:val="single" w:color="auto" w:sz="6" w:space="1"/>
      </w:pBdr>
      <w:tabs>
        <w:tab w:val="center" w:pos="4153"/>
        <w:tab w:val="right" w:pos="8306"/>
      </w:tabs>
      <w:snapToGrid w:val="0"/>
      <w:jc w:val="center"/>
    </w:pPr>
    <w:rPr>
      <w:kern w:val="0"/>
      <w:sz w:val="18"/>
      <w:szCs w:val="20"/>
    </w:rPr>
  </w:style>
  <w:style w:type="paragraph" w:styleId="26">
    <w:name w:val="toc 1"/>
    <w:basedOn w:val="1"/>
    <w:next w:val="1"/>
    <w:qFormat/>
    <w:uiPriority w:val="39"/>
  </w:style>
  <w:style w:type="paragraph" w:styleId="27">
    <w:name w:val="toc 4"/>
    <w:basedOn w:val="1"/>
    <w:next w:val="1"/>
    <w:qFormat/>
    <w:uiPriority w:val="0"/>
    <w:pPr>
      <w:ind w:left="1260" w:leftChars="600"/>
    </w:pPr>
  </w:style>
  <w:style w:type="paragraph" w:styleId="28">
    <w:name w:val="Subtitle"/>
    <w:basedOn w:val="1"/>
    <w:next w:val="1"/>
    <w:link w:val="70"/>
    <w:qFormat/>
    <w:uiPriority w:val="0"/>
    <w:pPr>
      <w:spacing w:before="240" w:after="60" w:line="312" w:lineRule="auto"/>
      <w:jc w:val="center"/>
      <w:outlineLvl w:val="1"/>
    </w:pPr>
    <w:rPr>
      <w:rFonts w:ascii="Cambria" w:hAnsi="Cambria"/>
      <w:b/>
      <w:bCs/>
      <w:kern w:val="28"/>
      <w:sz w:val="32"/>
      <w:szCs w:val="32"/>
    </w:rPr>
  </w:style>
  <w:style w:type="paragraph" w:styleId="29">
    <w:name w:val="List"/>
    <w:basedOn w:val="1"/>
    <w:qFormat/>
    <w:uiPriority w:val="0"/>
    <w:pPr>
      <w:ind w:left="200" w:hanging="200" w:hangingChars="200"/>
    </w:pPr>
  </w:style>
  <w:style w:type="paragraph" w:styleId="30">
    <w:name w:val="toc 6"/>
    <w:basedOn w:val="1"/>
    <w:next w:val="1"/>
    <w:qFormat/>
    <w:uiPriority w:val="0"/>
    <w:pPr>
      <w:ind w:left="2100" w:leftChars="1000"/>
    </w:pPr>
  </w:style>
  <w:style w:type="paragraph" w:styleId="31">
    <w:name w:val="List 5"/>
    <w:basedOn w:val="1"/>
    <w:next w:val="32"/>
    <w:qFormat/>
    <w:uiPriority w:val="0"/>
    <w:pPr>
      <w:widowControl/>
      <w:spacing w:line="440" w:lineRule="exact"/>
      <w:ind w:left="100" w:hanging="200"/>
    </w:pPr>
    <w:rPr>
      <w:rFonts w:ascii="宋体"/>
    </w:rPr>
  </w:style>
  <w:style w:type="paragraph" w:customStyle="1" w:styleId="32">
    <w:name w:val="大华农正文"/>
    <w:basedOn w:val="1"/>
    <w:next w:val="33"/>
    <w:qFormat/>
    <w:uiPriority w:val="0"/>
    <w:pPr>
      <w:spacing w:line="360" w:lineRule="auto"/>
      <w:ind w:firstLine="200"/>
    </w:pPr>
  </w:style>
  <w:style w:type="paragraph" w:customStyle="1" w:styleId="33">
    <w:name w:val="Char Char Char Char Char Char1 Char Char Char1 Char Char Char Char Char Char Char"/>
    <w:basedOn w:val="1"/>
    <w:next w:val="34"/>
    <w:qFormat/>
    <w:uiPriority w:val="0"/>
    <w:pPr>
      <w:spacing w:line="360" w:lineRule="auto"/>
      <w:ind w:firstLine="200"/>
    </w:pPr>
    <w:rPr>
      <w:rFonts w:ascii="宋体"/>
    </w:rPr>
  </w:style>
  <w:style w:type="paragraph" w:customStyle="1" w:styleId="34">
    <w:name w:val="标准"/>
    <w:basedOn w:val="1"/>
    <w:next w:val="35"/>
    <w:qFormat/>
    <w:uiPriority w:val="0"/>
    <w:pPr>
      <w:adjustRightInd w:val="0"/>
      <w:spacing w:line="312" w:lineRule="atLeast"/>
      <w:jc w:val="center"/>
      <w:textAlignment w:val="baseline"/>
    </w:pPr>
    <w:rPr>
      <w:kern w:val="0"/>
      <w:szCs w:val="20"/>
    </w:rPr>
  </w:style>
  <w:style w:type="paragraph" w:customStyle="1" w:styleId="35">
    <w:name w:val="MTDisplayEquation"/>
    <w:basedOn w:val="1"/>
    <w:next w:val="1"/>
    <w:qFormat/>
    <w:uiPriority w:val="0"/>
    <w:pPr>
      <w:spacing w:line="360" w:lineRule="auto"/>
      <w:ind w:firstLine="480"/>
    </w:pPr>
  </w:style>
  <w:style w:type="paragraph" w:styleId="36">
    <w:name w:val="Body Text Indent 3"/>
    <w:basedOn w:val="1"/>
    <w:link w:val="71"/>
    <w:unhideWhenUsed/>
    <w:qFormat/>
    <w:uiPriority w:val="99"/>
    <w:pPr>
      <w:spacing w:after="120"/>
      <w:ind w:left="420" w:leftChars="200"/>
    </w:pPr>
    <w:rPr>
      <w:rFonts w:ascii="Calibri" w:hAnsi="Calibri"/>
      <w:sz w:val="16"/>
      <w:szCs w:val="16"/>
    </w:rPr>
  </w:style>
  <w:style w:type="paragraph" w:styleId="37">
    <w:name w:val="table of figures"/>
    <w:basedOn w:val="1"/>
    <w:next w:val="1"/>
    <w:qFormat/>
    <w:uiPriority w:val="0"/>
    <w:pPr>
      <w:ind w:leftChars="200" w:hanging="200" w:hangingChars="200"/>
    </w:pPr>
  </w:style>
  <w:style w:type="paragraph" w:styleId="38">
    <w:name w:val="toc 2"/>
    <w:basedOn w:val="1"/>
    <w:next w:val="1"/>
    <w:qFormat/>
    <w:uiPriority w:val="0"/>
    <w:pPr>
      <w:ind w:left="420" w:leftChars="200"/>
    </w:pPr>
  </w:style>
  <w:style w:type="paragraph" w:styleId="39">
    <w:name w:val="toc 9"/>
    <w:basedOn w:val="1"/>
    <w:next w:val="1"/>
    <w:qFormat/>
    <w:uiPriority w:val="0"/>
    <w:pPr>
      <w:ind w:left="3360" w:leftChars="1600"/>
    </w:pPr>
  </w:style>
  <w:style w:type="paragraph" w:styleId="40">
    <w:name w:val="Normal (Web)"/>
    <w:basedOn w:val="1"/>
    <w:link w:val="72"/>
    <w:qFormat/>
    <w:uiPriority w:val="99"/>
    <w:pPr>
      <w:widowControl/>
      <w:spacing w:before="100" w:beforeAutospacing="1" w:after="100" w:afterAutospacing="1"/>
      <w:jc w:val="left"/>
    </w:pPr>
    <w:rPr>
      <w:rFonts w:ascii="宋体" w:hAnsi="宋体"/>
      <w:kern w:val="0"/>
      <w:sz w:val="24"/>
      <w:szCs w:val="20"/>
    </w:rPr>
  </w:style>
  <w:style w:type="paragraph" w:styleId="41">
    <w:name w:val="Title"/>
    <w:basedOn w:val="1"/>
    <w:next w:val="1"/>
    <w:link w:val="73"/>
    <w:qFormat/>
    <w:uiPriority w:val="0"/>
    <w:pPr>
      <w:spacing w:before="240" w:after="60"/>
      <w:jc w:val="center"/>
      <w:outlineLvl w:val="0"/>
    </w:pPr>
    <w:rPr>
      <w:rFonts w:ascii="Cambria" w:hAnsi="Cambria"/>
      <w:b/>
      <w:bCs/>
      <w:sz w:val="32"/>
      <w:szCs w:val="32"/>
    </w:rPr>
  </w:style>
  <w:style w:type="paragraph" w:styleId="42">
    <w:name w:val="annotation subject"/>
    <w:basedOn w:val="12"/>
    <w:next w:val="12"/>
    <w:link w:val="74"/>
    <w:qFormat/>
    <w:uiPriority w:val="0"/>
    <w:rPr>
      <w:b/>
      <w:kern w:val="2"/>
    </w:rPr>
  </w:style>
  <w:style w:type="paragraph" w:styleId="43">
    <w:name w:val="Body Text First Indent"/>
    <w:basedOn w:val="1"/>
    <w:link w:val="75"/>
    <w:qFormat/>
    <w:uiPriority w:val="0"/>
    <w:pPr>
      <w:widowControl w:val="0"/>
      <w:snapToGrid/>
      <w:spacing w:before="0" w:after="120" w:line="240" w:lineRule="auto"/>
      <w:ind w:right="0" w:firstLine="420" w:firstLineChars="100"/>
    </w:pPr>
    <w:rPr>
      <w:kern w:val="2"/>
      <w:sz w:val="21"/>
    </w:rPr>
  </w:style>
  <w:style w:type="paragraph" w:styleId="44">
    <w:name w:val="Body Text First Indent 2"/>
    <w:basedOn w:val="16"/>
    <w:link w:val="76"/>
    <w:qFormat/>
    <w:uiPriority w:val="0"/>
    <w:pPr>
      <w:ind w:firstLine="420" w:firstLineChars="200"/>
    </w:pPr>
    <w:rPr>
      <w:rFonts w:ascii="Calibri" w:hAnsi="Calibri"/>
      <w:kern w:val="2"/>
      <w:sz w:val="21"/>
      <w:szCs w:val="24"/>
    </w:rPr>
  </w:style>
  <w:style w:type="table" w:styleId="46">
    <w:name w:val="Table Grid"/>
    <w:basedOn w:val="4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Theme"/>
    <w:basedOn w:val="45"/>
    <w:qFormat/>
    <w:uiPriority w:val="0"/>
    <w:pPr>
      <w:widowControl w:val="0"/>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22"/>
    <w:rPr>
      <w:b/>
      <w:bCs/>
    </w:rPr>
  </w:style>
  <w:style w:type="character" w:styleId="50">
    <w:name w:val="page number"/>
    <w:qFormat/>
    <w:uiPriority w:val="0"/>
  </w:style>
  <w:style w:type="character" w:styleId="51">
    <w:name w:val="Emphasis"/>
    <w:qFormat/>
    <w:uiPriority w:val="0"/>
    <w:rPr>
      <w:i/>
    </w:rPr>
  </w:style>
  <w:style w:type="character" w:styleId="52">
    <w:name w:val="Hyperlink"/>
    <w:qFormat/>
    <w:uiPriority w:val="99"/>
    <w:rPr>
      <w:color w:val="0268CD"/>
      <w:u w:val="none"/>
    </w:rPr>
  </w:style>
  <w:style w:type="character" w:styleId="53">
    <w:name w:val="annotation reference"/>
    <w:qFormat/>
    <w:uiPriority w:val="0"/>
    <w:rPr>
      <w:sz w:val="21"/>
    </w:rPr>
  </w:style>
  <w:style w:type="character" w:customStyle="1" w:styleId="54">
    <w:name w:val="标题 1 字符"/>
    <w:link w:val="2"/>
    <w:qFormat/>
    <w:uiPriority w:val="0"/>
    <w:rPr>
      <w:rFonts w:eastAsia="黑体"/>
      <w:b/>
      <w:bCs/>
      <w:color w:val="000000"/>
      <w:kern w:val="44"/>
      <w:sz w:val="30"/>
      <w:szCs w:val="30"/>
    </w:rPr>
  </w:style>
  <w:style w:type="character" w:customStyle="1" w:styleId="55">
    <w:name w:val="标题 2 字符"/>
    <w:link w:val="3"/>
    <w:qFormat/>
    <w:uiPriority w:val="0"/>
    <w:rPr>
      <w:rFonts w:ascii="Times New Roman" w:hAnsi="Times New Roman" w:eastAsia="宋体"/>
      <w:b/>
      <w:kern w:val="2"/>
      <w:sz w:val="28"/>
      <w:lang w:val="zh-CN"/>
    </w:rPr>
  </w:style>
  <w:style w:type="character" w:customStyle="1" w:styleId="56">
    <w:name w:val="标题 3 字符"/>
    <w:link w:val="4"/>
    <w:qFormat/>
    <w:uiPriority w:val="0"/>
    <w:rPr>
      <w:rFonts w:eastAsia="黑体"/>
      <w:kern w:val="2"/>
      <w:sz w:val="24"/>
    </w:rPr>
  </w:style>
  <w:style w:type="character" w:customStyle="1" w:styleId="57">
    <w:name w:val="标题 4 字符"/>
    <w:link w:val="5"/>
    <w:qFormat/>
    <w:uiPriority w:val="9"/>
    <w:rPr>
      <w:rFonts w:ascii="Arial" w:hAnsi="Arial" w:eastAsia="黑体"/>
      <w:b/>
      <w:kern w:val="2"/>
      <w:sz w:val="28"/>
      <w:szCs w:val="24"/>
    </w:rPr>
  </w:style>
  <w:style w:type="character" w:customStyle="1" w:styleId="58">
    <w:name w:val="标题 7 字符"/>
    <w:link w:val="7"/>
    <w:qFormat/>
    <w:uiPriority w:val="0"/>
    <w:rPr>
      <w:b/>
      <w:bCs/>
      <w:kern w:val="2"/>
      <w:sz w:val="24"/>
      <w:szCs w:val="24"/>
    </w:rPr>
  </w:style>
  <w:style w:type="character" w:customStyle="1" w:styleId="59">
    <w:name w:val="正文缩进 字符"/>
    <w:link w:val="9"/>
    <w:qFormat/>
    <w:uiPriority w:val="0"/>
    <w:rPr>
      <w:rFonts w:ascii="Calibri" w:hAnsi="Calibri"/>
      <w:kern w:val="2"/>
      <w:sz w:val="21"/>
      <w:szCs w:val="24"/>
    </w:rPr>
  </w:style>
  <w:style w:type="character" w:customStyle="1" w:styleId="60">
    <w:name w:val="文档结构图 字符"/>
    <w:link w:val="11"/>
    <w:qFormat/>
    <w:uiPriority w:val="0"/>
    <w:rPr>
      <w:kern w:val="2"/>
      <w:sz w:val="21"/>
      <w:szCs w:val="24"/>
      <w:shd w:val="clear" w:color="auto" w:fill="000080"/>
    </w:rPr>
  </w:style>
  <w:style w:type="character" w:customStyle="1" w:styleId="61">
    <w:name w:val="批注文字 字符"/>
    <w:link w:val="12"/>
    <w:qFormat/>
    <w:uiPriority w:val="0"/>
    <w:rPr>
      <w:rFonts w:ascii="Times New Roman" w:hAnsi="Times New Roman" w:eastAsia="宋体"/>
      <w:sz w:val="24"/>
    </w:rPr>
  </w:style>
  <w:style w:type="character" w:customStyle="1" w:styleId="62">
    <w:name w:val="正文文本 字符"/>
    <w:link w:val="14"/>
    <w:qFormat/>
    <w:uiPriority w:val="0"/>
    <w:rPr>
      <w:sz w:val="18"/>
    </w:rPr>
  </w:style>
  <w:style w:type="character" w:customStyle="1" w:styleId="63">
    <w:name w:val="正文文本缩进 字符"/>
    <w:link w:val="16"/>
    <w:qFormat/>
    <w:uiPriority w:val="0"/>
    <w:rPr>
      <w:rFonts w:ascii="Times New Roman" w:hAnsi="Times New Roman" w:eastAsia="宋体"/>
      <w:sz w:val="24"/>
    </w:rPr>
  </w:style>
  <w:style w:type="character" w:customStyle="1" w:styleId="64">
    <w:name w:val="纯文本 字符"/>
    <w:link w:val="19"/>
    <w:qFormat/>
    <w:uiPriority w:val="0"/>
    <w:rPr>
      <w:rFonts w:ascii="宋体" w:hAnsi="Courier New" w:cs="Courier New"/>
      <w:kern w:val="2"/>
      <w:sz w:val="21"/>
      <w:szCs w:val="21"/>
    </w:rPr>
  </w:style>
  <w:style w:type="character" w:customStyle="1" w:styleId="65">
    <w:name w:val="日期 字符1"/>
    <w:link w:val="21"/>
    <w:qFormat/>
    <w:uiPriority w:val="0"/>
    <w:rPr>
      <w:rFonts w:ascii="Times New Roman" w:hAnsi="Times New Roman" w:eastAsia="宋体"/>
      <w:sz w:val="24"/>
    </w:rPr>
  </w:style>
  <w:style w:type="character" w:customStyle="1" w:styleId="66">
    <w:name w:val="正文文本缩进 2 字符"/>
    <w:link w:val="22"/>
    <w:qFormat/>
    <w:uiPriority w:val="0"/>
    <w:rPr>
      <w:kern w:val="2"/>
      <w:sz w:val="21"/>
    </w:rPr>
  </w:style>
  <w:style w:type="character" w:customStyle="1" w:styleId="67">
    <w:name w:val="批注框文本 字符"/>
    <w:link w:val="23"/>
    <w:qFormat/>
    <w:uiPriority w:val="99"/>
    <w:rPr>
      <w:rFonts w:ascii="Times New Roman" w:hAnsi="Times New Roman" w:eastAsia="宋体"/>
      <w:sz w:val="18"/>
    </w:rPr>
  </w:style>
  <w:style w:type="character" w:customStyle="1" w:styleId="68">
    <w:name w:val="页脚 字符1"/>
    <w:link w:val="24"/>
    <w:qFormat/>
    <w:uiPriority w:val="99"/>
    <w:rPr>
      <w:sz w:val="18"/>
    </w:rPr>
  </w:style>
  <w:style w:type="character" w:customStyle="1" w:styleId="69">
    <w:name w:val="页眉 字符"/>
    <w:link w:val="25"/>
    <w:qFormat/>
    <w:uiPriority w:val="99"/>
    <w:rPr>
      <w:sz w:val="18"/>
    </w:rPr>
  </w:style>
  <w:style w:type="character" w:customStyle="1" w:styleId="70">
    <w:name w:val="副标题 字符"/>
    <w:link w:val="28"/>
    <w:qFormat/>
    <w:uiPriority w:val="0"/>
    <w:rPr>
      <w:rFonts w:ascii="Cambria" w:hAnsi="Cambria"/>
      <w:b/>
      <w:bCs/>
      <w:kern w:val="28"/>
      <w:sz w:val="32"/>
      <w:szCs w:val="32"/>
    </w:rPr>
  </w:style>
  <w:style w:type="character" w:customStyle="1" w:styleId="71">
    <w:name w:val="正文文本缩进 3 字符"/>
    <w:link w:val="36"/>
    <w:qFormat/>
    <w:uiPriority w:val="99"/>
    <w:rPr>
      <w:rFonts w:ascii="Calibri" w:hAnsi="Calibri"/>
      <w:kern w:val="2"/>
      <w:sz w:val="16"/>
      <w:szCs w:val="16"/>
    </w:rPr>
  </w:style>
  <w:style w:type="character" w:customStyle="1" w:styleId="72">
    <w:name w:val="普通(网站) 字符1"/>
    <w:link w:val="40"/>
    <w:qFormat/>
    <w:uiPriority w:val="0"/>
    <w:rPr>
      <w:rFonts w:ascii="宋体" w:hAnsi="宋体" w:eastAsia="宋体"/>
      <w:sz w:val="24"/>
    </w:rPr>
  </w:style>
  <w:style w:type="character" w:customStyle="1" w:styleId="73">
    <w:name w:val="标题 字符"/>
    <w:link w:val="41"/>
    <w:qFormat/>
    <w:uiPriority w:val="0"/>
    <w:rPr>
      <w:rFonts w:ascii="Cambria" w:hAnsi="Cambria"/>
      <w:b/>
      <w:bCs/>
      <w:kern w:val="2"/>
      <w:sz w:val="32"/>
      <w:szCs w:val="32"/>
    </w:rPr>
  </w:style>
  <w:style w:type="character" w:customStyle="1" w:styleId="74">
    <w:name w:val="批注主题 字符"/>
    <w:link w:val="42"/>
    <w:qFormat/>
    <w:uiPriority w:val="0"/>
    <w:rPr>
      <w:rFonts w:ascii="Times New Roman" w:hAnsi="Times New Roman" w:eastAsia="宋体"/>
      <w:b/>
      <w:kern w:val="2"/>
      <w:sz w:val="24"/>
    </w:rPr>
  </w:style>
  <w:style w:type="character" w:customStyle="1" w:styleId="75">
    <w:name w:val="正文首行缩进 字符"/>
    <w:link w:val="43"/>
    <w:qFormat/>
    <w:uiPriority w:val="0"/>
    <w:rPr>
      <w:kern w:val="2"/>
      <w:sz w:val="21"/>
    </w:rPr>
  </w:style>
  <w:style w:type="character" w:customStyle="1" w:styleId="76">
    <w:name w:val="正文首行缩进 2 字符"/>
    <w:link w:val="44"/>
    <w:qFormat/>
    <w:uiPriority w:val="0"/>
    <w:rPr>
      <w:rFonts w:ascii="Calibri" w:hAnsi="Calibri" w:eastAsia="宋体"/>
      <w:kern w:val="2"/>
      <w:sz w:val="21"/>
      <w:szCs w:val="24"/>
    </w:rPr>
  </w:style>
  <w:style w:type="paragraph" w:customStyle="1" w:styleId="77">
    <w:name w:val="Default"/>
    <w:basedOn w:val="78"/>
    <w:unhideWhenUsed/>
    <w:qFormat/>
    <w:uiPriority w:val="99"/>
    <w:pPr>
      <w:widowControl w:val="0"/>
      <w:autoSpaceDE w:val="0"/>
      <w:autoSpaceDN w:val="0"/>
      <w:adjustRightInd w:val="0"/>
    </w:pPr>
    <w:rPr>
      <w:rFonts w:hint="eastAsia" w:eastAsia="Times New Roman"/>
      <w:color w:val="000000"/>
      <w:sz w:val="24"/>
      <w:lang w:val="en-US" w:eastAsia="zh-CN" w:bidi="ar-SA"/>
    </w:rPr>
  </w:style>
  <w:style w:type="paragraph" w:customStyle="1" w:styleId="78">
    <w:name w:val="纯文本1"/>
    <w:basedOn w:val="1"/>
    <w:qFormat/>
    <w:uiPriority w:val="0"/>
    <w:pPr>
      <w:adjustRightInd w:val="0"/>
    </w:pPr>
    <w:rPr>
      <w:rFonts w:ascii="宋体" w:hAnsi="Courier New"/>
      <w:szCs w:val="20"/>
    </w:rPr>
  </w:style>
  <w:style w:type="character" w:customStyle="1" w:styleId="79">
    <w:name w:val="apple-converted-space"/>
    <w:qFormat/>
    <w:uiPriority w:val="0"/>
  </w:style>
  <w:style w:type="character" w:customStyle="1" w:styleId="80">
    <w:name w:val="16"/>
    <w:qFormat/>
    <w:uiPriority w:val="0"/>
  </w:style>
  <w:style w:type="character" w:customStyle="1" w:styleId="81">
    <w:name w:val="页脚 Char"/>
    <w:qFormat/>
    <w:uiPriority w:val="99"/>
    <w:rPr>
      <w:rFonts w:eastAsia="Calibri"/>
      <w:sz w:val="21"/>
    </w:rPr>
  </w:style>
  <w:style w:type="character" w:customStyle="1" w:styleId="82">
    <w:name w:val="hzw书正文 Char"/>
    <w:link w:val="83"/>
    <w:qFormat/>
    <w:uiPriority w:val="0"/>
    <w:rPr>
      <w:kern w:val="2"/>
      <w:sz w:val="24"/>
      <w:szCs w:val="22"/>
    </w:rPr>
  </w:style>
  <w:style w:type="paragraph" w:customStyle="1" w:styleId="83">
    <w:name w:val="hzw书正文"/>
    <w:basedOn w:val="1"/>
    <w:link w:val="82"/>
    <w:qFormat/>
    <w:uiPriority w:val="0"/>
    <w:pPr>
      <w:spacing w:line="360" w:lineRule="auto"/>
      <w:ind w:firstLine="200" w:firstLineChars="200"/>
    </w:pPr>
    <w:rPr>
      <w:sz w:val="24"/>
      <w:szCs w:val="22"/>
    </w:rPr>
  </w:style>
  <w:style w:type="character" w:customStyle="1" w:styleId="84">
    <w:name w:val="font01"/>
    <w:qFormat/>
    <w:uiPriority w:val="0"/>
    <w:rPr>
      <w:rFonts w:hint="eastAsia" w:ascii="宋体" w:hAnsi="宋体" w:eastAsia="宋体"/>
      <w:color w:val="000000"/>
      <w:sz w:val="21"/>
      <w:szCs w:val="21"/>
      <w:u w:val="none"/>
    </w:rPr>
  </w:style>
  <w:style w:type="character" w:customStyle="1" w:styleId="85">
    <w:name w:val="普通(网站) 字符"/>
    <w:qFormat/>
    <w:uiPriority w:val="0"/>
    <w:rPr>
      <w:rFonts w:ascii="宋体" w:hAnsi="宋体" w:eastAsia="宋体" w:cs="Times New Roman"/>
      <w:color w:val="000000"/>
      <w:kern w:val="0"/>
      <w:sz w:val="24"/>
      <w:szCs w:val="24"/>
      <w:lang w:val="zh-CN" w:eastAsia="zh-CN"/>
    </w:rPr>
  </w:style>
  <w:style w:type="character" w:customStyle="1" w:styleId="86">
    <w:name w:val="font81"/>
    <w:qFormat/>
    <w:uiPriority w:val="0"/>
    <w:rPr>
      <w:rFonts w:hint="default" w:ascii="Times New Roman" w:hAnsi="Times New Roman" w:cs="Times New Roman"/>
      <w:color w:val="000000"/>
      <w:sz w:val="21"/>
      <w:szCs w:val="21"/>
      <w:u w:val="none"/>
    </w:rPr>
  </w:style>
  <w:style w:type="character" w:customStyle="1" w:styleId="87">
    <w:name w:val="font61"/>
    <w:qFormat/>
    <w:uiPriority w:val="0"/>
    <w:rPr>
      <w:rFonts w:hint="eastAsia" w:ascii="宋体" w:hAnsi="宋体" w:eastAsia="宋体" w:cs="宋体"/>
      <w:color w:val="000000"/>
      <w:sz w:val="21"/>
      <w:szCs w:val="21"/>
      <w:u w:val="none"/>
    </w:rPr>
  </w:style>
  <w:style w:type="character" w:customStyle="1" w:styleId="88">
    <w:name w:val="font21"/>
    <w:qFormat/>
    <w:uiPriority w:val="0"/>
    <w:rPr>
      <w:rFonts w:hint="eastAsia" w:ascii="宋体" w:hAnsi="宋体" w:eastAsia="宋体" w:cs="宋体"/>
      <w:color w:val="000000"/>
      <w:sz w:val="21"/>
      <w:szCs w:val="21"/>
      <w:u w:val="none"/>
      <w:vertAlign w:val="subscript"/>
    </w:rPr>
  </w:style>
  <w:style w:type="character" w:customStyle="1" w:styleId="89">
    <w:name w:val="表格啊啊 Char"/>
    <w:link w:val="90"/>
    <w:qFormat/>
    <w:uiPriority w:val="0"/>
    <w:rPr>
      <w:rFonts w:ascii="Calibri" w:hAnsi="宋体"/>
      <w:kern w:val="2"/>
      <w:sz w:val="21"/>
      <w:szCs w:val="21"/>
    </w:rPr>
  </w:style>
  <w:style w:type="paragraph" w:customStyle="1" w:styleId="90">
    <w:name w:val="表格啊啊"/>
    <w:basedOn w:val="1"/>
    <w:link w:val="89"/>
    <w:qFormat/>
    <w:uiPriority w:val="0"/>
    <w:pPr>
      <w:autoSpaceDE w:val="0"/>
      <w:autoSpaceDN w:val="0"/>
      <w:adjustRightInd w:val="0"/>
      <w:snapToGrid w:val="0"/>
      <w:jc w:val="center"/>
    </w:pPr>
    <w:rPr>
      <w:rFonts w:ascii="Calibri" w:hAnsi="宋体"/>
      <w:szCs w:val="21"/>
    </w:rPr>
  </w:style>
  <w:style w:type="character" w:customStyle="1" w:styleId="91">
    <w:name w:val="页脚 字符"/>
    <w:qFormat/>
    <w:uiPriority w:val="99"/>
  </w:style>
  <w:style w:type="character" w:customStyle="1" w:styleId="92">
    <w:name w:val="鲍伟 正文 Char"/>
    <w:link w:val="93"/>
    <w:qFormat/>
    <w:uiPriority w:val="0"/>
    <w:rPr>
      <w:rFonts w:ascii="宋体" w:hAnsi="宋体"/>
      <w:sz w:val="24"/>
      <w:lang w:val="en-US" w:eastAsia="zh-CN" w:bidi="ar-SA"/>
    </w:rPr>
  </w:style>
  <w:style w:type="paragraph" w:customStyle="1" w:styleId="93">
    <w:name w:val="鲍伟 正文"/>
    <w:link w:val="92"/>
    <w:qFormat/>
    <w:uiPriority w:val="0"/>
    <w:pPr>
      <w:spacing w:line="360" w:lineRule="auto"/>
      <w:ind w:left="-4" w:leftChars="-2" w:firstLine="480" w:firstLineChars="200"/>
      <w:jc w:val="both"/>
    </w:pPr>
    <w:rPr>
      <w:rFonts w:ascii="宋体" w:hAnsi="宋体" w:eastAsia="宋体" w:cs="Times New Roman"/>
      <w:sz w:val="24"/>
      <w:lang w:val="en-US" w:eastAsia="zh-CN" w:bidi="ar-SA"/>
    </w:rPr>
  </w:style>
  <w:style w:type="character" w:customStyle="1" w:styleId="94">
    <w:name w:val="普通(网站) Char"/>
    <w:qFormat/>
    <w:uiPriority w:val="0"/>
    <w:rPr>
      <w:rFonts w:ascii="宋体" w:hAnsi="宋体" w:eastAsia="宋体"/>
      <w:sz w:val="24"/>
    </w:rPr>
  </w:style>
  <w:style w:type="character" w:customStyle="1" w:styleId="95">
    <w:name w:val="正文首行缩进 Char1"/>
    <w:qFormat/>
    <w:uiPriority w:val="0"/>
    <w:rPr>
      <w:kern w:val="2"/>
      <w:sz w:val="21"/>
    </w:rPr>
  </w:style>
  <w:style w:type="character" w:customStyle="1" w:styleId="96">
    <w:name w:val="D新正文 Char"/>
    <w:qFormat/>
    <w:uiPriority w:val="0"/>
    <w:rPr>
      <w:sz w:val="24"/>
    </w:rPr>
  </w:style>
  <w:style w:type="character" w:customStyle="1" w:styleId="97">
    <w:name w:val="info3"/>
    <w:qFormat/>
    <w:uiPriority w:val="0"/>
  </w:style>
  <w:style w:type="character" w:customStyle="1" w:styleId="98">
    <w:name w:val="D图表小四 Char"/>
    <w:link w:val="99"/>
    <w:qFormat/>
    <w:uiPriority w:val="0"/>
    <w:rPr>
      <w:b/>
      <w:kern w:val="2"/>
      <w:sz w:val="24"/>
      <w:szCs w:val="24"/>
    </w:rPr>
  </w:style>
  <w:style w:type="paragraph" w:customStyle="1" w:styleId="99">
    <w:name w:val="D图表小四"/>
    <w:basedOn w:val="1"/>
    <w:link w:val="98"/>
    <w:qFormat/>
    <w:uiPriority w:val="0"/>
    <w:pPr>
      <w:spacing w:before="120" w:after="120"/>
      <w:jc w:val="center"/>
    </w:pPr>
    <w:rPr>
      <w:b/>
      <w:sz w:val="24"/>
    </w:rPr>
  </w:style>
  <w:style w:type="character" w:customStyle="1" w:styleId="100">
    <w:name w:val="font71"/>
    <w:qFormat/>
    <w:uiPriority w:val="0"/>
    <w:rPr>
      <w:rFonts w:hint="default" w:ascii="Times New Roman" w:hAnsi="Times New Roman" w:cs="Times New Roman"/>
      <w:color w:val="000000"/>
      <w:sz w:val="21"/>
      <w:szCs w:val="21"/>
      <w:u w:val="none"/>
    </w:rPr>
  </w:style>
  <w:style w:type="character" w:customStyle="1" w:styleId="101">
    <w:name w:val="表格 Char"/>
    <w:link w:val="102"/>
    <w:qFormat/>
    <w:uiPriority w:val="0"/>
    <w:rPr>
      <w:rFonts w:ascii="宋体"/>
      <w:sz w:val="21"/>
    </w:rPr>
  </w:style>
  <w:style w:type="paragraph" w:customStyle="1" w:styleId="102">
    <w:name w:val="表格"/>
    <w:basedOn w:val="1"/>
    <w:next w:val="1"/>
    <w:link w:val="101"/>
    <w:qFormat/>
    <w:uiPriority w:val="0"/>
    <w:pPr>
      <w:adjustRightInd w:val="0"/>
      <w:snapToGrid w:val="0"/>
      <w:spacing w:beforeLines="10" w:afterLines="10" w:line="259" w:lineRule="auto"/>
      <w:jc w:val="center"/>
    </w:pPr>
    <w:rPr>
      <w:rFonts w:ascii="宋体"/>
      <w:kern w:val="0"/>
      <w:szCs w:val="20"/>
    </w:rPr>
  </w:style>
  <w:style w:type="character" w:customStyle="1" w:styleId="103">
    <w:name w:val="表格 32 Char"/>
    <w:link w:val="104"/>
    <w:qFormat/>
    <w:uiPriority w:val="0"/>
    <w:rPr>
      <w:rFonts w:eastAsia="楷体_GB2312"/>
      <w:sz w:val="24"/>
    </w:rPr>
  </w:style>
  <w:style w:type="paragraph" w:customStyle="1" w:styleId="104">
    <w:name w:val="表格 32"/>
    <w:basedOn w:val="1"/>
    <w:link w:val="103"/>
    <w:qFormat/>
    <w:uiPriority w:val="0"/>
    <w:pPr>
      <w:autoSpaceDE w:val="0"/>
      <w:autoSpaceDN w:val="0"/>
      <w:adjustRightInd w:val="0"/>
      <w:spacing w:line="360" w:lineRule="auto"/>
      <w:jc w:val="center"/>
      <w:textAlignment w:val="baseline"/>
    </w:pPr>
    <w:rPr>
      <w:rFonts w:eastAsia="楷体_GB2312"/>
      <w:kern w:val="0"/>
      <w:sz w:val="24"/>
      <w:szCs w:val="20"/>
    </w:rPr>
  </w:style>
  <w:style w:type="character" w:customStyle="1" w:styleId="105">
    <w:name w:val="表格文字 Char"/>
    <w:qFormat/>
    <w:uiPriority w:val="0"/>
    <w:rPr>
      <w:rFonts w:eastAsia="宋体"/>
      <w:kern w:val="2"/>
      <w:sz w:val="21"/>
      <w:lang w:val="en-US" w:eastAsia="zh-CN" w:bidi="ar-SA"/>
    </w:rPr>
  </w:style>
  <w:style w:type="character" w:customStyle="1" w:styleId="106">
    <w:name w:val="正 Char"/>
    <w:link w:val="107"/>
    <w:qFormat/>
    <w:uiPriority w:val="0"/>
    <w:rPr>
      <w:kern w:val="2"/>
      <w:sz w:val="24"/>
      <w:szCs w:val="24"/>
    </w:rPr>
  </w:style>
  <w:style w:type="paragraph" w:customStyle="1" w:styleId="107">
    <w:name w:val="正"/>
    <w:basedOn w:val="1"/>
    <w:link w:val="106"/>
    <w:qFormat/>
    <w:uiPriority w:val="0"/>
    <w:pPr>
      <w:adjustRightInd w:val="0"/>
      <w:snapToGrid w:val="0"/>
      <w:spacing w:line="360" w:lineRule="auto"/>
      <w:ind w:left="11" w:leftChars="11" w:firstLine="200" w:firstLineChars="200"/>
    </w:pPr>
    <w:rPr>
      <w:sz w:val="24"/>
    </w:rPr>
  </w:style>
  <w:style w:type="character" w:customStyle="1" w:styleId="108">
    <w:name w:val="正文文本 字符1"/>
    <w:semiHidden/>
    <w:qFormat/>
    <w:uiPriority w:val="0"/>
    <w:rPr>
      <w:rFonts w:ascii="Times New Roman" w:hAnsi="Times New Roman" w:eastAsia="宋体"/>
      <w:sz w:val="24"/>
    </w:rPr>
  </w:style>
  <w:style w:type="character" w:customStyle="1" w:styleId="109">
    <w:name w:val="页眉 Char2"/>
    <w:qFormat/>
    <w:uiPriority w:val="0"/>
    <w:rPr>
      <w:kern w:val="2"/>
      <w:sz w:val="18"/>
      <w:szCs w:val="18"/>
    </w:rPr>
  </w:style>
  <w:style w:type="character" w:customStyle="1" w:styleId="110">
    <w:name w:val="副标题 Char1"/>
    <w:qFormat/>
    <w:uiPriority w:val="11"/>
    <w:rPr>
      <w:rFonts w:ascii="Cambria" w:hAnsi="Cambria" w:eastAsia="宋体" w:cs="Times New Roman"/>
      <w:b/>
      <w:bCs/>
      <w:kern w:val="28"/>
      <w:sz w:val="32"/>
      <w:szCs w:val="32"/>
    </w:rPr>
  </w:style>
  <w:style w:type="character" w:customStyle="1" w:styleId="111">
    <w:name w:val="中大正文 Char"/>
    <w:qFormat/>
    <w:uiPriority w:val="0"/>
    <w:rPr>
      <w:rFonts w:hint="eastAsia" w:ascii="宋体" w:hAnsi="宋体" w:eastAsia="宋体" w:cs="宋体"/>
      <w:sz w:val="24"/>
      <w:lang w:val="zh-CN"/>
    </w:rPr>
  </w:style>
  <w:style w:type="character" w:customStyle="1" w:styleId="112">
    <w:name w:val="样式 左侧:  0.99 厘米 Char Char"/>
    <w:link w:val="113"/>
    <w:qFormat/>
    <w:uiPriority w:val="0"/>
    <w:rPr>
      <w:rFonts w:ascii="宋体"/>
      <w:sz w:val="28"/>
    </w:rPr>
  </w:style>
  <w:style w:type="paragraph" w:customStyle="1" w:styleId="113">
    <w:name w:val="样式 左侧:  0.99 厘米"/>
    <w:basedOn w:val="1"/>
    <w:link w:val="112"/>
    <w:qFormat/>
    <w:uiPriority w:val="0"/>
    <w:pPr>
      <w:adjustRightInd w:val="0"/>
      <w:spacing w:line="360" w:lineRule="auto"/>
      <w:jc w:val="left"/>
      <w:textAlignment w:val="baseline"/>
    </w:pPr>
    <w:rPr>
      <w:rFonts w:ascii="宋体"/>
      <w:kern w:val="0"/>
      <w:sz w:val="28"/>
      <w:szCs w:val="20"/>
    </w:rPr>
  </w:style>
  <w:style w:type="character" w:customStyle="1" w:styleId="114">
    <w:name w:val="批注文字 字符1"/>
    <w:semiHidden/>
    <w:qFormat/>
    <w:uiPriority w:val="0"/>
    <w:rPr>
      <w:rFonts w:ascii="Times New Roman" w:hAnsi="Times New Roman" w:eastAsia="宋体"/>
      <w:sz w:val="24"/>
    </w:rPr>
  </w:style>
  <w:style w:type="character" w:customStyle="1" w:styleId="115">
    <w:name w:val="样式 样式 样式 四号 行距: 1.5 倍行距 + 首行缩进:  2 字符 + (西文) 宋体 (中文) 仿宋_GB2312... Char1"/>
    <w:link w:val="116"/>
    <w:qFormat/>
    <w:uiPriority w:val="0"/>
    <w:rPr>
      <w:sz w:val="28"/>
      <w:szCs w:val="28"/>
      <w:lang w:val="zh-CN"/>
    </w:rPr>
  </w:style>
  <w:style w:type="paragraph" w:customStyle="1" w:styleId="116">
    <w:name w:val="样式 样式 样式 四号 行距: 1.5 倍行距 + 首行缩进:  2 字符 + (西文) 宋体 (中文) 仿宋_GB2312..."/>
    <w:basedOn w:val="1"/>
    <w:link w:val="115"/>
    <w:qFormat/>
    <w:uiPriority w:val="0"/>
    <w:pPr>
      <w:widowControl/>
      <w:spacing w:line="500" w:lineRule="atLeast"/>
      <w:ind w:firstLine="560" w:firstLineChars="200"/>
      <w:jc w:val="left"/>
    </w:pPr>
    <w:rPr>
      <w:kern w:val="0"/>
      <w:sz w:val="28"/>
      <w:szCs w:val="28"/>
      <w:lang w:val="zh-CN"/>
    </w:rPr>
  </w:style>
  <w:style w:type="character" w:customStyle="1" w:styleId="117">
    <w:name w:val="页眉 Char"/>
    <w:qFormat/>
    <w:uiPriority w:val="99"/>
  </w:style>
  <w:style w:type="character" w:customStyle="1" w:styleId="118">
    <w:name w:val="样式 正文 +"/>
    <w:qFormat/>
    <w:uiPriority w:val="0"/>
    <w:rPr>
      <w:rFonts w:ascii="Calibri" w:hAnsi="Calibri"/>
      <w:spacing w:val="8"/>
      <w:kern w:val="0"/>
    </w:rPr>
  </w:style>
  <w:style w:type="character" w:customStyle="1" w:styleId="119">
    <w:name w:val="样式19 Char"/>
    <w:link w:val="120"/>
    <w:qFormat/>
    <w:uiPriority w:val="0"/>
    <w:rPr>
      <w:szCs w:val="21"/>
    </w:rPr>
  </w:style>
  <w:style w:type="paragraph" w:customStyle="1" w:styleId="120">
    <w:name w:val="样式19"/>
    <w:basedOn w:val="1"/>
    <w:link w:val="119"/>
    <w:qFormat/>
    <w:uiPriority w:val="0"/>
    <w:pPr>
      <w:spacing w:line="360" w:lineRule="auto"/>
      <w:jc w:val="center"/>
      <w:textAlignment w:val="baseline"/>
    </w:pPr>
    <w:rPr>
      <w:kern w:val="0"/>
      <w:sz w:val="20"/>
      <w:szCs w:val="21"/>
    </w:rPr>
  </w:style>
  <w:style w:type="character" w:customStyle="1" w:styleId="121">
    <w:name w:val="font51"/>
    <w:qFormat/>
    <w:uiPriority w:val="0"/>
    <w:rPr>
      <w:rFonts w:hint="default" w:ascii="Times New Roman" w:hAnsi="Times New Roman" w:cs="Times New Roman"/>
      <w:color w:val="FF0000"/>
      <w:sz w:val="21"/>
      <w:szCs w:val="21"/>
      <w:u w:val="none"/>
    </w:rPr>
  </w:style>
  <w:style w:type="character" w:customStyle="1" w:styleId="122">
    <w:name w:val="纯文本 Char"/>
    <w:qFormat/>
    <w:uiPriority w:val="0"/>
    <w:rPr>
      <w:rFonts w:ascii="Arial Unicode MS" w:hAnsi="Arial Unicode MS" w:eastAsia="Arial Unicode MS" w:cs="Arial Unicode MS"/>
      <w:color w:val="000000"/>
      <w:spacing w:val="0"/>
      <w:w w:val="100"/>
      <w:sz w:val="24"/>
      <w:szCs w:val="24"/>
      <w:u w:val="none" w:color="000000"/>
      <w:vertAlign w:val="baseline"/>
      <w:lang w:val="en-US" w:eastAsia="zh-CN" w:bidi="ar-SA"/>
    </w:rPr>
  </w:style>
  <w:style w:type="character" w:customStyle="1" w:styleId="123">
    <w:name w:val="日期 字符"/>
    <w:semiHidden/>
    <w:qFormat/>
    <w:uiPriority w:val="0"/>
    <w:rPr>
      <w:rFonts w:ascii="Times New Roman" w:hAnsi="Times New Roman" w:eastAsia="宋体"/>
      <w:sz w:val="24"/>
    </w:rPr>
  </w:style>
  <w:style w:type="character" w:customStyle="1" w:styleId="124">
    <w:name w:val="表格文字 Char Char"/>
    <w:link w:val="125"/>
    <w:qFormat/>
    <w:uiPriority w:val="0"/>
    <w:rPr>
      <w:szCs w:val="21"/>
    </w:rPr>
  </w:style>
  <w:style w:type="paragraph" w:customStyle="1" w:styleId="125">
    <w:name w:val="表格文字"/>
    <w:basedOn w:val="1"/>
    <w:link w:val="124"/>
    <w:qFormat/>
    <w:uiPriority w:val="0"/>
    <w:pPr>
      <w:adjustRightInd w:val="0"/>
      <w:jc w:val="center"/>
      <w:textAlignment w:val="baseline"/>
    </w:pPr>
    <w:rPr>
      <w:kern w:val="0"/>
      <w:sz w:val="20"/>
      <w:szCs w:val="21"/>
    </w:rPr>
  </w:style>
  <w:style w:type="character" w:customStyle="1" w:styleId="126">
    <w:name w:val="标题 3 Char5"/>
    <w:qFormat/>
    <w:uiPriority w:val="0"/>
    <w:rPr>
      <w:b/>
      <w:kern w:val="2"/>
      <w:sz w:val="32"/>
      <w:szCs w:val="32"/>
    </w:rPr>
  </w:style>
  <w:style w:type="character" w:customStyle="1" w:styleId="127">
    <w:name w:val="表头 Char Char"/>
    <w:qFormat/>
    <w:uiPriority w:val="0"/>
    <w:rPr>
      <w:rFonts w:eastAsia="黑体"/>
      <w:spacing w:val="10"/>
      <w:sz w:val="28"/>
    </w:rPr>
  </w:style>
  <w:style w:type="character" w:customStyle="1" w:styleId="128">
    <w:name w:val="正文格式 Char Char"/>
    <w:link w:val="129"/>
    <w:qFormat/>
    <w:uiPriority w:val="0"/>
    <w:rPr>
      <w:rFonts w:cs="宋体"/>
      <w:sz w:val="24"/>
      <w:szCs w:val="24"/>
    </w:rPr>
  </w:style>
  <w:style w:type="paragraph" w:customStyle="1" w:styleId="129">
    <w:name w:val="正文格式"/>
    <w:basedOn w:val="1"/>
    <w:link w:val="128"/>
    <w:qFormat/>
    <w:uiPriority w:val="0"/>
    <w:pPr>
      <w:spacing w:line="360" w:lineRule="auto"/>
      <w:ind w:firstLine="544" w:firstLineChars="200"/>
    </w:pPr>
    <w:rPr>
      <w:kern w:val="0"/>
      <w:sz w:val="24"/>
    </w:rPr>
  </w:style>
  <w:style w:type="character" w:customStyle="1" w:styleId="130">
    <w:name w:val="中大表格内容 Char"/>
    <w:link w:val="131"/>
    <w:qFormat/>
    <w:uiPriority w:val="0"/>
    <w:rPr>
      <w:rFonts w:ascii="宋体" w:hAnsi="宋体"/>
      <w:szCs w:val="21"/>
      <w:lang w:val="zh-CN"/>
    </w:rPr>
  </w:style>
  <w:style w:type="paragraph" w:customStyle="1" w:styleId="131">
    <w:name w:val="中大表格内容"/>
    <w:basedOn w:val="1"/>
    <w:link w:val="130"/>
    <w:qFormat/>
    <w:uiPriority w:val="0"/>
    <w:pPr>
      <w:wordWrap w:val="0"/>
      <w:autoSpaceDE w:val="0"/>
      <w:autoSpaceDN w:val="0"/>
      <w:adjustRightInd w:val="0"/>
      <w:jc w:val="center"/>
    </w:pPr>
    <w:rPr>
      <w:rFonts w:ascii="宋体" w:hAnsi="宋体"/>
      <w:kern w:val="0"/>
      <w:sz w:val="20"/>
      <w:szCs w:val="21"/>
      <w:lang w:val="zh-CN"/>
    </w:rPr>
  </w:style>
  <w:style w:type="character" w:customStyle="1" w:styleId="132">
    <w:name w:val="正文缩进 Char"/>
    <w:qFormat/>
    <w:uiPriority w:val="0"/>
    <w:rPr>
      <w:rFonts w:ascii="Times New Roman" w:eastAsia="宋体"/>
      <w:color w:val="000000"/>
      <w:spacing w:val="0"/>
      <w:w w:val="100"/>
      <w:kern w:val="2"/>
      <w:sz w:val="21"/>
      <w:u w:val="none" w:color="000000"/>
      <w:vertAlign w:val="baseline"/>
      <w:lang w:val="en-US" w:eastAsia="zh-CN" w:bidi="ar-SA"/>
    </w:rPr>
  </w:style>
  <w:style w:type="character" w:customStyle="1" w:styleId="133">
    <w:name w:val="标题 Char1"/>
    <w:qFormat/>
    <w:uiPriority w:val="10"/>
    <w:rPr>
      <w:rFonts w:ascii="Cambria" w:hAnsi="Cambria" w:eastAsia="宋体" w:cs="Times New Roman"/>
      <w:b/>
      <w:bCs/>
      <w:sz w:val="32"/>
      <w:szCs w:val="32"/>
    </w:rPr>
  </w:style>
  <w:style w:type="character" w:customStyle="1" w:styleId="134">
    <w:name w:val="表头 Char"/>
    <w:link w:val="135"/>
    <w:qFormat/>
    <w:uiPriority w:val="0"/>
    <w:rPr>
      <w:rFonts w:eastAsia="黑体"/>
      <w:spacing w:val="10"/>
      <w:kern w:val="2"/>
      <w:sz w:val="28"/>
      <w:lang w:val="en-US" w:eastAsia="zh-CN" w:bidi="ar-SA"/>
    </w:rPr>
  </w:style>
  <w:style w:type="paragraph" w:customStyle="1" w:styleId="135">
    <w:name w:val="表头"/>
    <w:basedOn w:val="1"/>
    <w:link w:val="134"/>
    <w:qFormat/>
    <w:uiPriority w:val="0"/>
    <w:pPr>
      <w:spacing w:beforeLines="50" w:afterLines="50" w:line="500" w:lineRule="exact"/>
      <w:jc w:val="center"/>
    </w:pPr>
    <w:rPr>
      <w:rFonts w:eastAsia="黑体"/>
      <w:spacing w:val="10"/>
      <w:sz w:val="28"/>
      <w:szCs w:val="20"/>
    </w:rPr>
  </w:style>
  <w:style w:type="character" w:customStyle="1" w:styleId="136">
    <w:name w:val="yt表头 Char"/>
    <w:link w:val="137"/>
    <w:qFormat/>
    <w:uiPriority w:val="0"/>
    <w:rPr>
      <w:b/>
      <w:kern w:val="2"/>
      <w:sz w:val="21"/>
      <w:szCs w:val="21"/>
    </w:rPr>
  </w:style>
  <w:style w:type="paragraph" w:customStyle="1" w:styleId="137">
    <w:name w:val="yt表头"/>
    <w:basedOn w:val="1"/>
    <w:next w:val="1"/>
    <w:link w:val="136"/>
    <w:qFormat/>
    <w:uiPriority w:val="0"/>
    <w:pPr>
      <w:spacing w:before="50" w:beforeLines="50"/>
      <w:jc w:val="center"/>
    </w:pPr>
    <w:rPr>
      <w:b/>
      <w:szCs w:val="21"/>
    </w:rPr>
  </w:style>
  <w:style w:type="character" w:customStyle="1" w:styleId="138">
    <w:name w:val="hzw表标题 Char"/>
    <w:link w:val="139"/>
    <w:qFormat/>
    <w:uiPriority w:val="0"/>
    <w:rPr>
      <w:b/>
      <w:kern w:val="2"/>
      <w:sz w:val="21"/>
      <w:szCs w:val="22"/>
    </w:rPr>
  </w:style>
  <w:style w:type="paragraph" w:customStyle="1" w:styleId="139">
    <w:name w:val="hzw表标题"/>
    <w:basedOn w:val="1"/>
    <w:link w:val="138"/>
    <w:qFormat/>
    <w:uiPriority w:val="0"/>
    <w:pPr>
      <w:jc w:val="center"/>
      <w:outlineLvl w:val="8"/>
    </w:pPr>
    <w:rPr>
      <w:b/>
      <w:szCs w:val="22"/>
    </w:rPr>
  </w:style>
  <w:style w:type="character" w:customStyle="1" w:styleId="140">
    <w:name w:val="正文文本缩进 Char1"/>
    <w:semiHidden/>
    <w:qFormat/>
    <w:uiPriority w:val="99"/>
    <w:rPr>
      <w:rFonts w:ascii="Times New Roman" w:hAnsi="Times New Roman" w:eastAsia="宋体" w:cs="Times New Roman"/>
      <w:szCs w:val="24"/>
    </w:rPr>
  </w:style>
  <w:style w:type="paragraph" w:customStyle="1" w:styleId="141">
    <w:name w:val="正文样式1"/>
    <w:basedOn w:val="1"/>
    <w:qFormat/>
    <w:uiPriority w:val="0"/>
    <w:pPr>
      <w:adjustRightInd w:val="0"/>
      <w:spacing w:line="480" w:lineRule="atLeast"/>
      <w:ind w:firstLine="567"/>
      <w:jc w:val="left"/>
      <w:textAlignment w:val="baseline"/>
    </w:pPr>
    <w:rPr>
      <w:kern w:val="0"/>
      <w:sz w:val="28"/>
      <w:szCs w:val="20"/>
    </w:rPr>
  </w:style>
  <w:style w:type="paragraph" w:customStyle="1" w:styleId="142">
    <w:name w:val="小表格中内容"/>
    <w:basedOn w:val="1"/>
    <w:qFormat/>
    <w:uiPriority w:val="0"/>
    <w:pPr>
      <w:shd w:val="solid" w:color="FFFFFF" w:fill="auto"/>
      <w:tabs>
        <w:tab w:val="left" w:pos="960"/>
      </w:tabs>
      <w:autoSpaceDN w:val="0"/>
      <w:ind w:firstLine="0" w:firstLineChars="0"/>
      <w:jc w:val="center"/>
    </w:pPr>
    <w:rPr>
      <w:rFonts w:ascii="宋体" w:hAnsi="宋体"/>
      <w:sz w:val="21"/>
      <w:szCs w:val="21"/>
      <w:shd w:val="clear" w:color="auto" w:fill="FFFFFF"/>
    </w:rPr>
  </w:style>
  <w:style w:type="paragraph" w:customStyle="1" w:styleId="143">
    <w:name w:val=" Char Char Char Char Char Char"/>
    <w:basedOn w:val="1"/>
    <w:qFormat/>
    <w:uiPriority w:val="0"/>
    <w:pPr>
      <w:adjustRightInd w:val="0"/>
      <w:spacing w:line="312" w:lineRule="atLeast"/>
      <w:ind w:firstLine="0" w:firstLineChars="0"/>
      <w:textAlignment w:val="baseline"/>
    </w:pPr>
    <w:rPr>
      <w:rFonts w:ascii="Times New Roman" w:hAnsi="Times New Roman"/>
      <w:bCs/>
      <w:kern w:val="0"/>
    </w:rPr>
  </w:style>
  <w:style w:type="paragraph" w:customStyle="1" w:styleId="14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5">
    <w:name w:val="Char Char Char Char2"/>
    <w:basedOn w:val="1"/>
    <w:qFormat/>
    <w:uiPriority w:val="0"/>
    <w:pPr>
      <w:spacing w:line="360" w:lineRule="auto"/>
      <w:ind w:firstLine="200" w:firstLineChars="200"/>
    </w:pPr>
    <w:rPr>
      <w:rFonts w:ascii="宋体" w:hAnsi="宋体" w:cs="宋体"/>
      <w:sz w:val="24"/>
    </w:rPr>
  </w:style>
  <w:style w:type="paragraph" w:customStyle="1" w:styleId="146">
    <w:name w:val="默认段落字体 Para Char"/>
    <w:basedOn w:val="1"/>
    <w:next w:val="1"/>
    <w:qFormat/>
    <w:uiPriority w:val="0"/>
    <w:pPr>
      <w:spacing w:line="360" w:lineRule="auto"/>
      <w:ind w:firstLine="200" w:firstLineChars="200"/>
    </w:pPr>
    <w:rPr>
      <w:rFonts w:ascii="宋体" w:hAnsi="宋体" w:cs="宋体"/>
      <w:sz w:val="24"/>
    </w:rPr>
  </w:style>
  <w:style w:type="paragraph" w:customStyle="1" w:styleId="147">
    <w:name w:val="六表内容"/>
    <w:basedOn w:val="1"/>
    <w:qFormat/>
    <w:uiPriority w:val="0"/>
    <w:pPr>
      <w:spacing w:line="340" w:lineRule="exact"/>
      <w:jc w:val="center"/>
    </w:pPr>
    <w:rPr>
      <w:rFonts w:ascii="Calibri" w:hAnsi="Calibri"/>
      <w:szCs w:val="21"/>
    </w:rPr>
  </w:style>
  <w:style w:type="paragraph" w:customStyle="1" w:styleId="148">
    <w:name w:val="表格文字112"/>
    <w:basedOn w:val="1"/>
    <w:qFormat/>
    <w:uiPriority w:val="0"/>
    <w:pPr>
      <w:widowControl w:val="0"/>
      <w:wordWrap w:val="0"/>
      <w:autoSpaceDE w:val="0"/>
      <w:autoSpaceDN w:val="0"/>
      <w:snapToGrid/>
      <w:spacing w:line="240" w:lineRule="auto"/>
      <w:ind w:firstLine="0" w:firstLineChars="0"/>
      <w:jc w:val="center"/>
    </w:pPr>
    <w:rPr>
      <w:kern w:val="0"/>
      <w:sz w:val="21"/>
      <w:szCs w:val="24"/>
    </w:rPr>
  </w:style>
  <w:style w:type="paragraph" w:customStyle="1" w:styleId="149">
    <w:name w:val="p15"/>
    <w:basedOn w:val="1"/>
    <w:qFormat/>
    <w:uiPriority w:val="0"/>
    <w:pPr>
      <w:widowControl/>
      <w:snapToGrid w:val="0"/>
      <w:spacing w:before="40" w:line="240" w:lineRule="atLeast"/>
      <w:ind w:firstLine="420"/>
      <w:jc w:val="center"/>
    </w:pPr>
    <w:rPr>
      <w:rFonts w:ascii="宋体" w:hAnsi="宋体" w:cs="宋体"/>
      <w:kern w:val="0"/>
      <w:szCs w:val="21"/>
    </w:rPr>
  </w:style>
  <w:style w:type="paragraph" w:customStyle="1" w:styleId="150">
    <w:name w:val="报告"/>
    <w:basedOn w:val="1"/>
    <w:qFormat/>
    <w:uiPriority w:val="0"/>
    <w:pPr>
      <w:spacing w:line="360" w:lineRule="auto"/>
      <w:ind w:firstLine="560" w:firstLineChars="200"/>
    </w:pPr>
    <w:rPr>
      <w:sz w:val="28"/>
    </w:rPr>
  </w:style>
  <w:style w:type="paragraph" w:customStyle="1" w:styleId="151">
    <w:name w:val="Char Char5 Char Char"/>
    <w:basedOn w:val="1"/>
    <w:next w:val="1"/>
    <w:qFormat/>
    <w:uiPriority w:val="0"/>
    <w:pPr>
      <w:spacing w:line="360" w:lineRule="auto"/>
      <w:ind w:firstLine="200" w:firstLineChars="200"/>
    </w:pPr>
    <w:rPr>
      <w:szCs w:val="20"/>
    </w:rPr>
  </w:style>
  <w:style w:type="paragraph" w:customStyle="1" w:styleId="152">
    <w:name w:val="xl26"/>
    <w:qFormat/>
    <w:uiPriority w:val="0"/>
    <w:pPr>
      <w:pBdr>
        <w:top w:val="none" w:color="000000" w:sz="0" w:space="3"/>
        <w:left w:val="single" w:color="000000" w:sz="4" w:space="0"/>
        <w:bottom w:val="single" w:color="000000" w:sz="4" w:space="0"/>
        <w:right w:val="single" w:color="000000" w:sz="4" w:space="0"/>
        <w:between w:val="none" w:color="000000" w:sz="0" w:space="0"/>
      </w:pBdr>
      <w:spacing w:before="100" w:beforeAutospacing="1" w:after="100" w:afterAutospacing="1" w:line="360" w:lineRule="auto"/>
      <w:jc w:val="center"/>
    </w:pPr>
    <w:rPr>
      <w:rFonts w:ascii="宋体" w:hAnsi="宋体" w:eastAsia="宋体" w:cs="Times New Roman"/>
      <w:kern w:val="1"/>
      <w:sz w:val="24"/>
      <w:szCs w:val="21"/>
      <w:lang w:val="en-US" w:eastAsia="zh-CN" w:bidi="ar-SA"/>
    </w:rPr>
  </w:style>
  <w:style w:type="paragraph" w:customStyle="1" w:styleId="153">
    <w:name w:val="样式 小四 行距: 1.5 倍行距2"/>
    <w:qFormat/>
    <w:uiPriority w:val="0"/>
    <w:pPr>
      <w:widowControl w:val="0"/>
      <w:spacing w:line="360" w:lineRule="auto"/>
      <w:ind w:firstLine="480"/>
      <w:jc w:val="both"/>
    </w:pPr>
    <w:rPr>
      <w:rFonts w:ascii="Times New Roman" w:hAnsi="Times New Roman" w:eastAsia="宋体" w:cs="宋体"/>
      <w:kern w:val="1"/>
      <w:sz w:val="24"/>
      <w:lang w:val="en-US" w:eastAsia="zh-CN" w:bidi="ar-SA"/>
    </w:rPr>
  </w:style>
  <w:style w:type="paragraph" w:customStyle="1" w:styleId="154">
    <w:name w:val="503定义正文"/>
    <w:basedOn w:val="1"/>
    <w:qFormat/>
    <w:uiPriority w:val="0"/>
    <w:pPr>
      <w:adjustRightInd w:val="0"/>
      <w:snapToGrid w:val="0"/>
      <w:spacing w:line="360" w:lineRule="auto"/>
      <w:ind w:firstLine="200" w:firstLineChars="200"/>
    </w:pPr>
    <w:rPr>
      <w:sz w:val="24"/>
    </w:rPr>
  </w:style>
  <w:style w:type="paragraph" w:customStyle="1" w:styleId="155">
    <w:name w:val="D表内1磅"/>
    <w:basedOn w:val="1"/>
    <w:qFormat/>
    <w:uiPriority w:val="0"/>
    <w:pPr>
      <w:spacing w:before="20" w:after="20"/>
      <w:jc w:val="center"/>
    </w:pPr>
    <w:rPr>
      <w:szCs w:val="21"/>
    </w:rPr>
  </w:style>
  <w:style w:type="paragraph" w:customStyle="1" w:styleId="156">
    <w:name w:val="Char Char Char Char"/>
    <w:basedOn w:val="1"/>
    <w:next w:val="157"/>
    <w:qFormat/>
    <w:uiPriority w:val="0"/>
    <w:pPr>
      <w:spacing w:line="360" w:lineRule="auto"/>
      <w:ind w:firstLine="200" w:firstLineChars="200"/>
    </w:pPr>
    <w:rPr>
      <w:rFonts w:ascii="宋体" w:hAnsi="宋体" w:cs="宋体"/>
      <w:sz w:val="24"/>
    </w:rPr>
  </w:style>
  <w:style w:type="paragraph" w:customStyle="1" w:styleId="157">
    <w:name w:val="正文 New New New New New New New New New New New New New New New New New New New New New New New New New"/>
    <w:next w:val="158"/>
    <w:qFormat/>
    <w:uiPriority w:val="0"/>
    <w:pPr>
      <w:widowControl w:val="0"/>
      <w:jc w:val="both"/>
    </w:pPr>
    <w:rPr>
      <w:rFonts w:ascii="Times New Roman" w:hAnsi="Times New Roman" w:eastAsia="宋体" w:cs="Times New Roman"/>
      <w:sz w:val="21"/>
      <w:lang w:val="en-US" w:eastAsia="zh-CN" w:bidi="ar-SA"/>
    </w:rPr>
  </w:style>
  <w:style w:type="paragraph" w:customStyle="1" w:styleId="158">
    <w:name w:val="xl48"/>
    <w:basedOn w:val="1"/>
    <w:next w:val="159"/>
    <w:qFormat/>
    <w:uiPriority w:val="0"/>
    <w:pPr>
      <w:widowControl/>
      <w:spacing w:before="280" w:after="280" w:line="360" w:lineRule="auto"/>
    </w:pPr>
    <w:rPr>
      <w:rFonts w:ascii="宋体"/>
    </w:rPr>
  </w:style>
  <w:style w:type="paragraph" w:customStyle="1" w:styleId="159">
    <w:name w:val="我的标题2"/>
    <w:basedOn w:val="1"/>
    <w:next w:val="31"/>
    <w:qFormat/>
    <w:uiPriority w:val="0"/>
    <w:pPr>
      <w:spacing w:line="300" w:lineRule="exact"/>
      <w:ind w:firstLine="23"/>
    </w:pPr>
    <w:rPr>
      <w:sz w:val="18"/>
    </w:rPr>
  </w:style>
  <w:style w:type="paragraph" w:customStyle="1" w:styleId="160">
    <w:name w:val="样式7"/>
    <w:basedOn w:val="1"/>
    <w:qFormat/>
    <w:uiPriority w:val="0"/>
    <w:pPr>
      <w:spacing w:line="500" w:lineRule="atLeast"/>
      <w:ind w:firstLine="560" w:firstLineChars="200"/>
    </w:pPr>
    <w:rPr>
      <w:rFonts w:cs="宋体"/>
      <w:color w:val="000000"/>
      <w:sz w:val="28"/>
      <w:szCs w:val="20"/>
    </w:rPr>
  </w:style>
  <w:style w:type="paragraph" w:customStyle="1" w:styleId="161">
    <w:name w:val="p0"/>
    <w:basedOn w:val="1"/>
    <w:qFormat/>
    <w:uiPriority w:val="0"/>
    <w:pPr>
      <w:widowControl/>
    </w:pPr>
    <w:rPr>
      <w:kern w:val="0"/>
      <w:szCs w:val="21"/>
    </w:rPr>
  </w:style>
  <w:style w:type="paragraph" w:customStyle="1" w:styleId="162">
    <w:name w:val="Char Char Char Char1"/>
    <w:basedOn w:val="1"/>
    <w:qFormat/>
    <w:uiPriority w:val="0"/>
    <w:pPr>
      <w:spacing w:line="360" w:lineRule="auto"/>
      <w:ind w:firstLine="200" w:firstLineChars="200"/>
    </w:pPr>
    <w:rPr>
      <w:rFonts w:ascii="宋体" w:hAnsi="宋体" w:cs="宋体"/>
      <w:sz w:val="24"/>
    </w:rPr>
  </w:style>
  <w:style w:type="paragraph" w:customStyle="1" w:styleId="163">
    <w:name w:val="超伦表头"/>
    <w:basedOn w:val="10"/>
    <w:qFormat/>
    <w:uiPriority w:val="0"/>
    <w:pPr>
      <w:spacing w:line="240" w:lineRule="auto"/>
      <w:ind w:firstLine="0" w:firstLineChars="0"/>
      <w:jc w:val="center"/>
    </w:pPr>
    <w:rPr>
      <w:rFonts w:ascii="Times New Roman" w:hAnsi="Times New Roman" w:eastAsia="宋体"/>
      <w:b/>
      <w:sz w:val="21"/>
      <w:szCs w:val="24"/>
    </w:rPr>
  </w:style>
  <w:style w:type="paragraph" w:customStyle="1" w:styleId="164">
    <w:name w:val="Char Char1"/>
    <w:basedOn w:val="1"/>
    <w:qFormat/>
    <w:uiPriority w:val="0"/>
    <w:pPr>
      <w:snapToGrid w:val="0"/>
      <w:spacing w:line="360" w:lineRule="auto"/>
      <w:ind w:firstLine="529" w:firstLineChars="200"/>
    </w:pPr>
    <w:rPr>
      <w:rFonts w:ascii="宋体" w:hAnsi="宋体"/>
      <w:b/>
    </w:rPr>
  </w:style>
  <w:style w:type="paragraph" w:customStyle="1" w:styleId="165">
    <w:name w:val="reader-word-layer"/>
    <w:basedOn w:val="1"/>
    <w:qFormat/>
    <w:uiPriority w:val="0"/>
    <w:pPr>
      <w:widowControl/>
      <w:spacing w:beforeAutospacing="1" w:afterAutospacing="1"/>
      <w:jc w:val="left"/>
    </w:pPr>
    <w:rPr>
      <w:rFonts w:hint="eastAsia" w:ascii="宋体" w:hAnsi="宋体"/>
      <w:kern w:val="0"/>
      <w:sz w:val="24"/>
    </w:rPr>
  </w:style>
  <w:style w:type="paragraph" w:customStyle="1" w:styleId="166">
    <w:name w:val="1"/>
    <w:basedOn w:val="1"/>
    <w:qFormat/>
    <w:uiPriority w:val="0"/>
    <w:pPr>
      <w:spacing w:line="360" w:lineRule="auto"/>
      <w:ind w:firstLine="200" w:firstLineChars="200"/>
    </w:pPr>
    <w:rPr>
      <w:rFonts w:ascii="宋体" w:hAnsi="宋体" w:cs="宋体"/>
      <w:sz w:val="24"/>
    </w:rPr>
  </w:style>
  <w:style w:type="paragraph" w:customStyle="1" w:styleId="167">
    <w:name w:val="declear1"/>
    <w:basedOn w:val="1"/>
    <w:qFormat/>
    <w:uiPriority w:val="0"/>
    <w:pPr>
      <w:widowControl/>
      <w:spacing w:after="30" w:line="240" w:lineRule="atLeast"/>
      <w:jc w:val="left"/>
    </w:pPr>
    <w:rPr>
      <w:rFonts w:ascii="宋体" w:hAnsi="宋体" w:cs="宋体"/>
      <w:vanish/>
      <w:color w:val="999999"/>
      <w:kern w:val="0"/>
      <w:sz w:val="18"/>
      <w:szCs w:val="18"/>
    </w:rPr>
  </w:style>
  <w:style w:type="paragraph" w:customStyle="1" w:styleId="168">
    <w:name w:val="三级标题"/>
    <w:basedOn w:val="1"/>
    <w:next w:val="44"/>
    <w:qFormat/>
    <w:uiPriority w:val="0"/>
    <w:pPr>
      <w:adjustRightInd w:val="0"/>
      <w:snapToGrid w:val="0"/>
      <w:spacing w:line="360" w:lineRule="exact"/>
      <w:jc w:val="center"/>
    </w:pPr>
    <w:rPr>
      <w:bCs/>
      <w:sz w:val="24"/>
      <w:szCs w:val="20"/>
    </w:rPr>
  </w:style>
  <w:style w:type="paragraph" w:customStyle="1" w:styleId="16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70">
    <w:name w:val="1 Char Char Char Char Char Char Char Char"/>
    <w:basedOn w:val="1"/>
    <w:qFormat/>
    <w:uiPriority w:val="0"/>
    <w:rPr>
      <w:sz w:val="24"/>
    </w:rPr>
  </w:style>
  <w:style w:type="paragraph" w:customStyle="1" w:styleId="171">
    <w:name w:val="图表头"/>
    <w:basedOn w:val="1"/>
    <w:qFormat/>
    <w:uiPriority w:val="0"/>
    <w:pPr>
      <w:adjustRightInd w:val="0"/>
      <w:spacing w:line="288" w:lineRule="auto"/>
      <w:jc w:val="center"/>
      <w:textAlignment w:val="baseline"/>
    </w:pPr>
    <w:rPr>
      <w:rFonts w:hAnsi="宋体"/>
      <w:szCs w:val="20"/>
    </w:rPr>
  </w:style>
  <w:style w:type="paragraph" w:customStyle="1" w:styleId="172">
    <w:name w:val="标准正文"/>
    <w:basedOn w:val="1"/>
    <w:qFormat/>
    <w:uiPriority w:val="0"/>
    <w:pPr>
      <w:spacing w:line="280" w:lineRule="exact"/>
      <w:ind w:firstLine="480" w:firstLineChars="200"/>
    </w:pPr>
    <w:rPr>
      <w:rFonts w:hAnsi="宋体"/>
      <w:bCs/>
    </w:rPr>
  </w:style>
  <w:style w:type="paragraph" w:customStyle="1" w:styleId="173">
    <w:name w:val="样式 标题 4 + (西文) Times New Roman (中文) 宋体 四号 行距: 固定值 24 磅"/>
    <w:basedOn w:val="1"/>
    <w:qFormat/>
    <w:uiPriority w:val="0"/>
    <w:pPr>
      <w:tabs>
        <w:tab w:val="left" w:pos="0"/>
      </w:tabs>
    </w:pPr>
    <w:rPr>
      <w:rFonts w:ascii="宋体"/>
      <w:sz w:val="26"/>
      <w:szCs w:val="20"/>
    </w:rPr>
  </w:style>
  <w:style w:type="paragraph" w:customStyle="1" w:styleId="174">
    <w:name w:val="正文首行缩进1 Char Char Char1 Char Char Char Char Char Char Char Char Char Char"/>
    <w:basedOn w:val="1"/>
    <w:next w:val="1"/>
    <w:qFormat/>
    <w:uiPriority w:val="0"/>
    <w:rPr>
      <w:sz w:val="30"/>
    </w:rPr>
  </w:style>
  <w:style w:type="paragraph" w:customStyle="1" w:styleId="175">
    <w:name w:val="font0"/>
    <w:basedOn w:val="1"/>
    <w:qFormat/>
    <w:uiPriority w:val="0"/>
    <w:pPr>
      <w:widowControl/>
      <w:spacing w:before="100" w:after="100" w:line="140" w:lineRule="atLeast"/>
      <w:jc w:val="left"/>
    </w:pPr>
    <w:rPr>
      <w:rFonts w:hint="eastAsia" w:ascii="宋体" w:hAnsi="宋体"/>
      <w:kern w:val="0"/>
      <w:sz w:val="24"/>
      <w:szCs w:val="20"/>
    </w:rPr>
  </w:style>
  <w:style w:type="paragraph" w:customStyle="1" w:styleId="176">
    <w:name w:val="列出段落2"/>
    <w:basedOn w:val="1"/>
    <w:unhideWhenUsed/>
    <w:qFormat/>
    <w:uiPriority w:val="99"/>
    <w:pPr>
      <w:ind w:firstLine="420" w:firstLineChars="200"/>
    </w:pPr>
  </w:style>
  <w:style w:type="paragraph" w:customStyle="1" w:styleId="177">
    <w:name w:val="样式 标题 2 + Times New Roman 左侧:  0 厘米 首行缩进:  0 厘米 行距: 固定值 24 磅"/>
    <w:basedOn w:val="1"/>
    <w:qFormat/>
    <w:uiPriority w:val="0"/>
    <w:pPr>
      <w:tabs>
        <w:tab w:val="left" w:pos="274"/>
      </w:tabs>
      <w:ind w:left="274" w:hanging="274"/>
    </w:pPr>
    <w:rPr>
      <w:rFonts w:ascii="宋体"/>
      <w:sz w:val="26"/>
      <w:szCs w:val="20"/>
    </w:rPr>
  </w:style>
  <w:style w:type="paragraph" w:customStyle="1" w:styleId="178">
    <w:name w:val="样式 样式 样式 标题 1 + 居中 左侧:  0 厘米 首行缩进:  0 厘米 段前: 0.5 行 段后: 0.5 行 行距:..."/>
    <w:basedOn w:val="1"/>
    <w:qFormat/>
    <w:uiPriority w:val="0"/>
    <w:pPr>
      <w:tabs>
        <w:tab w:val="left" w:pos="0"/>
      </w:tabs>
      <w:ind w:left="680" w:hanging="680"/>
    </w:pPr>
    <w:rPr>
      <w:rFonts w:ascii="宋体"/>
      <w:sz w:val="26"/>
      <w:szCs w:val="20"/>
    </w:rPr>
  </w:style>
  <w:style w:type="paragraph" w:customStyle="1" w:styleId="179">
    <w:name w:val="Table Paragraph"/>
    <w:basedOn w:val="1"/>
    <w:next w:val="156"/>
    <w:qFormat/>
    <w:uiPriority w:val="99"/>
    <w:pPr>
      <w:jc w:val="left"/>
    </w:pPr>
    <w:rPr>
      <w:rFonts w:ascii="Calibri" w:hAnsi="Calibri"/>
      <w:kern w:val="0"/>
      <w:sz w:val="22"/>
      <w:szCs w:val="22"/>
    </w:rPr>
  </w:style>
  <w:style w:type="paragraph" w:customStyle="1" w:styleId="180">
    <w:name w:val="样式17"/>
    <w:basedOn w:val="1"/>
    <w:qFormat/>
    <w:uiPriority w:val="0"/>
    <w:pPr>
      <w:spacing w:beforeLines="50" w:afterLines="50" w:line="360" w:lineRule="auto"/>
      <w:ind w:firstLine="480" w:firstLineChars="200"/>
      <w:jc w:val="left"/>
    </w:pPr>
  </w:style>
  <w:style w:type="paragraph" w:customStyle="1" w:styleId="181">
    <w:name w:val="标题样式2"/>
    <w:basedOn w:val="1"/>
    <w:qFormat/>
    <w:uiPriority w:val="0"/>
    <w:pPr>
      <w:adjustRightInd w:val="0"/>
      <w:spacing w:line="480" w:lineRule="atLeast"/>
      <w:jc w:val="left"/>
      <w:textAlignment w:val="baseline"/>
    </w:pPr>
    <w:rPr>
      <w:kern w:val="0"/>
      <w:sz w:val="28"/>
      <w:szCs w:val="20"/>
    </w:rPr>
  </w:style>
  <w:style w:type="paragraph" w:customStyle="1" w:styleId="182">
    <w:name w:val="表"/>
    <w:basedOn w:val="1"/>
    <w:qFormat/>
    <w:uiPriority w:val="0"/>
    <w:pPr>
      <w:snapToGrid w:val="0"/>
      <w:jc w:val="center"/>
    </w:pPr>
    <w:rPr>
      <w:spacing w:val="2"/>
      <w:sz w:val="24"/>
      <w:szCs w:val="20"/>
    </w:rPr>
  </w:style>
  <w:style w:type="paragraph" w:customStyle="1" w:styleId="183">
    <w:name w:val="彩色列表 - 强调文字颜色 11"/>
    <w:basedOn w:val="1"/>
    <w:qFormat/>
    <w:uiPriority w:val="0"/>
    <w:pPr>
      <w:ind w:firstLine="420" w:firstLineChars="200"/>
    </w:pPr>
  </w:style>
  <w:style w:type="paragraph" w:customStyle="1" w:styleId="184">
    <w:name w:val="图表名00"/>
    <w:basedOn w:val="1"/>
    <w:next w:val="37"/>
    <w:qFormat/>
    <w:uiPriority w:val="0"/>
    <w:pPr>
      <w:jc w:val="center"/>
    </w:pPr>
    <w:rPr>
      <w:rFonts w:ascii="仿宋" w:hAnsi="仿宋" w:eastAsia="仿宋_GB2312"/>
      <w:b/>
      <w:iCs/>
      <w:sz w:val="30"/>
      <w:szCs w:val="30"/>
    </w:rPr>
  </w:style>
  <w:style w:type="paragraph" w:customStyle="1" w:styleId="185">
    <w:name w:val="样式 (符号) 宋体 四号 黑色 行距: 固定值 28磅"/>
    <w:basedOn w:val="1"/>
    <w:qFormat/>
    <w:uiPriority w:val="0"/>
    <w:pPr>
      <w:spacing w:line="360" w:lineRule="auto"/>
      <w:ind w:firstLine="480" w:firstLineChars="200"/>
      <w:jc w:val="left"/>
    </w:pPr>
    <w:rPr>
      <w:rFonts w:hint="eastAsia" w:ascii="宋体" w:hAnsi="宋体"/>
      <w:sz w:val="24"/>
      <w:szCs w:val="20"/>
    </w:rPr>
  </w:style>
  <w:style w:type="paragraph" w:customStyle="1" w:styleId="186">
    <w:name w:val="报告书正文-宇宏"/>
    <w:basedOn w:val="1"/>
    <w:qFormat/>
    <w:uiPriority w:val="0"/>
    <w:pPr>
      <w:spacing w:line="480" w:lineRule="exact"/>
      <w:ind w:firstLine="200" w:firstLineChars="200"/>
    </w:pPr>
    <w:rPr>
      <w:sz w:val="24"/>
    </w:rPr>
  </w:style>
  <w:style w:type="paragraph" w:customStyle="1" w:styleId="187">
    <w:name w:val="bt"/>
    <w:basedOn w:val="1"/>
    <w:qFormat/>
    <w:uiPriority w:val="0"/>
    <w:pPr>
      <w:spacing w:line="288" w:lineRule="auto"/>
      <w:jc w:val="center"/>
    </w:pPr>
    <w:rPr>
      <w:b/>
      <w:bCs/>
      <w:sz w:val="24"/>
      <w:szCs w:val="21"/>
    </w:rPr>
  </w:style>
  <w:style w:type="paragraph" w:customStyle="1" w:styleId="188">
    <w:name w:val="正文罗"/>
    <w:basedOn w:val="1"/>
    <w:qFormat/>
    <w:uiPriority w:val="0"/>
    <w:pPr>
      <w:topLinePunct w:val="0"/>
      <w:adjustRightInd/>
      <w:snapToGrid/>
    </w:pPr>
    <w:rPr>
      <w:rFonts w:cs="宋体"/>
      <w:color w:val="000000"/>
      <w:kern w:val="2"/>
    </w:rPr>
  </w:style>
  <w:style w:type="paragraph" w:customStyle="1" w:styleId="189">
    <w:name w:val="hzw表格内文字"/>
    <w:basedOn w:val="139"/>
    <w:qFormat/>
    <w:uiPriority w:val="0"/>
    <w:pPr>
      <w:snapToGrid w:val="0"/>
      <w:outlineLvl w:val="9"/>
    </w:pPr>
    <w:rPr>
      <w:b w:val="0"/>
      <w:sz w:val="20"/>
      <w:szCs w:val="21"/>
    </w:rPr>
  </w:style>
  <w:style w:type="paragraph" w:customStyle="1" w:styleId="190">
    <w:name w:val="表格内容格式"/>
    <w:basedOn w:val="1"/>
    <w:qFormat/>
    <w:uiPriority w:val="0"/>
    <w:pPr>
      <w:tabs>
        <w:tab w:val="left" w:pos="1755"/>
      </w:tabs>
      <w:spacing w:line="360" w:lineRule="auto"/>
      <w:jc w:val="center"/>
      <w:textAlignment w:val="baseline"/>
    </w:pPr>
    <w:rPr>
      <w:snapToGrid w:val="0"/>
      <w:sz w:val="28"/>
      <w:szCs w:val="20"/>
    </w:rPr>
  </w:style>
  <w:style w:type="paragraph" w:customStyle="1" w:styleId="191">
    <w:name w:val="Char8"/>
    <w:basedOn w:val="1"/>
    <w:qFormat/>
    <w:uiPriority w:val="0"/>
    <w:pPr>
      <w:adjustRightInd w:val="0"/>
      <w:spacing w:line="360" w:lineRule="auto"/>
      <w:ind w:firstLine="560" w:firstLineChars="200"/>
      <w:jc w:val="left"/>
    </w:pPr>
    <w:rPr>
      <w:rFonts w:ascii="宋体"/>
      <w:sz w:val="28"/>
      <w:szCs w:val="20"/>
    </w:rPr>
  </w:style>
  <w:style w:type="paragraph" w:customStyle="1" w:styleId="192">
    <w:name w:val="正文标准样式"/>
    <w:basedOn w:val="1"/>
    <w:qFormat/>
    <w:uiPriority w:val="0"/>
    <w:pPr>
      <w:adjustRightInd w:val="0"/>
      <w:spacing w:line="300" w:lineRule="auto"/>
      <w:ind w:firstLine="482"/>
      <w:textAlignment w:val="baseline"/>
    </w:pPr>
    <w:rPr>
      <w:rFonts w:ascii="Calibri" w:hAnsi="Calibri"/>
      <w:kern w:val="0"/>
      <w:sz w:val="24"/>
      <w:szCs w:val="20"/>
    </w:rPr>
  </w:style>
  <w:style w:type="paragraph" w:customStyle="1" w:styleId="193">
    <w:name w:val="Char"/>
    <w:basedOn w:val="1"/>
    <w:qFormat/>
    <w:uiPriority w:val="0"/>
    <w:pPr>
      <w:spacing w:line="140" w:lineRule="atLeast"/>
    </w:pPr>
    <w:rPr>
      <w:sz w:val="28"/>
      <w:szCs w:val="20"/>
    </w:rPr>
  </w:style>
  <w:style w:type="paragraph" w:customStyle="1" w:styleId="194">
    <w:name w:val="中文报告书样式"/>
    <w:basedOn w:val="1"/>
    <w:qFormat/>
    <w:uiPriority w:val="0"/>
    <w:pPr>
      <w:tabs>
        <w:tab w:val="left" w:pos="360"/>
      </w:tabs>
      <w:adjustRightInd w:val="0"/>
      <w:snapToGrid w:val="0"/>
      <w:jc w:val="center"/>
      <w:textAlignment w:val="baseline"/>
    </w:pPr>
    <w:rPr>
      <w:rFonts w:ascii="Calibri" w:hAnsi="Calibri"/>
    </w:rPr>
  </w:style>
  <w:style w:type="paragraph" w:customStyle="1" w:styleId="195">
    <w:name w:val="表格内居中文字"/>
    <w:basedOn w:val="1"/>
    <w:qFormat/>
    <w:uiPriority w:val="0"/>
    <w:pPr>
      <w:adjustRightInd w:val="0"/>
      <w:snapToGrid w:val="0"/>
      <w:jc w:val="center"/>
    </w:pPr>
    <w:rPr>
      <w:snapToGrid w:val="0"/>
      <w:spacing w:val="-2"/>
      <w:kern w:val="0"/>
      <w:szCs w:val="20"/>
    </w:rPr>
  </w:style>
  <w:style w:type="paragraph" w:customStyle="1" w:styleId="196">
    <w:name w:val="列出段落1"/>
    <w:basedOn w:val="1"/>
    <w:qFormat/>
    <w:uiPriority w:val="99"/>
    <w:pPr>
      <w:ind w:firstLine="420" w:firstLineChars="200"/>
    </w:pPr>
    <w:rPr>
      <w:rFonts w:ascii="Calibri" w:hAnsi="Calibri"/>
      <w:szCs w:val="22"/>
    </w:rPr>
  </w:style>
  <w:style w:type="paragraph" w:customStyle="1" w:styleId="197">
    <w:name w:val="5文章(治)"/>
    <w:basedOn w:val="1"/>
    <w:qFormat/>
    <w:uiPriority w:val="0"/>
    <w:pPr>
      <w:widowControl/>
      <w:snapToGrid w:val="0"/>
      <w:spacing w:line="520" w:lineRule="exact"/>
      <w:ind w:firstLine="480" w:firstLineChars="200"/>
      <w:jc w:val="left"/>
    </w:pPr>
    <w:rPr>
      <w:rFonts w:ascii="宋体" w:hAnsi="宋体"/>
      <w:bCs/>
      <w:kern w:val="0"/>
      <w:sz w:val="24"/>
    </w:rPr>
  </w:style>
  <w:style w:type="paragraph" w:customStyle="1" w:styleId="198">
    <w:name w:val="表格式"/>
    <w:basedOn w:val="29"/>
    <w:qFormat/>
    <w:uiPriority w:val="0"/>
    <w:pPr>
      <w:spacing w:beforeLines="50" w:afterLines="50" w:line="240" w:lineRule="exact"/>
      <w:ind w:left="0" w:firstLine="0" w:firstLineChars="0"/>
      <w:jc w:val="center"/>
    </w:pPr>
    <w:rPr>
      <w:szCs w:val="20"/>
    </w:rPr>
  </w:style>
  <w:style w:type="paragraph" w:customStyle="1" w:styleId="199">
    <w:name w:val="Char1"/>
    <w:basedOn w:val="1"/>
    <w:qFormat/>
    <w:uiPriority w:val="0"/>
  </w:style>
  <w:style w:type="paragraph" w:customStyle="1" w:styleId="200">
    <w:name w:val="报告书表格"/>
    <w:basedOn w:val="1"/>
    <w:qFormat/>
    <w:uiPriority w:val="0"/>
    <w:pPr>
      <w:adjustRightInd w:val="0"/>
      <w:spacing w:before="60" w:after="60" w:line="240" w:lineRule="atLeast"/>
      <w:jc w:val="center"/>
    </w:pPr>
    <w:rPr>
      <w:kern w:val="0"/>
    </w:rPr>
  </w:style>
  <w:style w:type="paragraph" w:customStyle="1" w:styleId="201">
    <w:name w:val="报告书正文"/>
    <w:basedOn w:val="1"/>
    <w:qFormat/>
    <w:uiPriority w:val="0"/>
    <w:pPr>
      <w:spacing w:after="60" w:line="500" w:lineRule="exact"/>
      <w:ind w:firstLine="200" w:firstLineChars="200"/>
    </w:pPr>
    <w:rPr>
      <w:sz w:val="24"/>
      <w:szCs w:val="24"/>
    </w:rPr>
  </w:style>
  <w:style w:type="paragraph" w:customStyle="1" w:styleId="202">
    <w:name w:val="报告表正文格式"/>
    <w:basedOn w:val="1"/>
    <w:qFormat/>
    <w:uiPriority w:val="0"/>
    <w:pPr>
      <w:widowControl/>
      <w:tabs>
        <w:tab w:val="center" w:pos="0"/>
      </w:tabs>
      <w:spacing w:line="520" w:lineRule="exact"/>
      <w:ind w:firstLine="640" w:firstLineChars="200"/>
      <w:jc w:val="left"/>
    </w:pPr>
    <w:rPr>
      <w:rFonts w:ascii="Calibri" w:hAnsi="Calibri"/>
      <w:sz w:val="24"/>
      <w:szCs w:val="20"/>
    </w:rPr>
  </w:style>
  <w:style w:type="paragraph" w:customStyle="1" w:styleId="203">
    <w:name w:val="表格正文"/>
    <w:basedOn w:val="1"/>
    <w:qFormat/>
    <w:uiPriority w:val="0"/>
    <w:pPr>
      <w:jc w:val="center"/>
    </w:pPr>
    <w:rPr>
      <w:rFonts w:hAnsi="宋体" w:cs="宋体"/>
      <w:kern w:val="0"/>
      <w:sz w:val="24"/>
      <w:szCs w:val="20"/>
    </w:rPr>
  </w:style>
  <w:style w:type="paragraph" w:customStyle="1" w:styleId="204">
    <w:name w:val="正文样式"/>
    <w:basedOn w:val="1"/>
    <w:qFormat/>
    <w:uiPriority w:val="0"/>
    <w:pPr>
      <w:adjustRightInd w:val="0"/>
      <w:snapToGrid w:val="0"/>
      <w:spacing w:line="520" w:lineRule="exact"/>
      <w:ind w:firstLine="562"/>
    </w:pPr>
    <w:rPr>
      <w:rFonts w:ascii="Times New Roman" w:hAnsi="Times New Roman" w:eastAsia="宋体" w:cs="宋体"/>
      <w:color w:val="000000"/>
      <w:kern w:val="0"/>
      <w:sz w:val="28"/>
      <w:szCs w:val="28"/>
    </w:rPr>
  </w:style>
  <w:style w:type="paragraph" w:customStyle="1" w:styleId="205">
    <w:name w:val="段落1"/>
    <w:basedOn w:val="1"/>
    <w:qFormat/>
    <w:uiPriority w:val="0"/>
    <w:pPr>
      <w:spacing w:line="480" w:lineRule="exact"/>
      <w:ind w:firstLine="200" w:firstLineChars="200"/>
    </w:pPr>
    <w:rPr>
      <w:rFonts w:eastAsia="楷体_GB2312"/>
      <w:spacing w:val="6"/>
      <w:sz w:val="28"/>
      <w:szCs w:val="20"/>
    </w:rPr>
  </w:style>
  <w:style w:type="paragraph" w:customStyle="1" w:styleId="206">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207">
    <w:name w:val="Char Char Char Char3"/>
    <w:basedOn w:val="1"/>
    <w:qFormat/>
    <w:uiPriority w:val="0"/>
    <w:pPr>
      <w:spacing w:line="360" w:lineRule="auto"/>
      <w:ind w:firstLine="200" w:firstLineChars="200"/>
    </w:pPr>
    <w:rPr>
      <w:rFonts w:ascii="宋体" w:hAnsi="宋体" w:cs="宋体"/>
      <w:sz w:val="24"/>
    </w:rPr>
  </w:style>
  <w:style w:type="paragraph" w:customStyle="1" w:styleId="208">
    <w:name w:val="ZH表头"/>
    <w:basedOn w:val="1"/>
    <w:qFormat/>
    <w:uiPriority w:val="0"/>
    <w:pPr>
      <w:spacing w:beforeLines="50" w:line="360" w:lineRule="auto"/>
      <w:jc w:val="center"/>
    </w:pPr>
    <w:rPr>
      <w:b/>
    </w:rPr>
  </w:style>
  <w:style w:type="paragraph" w:customStyle="1" w:styleId="209">
    <w:name w:val="列表段落1"/>
    <w:basedOn w:val="1"/>
    <w:unhideWhenUsed/>
    <w:qFormat/>
    <w:uiPriority w:val="99"/>
    <w:pPr>
      <w:ind w:firstLine="420" w:firstLineChars="200"/>
    </w:pPr>
  </w:style>
  <w:style w:type="paragraph" w:customStyle="1" w:styleId="210">
    <w:name w:val="无间隔1"/>
    <w:basedOn w:val="1"/>
    <w:qFormat/>
    <w:uiPriority w:val="1"/>
    <w:pPr>
      <w:spacing w:beforeLines="25" w:afterLines="25" w:line="240" w:lineRule="auto"/>
      <w:ind w:firstLine="0" w:firstLineChars="0"/>
      <w:jc w:val="center"/>
    </w:pPr>
    <w:rPr>
      <w:sz w:val="21"/>
      <w:szCs w:val="21"/>
    </w:rPr>
  </w:style>
  <w:style w:type="paragraph" w:customStyle="1" w:styleId="211">
    <w:name w:val="普通(网站)1"/>
    <w:basedOn w:val="1"/>
    <w:qFormat/>
    <w:uiPriority w:val="0"/>
    <w:pPr>
      <w:widowControl/>
      <w:spacing w:beforeAutospacing="1" w:afterAutospacing="1"/>
      <w:jc w:val="left"/>
    </w:pPr>
    <w:rPr>
      <w:rFonts w:hint="eastAsia" w:ascii="宋体" w:hAnsi="宋体"/>
      <w:kern w:val="0"/>
      <w:sz w:val="24"/>
    </w:rPr>
  </w:style>
  <w:style w:type="table" w:customStyle="1" w:styleId="212">
    <w:name w:val="网格型2"/>
    <w:basedOn w:val="4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13">
    <w:name w:val="网格型1"/>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4">
    <w:name w:val="NormalCharacter"/>
    <w:qFormat/>
    <w:uiPriority w:val="0"/>
  </w:style>
  <w:style w:type="paragraph" w:customStyle="1" w:styleId="215">
    <w:name w:val="正文首行缩进11"/>
    <w:basedOn w:val="1"/>
    <w:link w:val="216"/>
    <w:qFormat/>
    <w:uiPriority w:val="0"/>
    <w:pPr>
      <w:ind w:firstLine="454"/>
    </w:pPr>
  </w:style>
  <w:style w:type="character" w:customStyle="1" w:styleId="216">
    <w:name w:val="正文文本首行缩进 字符"/>
    <w:link w:val="215"/>
    <w:qFormat/>
    <w:uiPriority w:val="0"/>
    <w:rPr>
      <w:kern w:val="2"/>
      <w:sz w:val="21"/>
      <w:szCs w:val="24"/>
    </w:rPr>
  </w:style>
  <w:style w:type="character" w:customStyle="1" w:styleId="217">
    <w:name w:val="表号、图号 Char"/>
    <w:link w:val="218"/>
    <w:qFormat/>
    <w:uiPriority w:val="0"/>
    <w:rPr>
      <w:rFonts w:eastAsia="黑体"/>
      <w:kern w:val="2"/>
      <w:sz w:val="24"/>
      <w:szCs w:val="24"/>
    </w:rPr>
  </w:style>
  <w:style w:type="paragraph" w:customStyle="1" w:styleId="218">
    <w:name w:val="表号、图号"/>
    <w:basedOn w:val="1"/>
    <w:link w:val="217"/>
    <w:qFormat/>
    <w:uiPriority w:val="0"/>
    <w:pPr>
      <w:numPr>
        <w:ilvl w:val="4"/>
        <w:numId w:val="2"/>
      </w:numPr>
      <w:ind w:left="0"/>
      <w:jc w:val="center"/>
    </w:pPr>
    <w:rPr>
      <w:rFonts w:eastAsia="黑体"/>
      <w:sz w:val="24"/>
    </w:rPr>
  </w:style>
  <w:style w:type="character" w:customStyle="1" w:styleId="219">
    <w:name w:val="05表格 Char"/>
    <w:link w:val="220"/>
    <w:qFormat/>
    <w:uiPriority w:val="0"/>
    <w:rPr>
      <w:color w:val="000000"/>
      <w:kern w:val="2"/>
      <w:sz w:val="21"/>
      <w:szCs w:val="21"/>
    </w:rPr>
  </w:style>
  <w:style w:type="paragraph" w:customStyle="1" w:styleId="220">
    <w:name w:val="05表格"/>
    <w:basedOn w:val="1"/>
    <w:link w:val="219"/>
    <w:qFormat/>
    <w:uiPriority w:val="0"/>
    <w:pPr>
      <w:widowControl/>
      <w:adjustRightInd w:val="0"/>
      <w:snapToGrid w:val="0"/>
      <w:jc w:val="center"/>
      <w:textAlignment w:val="center"/>
    </w:pPr>
    <w:rPr>
      <w:color w:val="000000"/>
      <w:szCs w:val="21"/>
    </w:rPr>
  </w:style>
  <w:style w:type="paragraph" w:customStyle="1" w:styleId="221">
    <w:name w:val="7表格(治)"/>
    <w:qFormat/>
    <w:uiPriority w:val="0"/>
    <w:pPr>
      <w:jc w:val="center"/>
    </w:pPr>
    <w:rPr>
      <w:rFonts w:ascii="Times New Roman" w:hAnsi="Times New Roman" w:eastAsia="楷体_GB2312" w:cs="Times New Roman"/>
      <w:color w:val="000000"/>
      <w:sz w:val="21"/>
      <w:lang w:val="en-US" w:eastAsia="zh-CN" w:bidi="ar-SA"/>
    </w:rPr>
  </w:style>
  <w:style w:type="paragraph" w:customStyle="1" w:styleId="222">
    <w:name w:val="_Style 221"/>
    <w:unhideWhenUsed/>
    <w:qFormat/>
    <w:uiPriority w:val="99"/>
    <w:rPr>
      <w:rFonts w:ascii="Times New Roman" w:hAnsi="Times New Roman" w:eastAsia="宋体" w:cs="Times New Roman"/>
      <w:kern w:val="2"/>
      <w:sz w:val="21"/>
      <w:szCs w:val="24"/>
      <w:lang w:val="en-US" w:eastAsia="zh-CN" w:bidi="ar-SA"/>
    </w:rPr>
  </w:style>
  <w:style w:type="paragraph" w:customStyle="1" w:styleId="223">
    <w:name w:val="表格内容"/>
    <w:basedOn w:val="1"/>
    <w:qFormat/>
    <w:uiPriority w:val="0"/>
    <w:pPr>
      <w:pBdr>
        <w:top w:val="none" w:color="auto" w:sz="0" w:space="0"/>
        <w:left w:val="none" w:color="auto" w:sz="0" w:space="0"/>
        <w:bottom w:val="none" w:color="auto" w:sz="0" w:space="0"/>
        <w:right w:val="none" w:color="auto" w:sz="0" w:space="0"/>
        <w:between w:val="none" w:color="auto" w:sz="0" w:space="0"/>
      </w:pBdr>
      <w:adjustRightInd w:val="0"/>
      <w:snapToGrid w:val="0"/>
      <w:jc w:val="both"/>
    </w:pPr>
    <w:rPr>
      <w:rFonts w:ascii="Times New Roman" w:hAnsi="Times New Roman" w:eastAsia="宋体" w:cs="Times New Roman"/>
      <w:szCs w:val="21"/>
      <w:lang w:val="en-US" w:eastAsia="zh-CN"/>
    </w:rPr>
  </w:style>
  <w:style w:type="paragraph" w:customStyle="1" w:styleId="224">
    <w:name w:val="_Style 13"/>
    <w:qFormat/>
    <w:uiPriority w:val="0"/>
    <w:pPr>
      <w:spacing w:before="120" w:after="120" w:line="288" w:lineRule="auto"/>
      <w:ind w:left="0"/>
      <w:jc w:val="left"/>
    </w:pPr>
    <w:rPr>
      <w:rFonts w:ascii="Arial" w:hAnsi="Arial" w:eastAsia="等线" w:cs="Arial"/>
      <w:sz w:val="22"/>
      <w:szCs w:val="22"/>
    </w:rPr>
  </w:style>
  <w:style w:type="character" w:customStyle="1" w:styleId="225">
    <w:name w:val="font11"/>
    <w:basedOn w:val="48"/>
    <w:qFormat/>
    <w:uiPriority w:val="0"/>
    <w:rPr>
      <w:rFonts w:hint="default" w:ascii="等线" w:hAnsi="等线" w:eastAsia="等线" w:cs="等线"/>
      <w:color w:val="000000"/>
      <w:sz w:val="21"/>
      <w:szCs w:val="21"/>
      <w:u w:val="none"/>
    </w:rPr>
  </w:style>
  <w:style w:type="character" w:customStyle="1" w:styleId="226">
    <w:name w:val="font31"/>
    <w:basedOn w:val="48"/>
    <w:qFormat/>
    <w:uiPriority w:val="0"/>
    <w:rPr>
      <w:rFonts w:hint="default" w:ascii="Times New Roman" w:hAnsi="Times New Roman" w:cs="Times New Roman"/>
      <w:color w:val="000000"/>
      <w:sz w:val="21"/>
      <w:szCs w:val="21"/>
      <w:u w:val="none"/>
    </w:rPr>
  </w:style>
  <w:style w:type="paragraph" w:customStyle="1" w:styleId="227">
    <w:name w:val="07 环评表格内容"/>
    <w:basedOn w:val="1"/>
    <w:qFormat/>
    <w:uiPriority w:val="0"/>
    <w:pPr>
      <w:widowControl/>
      <w:topLinePunct/>
      <w:spacing w:line="240" w:lineRule="auto"/>
      <w:ind w:firstLine="0" w:firstLineChars="0"/>
      <w:contextualSpacing/>
      <w:jc w:val="center"/>
      <w:textAlignment w:val="center"/>
    </w:pPr>
    <w:rPr>
      <w:rFonts w:ascii="Times New Roman" w:hAnsi="Times New Roman" w:eastAsia="宋体"/>
      <w:color w:val="000000"/>
      <w:sz w:val="21"/>
      <w:szCs w:val="21"/>
    </w:rPr>
  </w:style>
  <w:style w:type="paragraph" w:customStyle="1" w:styleId="228">
    <w:name w:val="0正文"/>
    <w:basedOn w:val="16"/>
    <w:semiHidden/>
    <w:qFormat/>
    <w:uiPriority w:val="0"/>
    <w:pPr>
      <w:spacing w:after="0" w:line="360" w:lineRule="auto"/>
      <w:ind w:left="0" w:leftChars="0" w:firstLine="200" w:firstLineChars="200"/>
    </w:pPr>
    <w:rPr>
      <w:kern w:val="0"/>
      <w:sz w:val="24"/>
      <w:szCs w:val="22"/>
    </w:rPr>
  </w:style>
  <w:style w:type="table" w:customStyle="1" w:styleId="229">
    <w:name w:val="Table Normal"/>
    <w:unhideWhenUsed/>
    <w:qFormat/>
    <w:uiPriority w:val="0"/>
    <w:tblPr>
      <w:tblCellMar>
        <w:top w:w="0" w:type="dxa"/>
        <w:left w:w="0" w:type="dxa"/>
        <w:bottom w:w="0" w:type="dxa"/>
        <w:right w:w="0" w:type="dxa"/>
      </w:tblCellMar>
    </w:tblPr>
  </w:style>
  <w:style w:type="paragraph" w:customStyle="1" w:styleId="230">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7.wmf"/><Relationship Id="rId50" Type="http://schemas.openxmlformats.org/officeDocument/2006/relationships/oleObject" Target="embeddings/oleObject4.bin"/><Relationship Id="rId5" Type="http://schemas.openxmlformats.org/officeDocument/2006/relationships/header" Target="header2.xml"/><Relationship Id="rId49" Type="http://schemas.openxmlformats.org/officeDocument/2006/relationships/image" Target="media/image36.png"/><Relationship Id="rId48" Type="http://schemas.openxmlformats.org/officeDocument/2006/relationships/image" Target="media/image35.jpe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image" Target="media/image15.wmf"/><Relationship Id="rId27" Type="http://schemas.openxmlformats.org/officeDocument/2006/relationships/image" Target="media/image14.wmf"/><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emf"/><Relationship Id="rId21" Type="http://schemas.openxmlformats.org/officeDocument/2006/relationships/oleObject" Target="embeddings/oleObject3.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0cbe306f-7510-4c0c-b045-6f5d027be604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2FB799F6</paraID>
      <start>22</start>
      <end>23</end>
      <status>unmodified</status>
      <modifiedWord/>
      <trackRevisions>false</trackRevisions>
    </reviewItem>
    <reviewItem>
      <errorID>80295f17-fb44-444e-8b79-f805b587d5cc</errorID>
      <errorWord>-</errorWord>
      <group>L1_Format</group>
      <groupName>格式问题</groupName>
      <ability>L2_HalfPunc</ability>
      <abilityName>全半角检查</abilityName>
      <candidateList>
        <item>－</item>
      </candidateList>
      <explain>文本全半角错误。</explain>
      <paraID> E3D7185</paraID>
      <start>0</start>
      <end>1</end>
      <status>unmodified</status>
      <modifiedWord/>
      <trackRevisions>false</trackRevisions>
    </reviewItem>
    <reviewItem>
      <errorID>82f39577-b8ec-4537-ac26-b49928cfb715</errorID>
      <errorWord>同年于2023年</errorWord>
      <group>L1_AI</group>
      <groupName>深度校对</groupName>
      <ability>L2_AI_Grammar</ability>
      <abilityName>语法纠错</abilityName>
      <candidateList>
        <item>同年</item>
      </candidateList>
      <explain/>
      <paraID>1604F6E1</paraID>
      <start>51</start>
      <end>59</end>
      <status>unmodified</status>
      <modifiedWord/>
      <trackRevisions>false</trackRevisions>
    </reviewItem>
    <reviewItem>
      <errorID>55c06549-7d13-48cb-98ae-9c7811fc0482</errorID>
      <errorWord>《</errorWord>
      <group>L1_AI</group>
      <groupName>深度校对</groupName>
      <ability>L2_AI_Punc</ability>
      <abilityName>标点纠错</abilityName>
      <candidateList>
        <item>〈</item>
      </candidateList>
      <explain/>
      <paraID>1604F6E1</paraID>
      <start>72</start>
      <end>73</end>
      <status>unmodified</status>
      <modifiedWord/>
      <trackRevisions>false</trackRevisions>
    </reviewItem>
    <reviewItem>
      <errorID>b162ff8c-c85d-427f-80bc-2ffa024c2482</errorID>
      <errorWord>》</errorWord>
      <group>L1_AI</group>
      <groupName>深度校对</groupName>
      <ability>L2_AI_Punc</ability>
      <abilityName>标点纠错</abilityName>
      <candidateList>
        <item>〉</item>
      </candidateList>
      <explain/>
      <paraID>1604F6E1</paraID>
      <start>95</start>
      <end>96</end>
      <status>unmodified</status>
      <modifiedWord/>
      <trackRevisions>false</trackRevisions>
    </reviewItem>
    <reviewItem>
      <errorID>71c194bc-af8b-4be8-8c16-46de115dc807</errorID>
      <errorWord>详</errorWord>
      <group>L1_Word</group>
      <groupName>字词问题</groupName>
      <ability>L2_Typo</ability>
      <abilityName>字词错误</abilityName>
      <candidateList>
        <item>详见</item>
      </candidateList>
      <explain/>
      <paraID>436CA0F5</paraID>
      <start>126</start>
      <end>127</end>
      <status>unmodified</status>
      <modifiedWord/>
      <trackRevisions>false</trackRevisions>
    </reviewItem>
    <reviewItem>
      <errorID>dfc5d660-4137-4809-905f-c688b1bc5a3d</errorID>
      <errorWord>物资</errorWord>
      <group>L1_Word</group>
      <groupName>字词问题</groupName>
      <ability>L2_Typo</ability>
      <abilityName>字词错误</abilityName>
      <candidateList>
        <item>补给</item>
      </candidateList>
      <explain>“物资～能力”搭配不当，建议修改为“补给～能力”。</explain>
      <paraID>63822F0C</paraID>
      <start>104</start>
      <end>106</end>
      <status>unmodified</status>
      <modifiedWord/>
      <trackRevisions>false</trackRevisions>
    </reviewItem>
    <reviewItem>
      <errorID>558d2530-b63a-42f2-b62d-bd97c477e105</errorID>
      <errorWord>泄露</errorWord>
      <group>L1_Word</group>
      <groupName>字词问题</groupName>
      <ability>L2_Typo</ability>
      <abilityName>字词错误</abilityName>
      <candidateList>
        <item>泄漏</item>
      </candidateList>
      <explain>存在发音相同字词的误用。</explain>
      <paraID>63822F0C</paraID>
      <start>252</start>
      <end>254</end>
      <status>unmodified</status>
      <modifiedWord/>
      <trackRevisions>false</trackRevisions>
    </reviewItem>
    <reviewItem>
      <errorID>d3d4d1c7-d996-4d0d-871c-3c5fc1ff8591</errorID>
      <errorWord>泄露</errorWord>
      <group>L1_Word</group>
      <groupName>字词问题</groupName>
      <ability>L2_Typo</ability>
      <abilityName>字词错误</abilityName>
      <candidateList>
        <item>泄漏</item>
      </candidateList>
      <explain/>
      <paraID>1B0D0A1E</paraID>
      <start>78</start>
      <end>80</end>
      <status>unmodified</status>
      <modifiedWord/>
      <trackRevisions>false</trackRevisions>
    </reviewItem>
    <reviewItem>
      <errorID>ec222408-f8a8-43a4-9e33-de9c0670d746</errorID>
      <errorWord>项目为</errorWord>
      <group>L1_AI</group>
      <groupName>深度校对</groupName>
      <ability>L2_AI_Word</ability>
      <abilityName>字词纠错</abilityName>
      <candidateList>
        <item>项目</item>
      </candidateList>
      <explain/>
      <paraID>4A5FAE8F</paraID>
      <start>4</start>
      <end>7</end>
      <status>unmodified</status>
      <modifiedWord/>
      <trackRevisions>false</trackRevisions>
    </reviewItem>
    <reviewItem>
      <errorID>3cf9ca3f-214a-478b-9034-d0c04155a5da</errorID>
      <errorWord>，水源</errorWord>
      <group>L1_AI</group>
      <groupName>深度校对</groupName>
      <ability>L2_AI_Word</ability>
      <abilityName>字词纠错</abilityName>
      <candidateList>
        <item>、水域</item>
      </candidateList>
      <explain/>
      <paraID>46EC421B</paraID>
      <start>60</start>
      <end>63</end>
      <status>unmodified</status>
      <modifiedWord/>
      <trackRevisions>false</trackRevisions>
    </reviewItem>
    <reviewItem>
      <errorID>88e6026e-88ab-4ee4-a3ba-6b30468b26fa</errorID>
      <errorWord>总体规划</errorWord>
      <group>L1_AI</group>
      <groupName>深度校对</groupName>
      <ability>L2_AI_Word</ability>
      <abilityName>字词纠错</abilityName>
      <candidateList>
        <item>港总体规划</item>
      </candidateList>
      <explain/>
      <paraID>46EC421B</paraID>
      <start>105</start>
      <end>110</end>
      <status>modified</status>
      <modifiedWord>港总体规划</modifiedWord>
      <trackRevisions>false</trackRevisions>
    </reviewItem>
    <reviewItem>
      <errorID>7218688e-8066-4064-b465-8eb9213a214e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5A8B1691</paraID>
      <start>0</start>
      <end>2</end>
      <status>unmodified</status>
      <modifiedWord/>
      <trackRevisions>false</trackRevisions>
    </reviewItem>
    <reviewItem>
      <errorID>5564f692-57b2-471d-8370-c595cbf8dedd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66EBA56F</paraID>
      <start>0</start>
      <end>2</end>
      <status>unmodified</status>
      <modifiedWord/>
      <trackRevisions>false</trackRevisions>
    </reviewItem>
    <reviewItem>
      <errorID>c0ccb18c-abb9-4922-aa78-72505c848ec0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7846FA97</paraID>
      <start>0</start>
      <end>2</end>
      <status>unmodified</status>
      <modifiedWord/>
      <trackRevisions>false</trackRevisions>
    </reviewItem>
    <reviewItem>
      <errorID>0db0133f-156d-4b5f-b881-e005899966fa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BE7EB69</paraID>
      <start>0</start>
      <end>2</end>
      <status>unmodified</status>
      <modifiedWord/>
      <trackRevisions>false</trackRevisions>
    </reviewItem>
    <reviewItem>
      <errorID>bce4b3b4-4786-4635-b2f2-3f5ed7f209da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3B0AFD67</paraID>
      <start>0</start>
      <end>2</end>
      <status>unmodified</status>
      <modifiedWord/>
      <trackRevisions>false</trackRevisions>
    </reviewItem>
    <reviewItem>
      <errorID>a0eb1317-d23a-41a0-8340-22ca63609baa</errorID>
      <errorWord>防治陆源污染物污染损害海洋环境管理条例</errorWord>
      <group>L1_Knowledge</group>
      <groupName>知识性问题</groupName>
      <ability>L2_Knowledge</ability>
      <abilityName>其他知识</abilityName>
      <candidateList>
        <item>中华人民共和国防治陆源污染物污染损害海洋环境管理条例</item>
      </candidateList>
      <explain>当前法律法规名称使用简称，请注意是否应当使用全称。</explain>
      <paraID>3B0AFD67</paraID>
      <start>101</start>
      <end>127</end>
      <status>modified</status>
      <modifiedWord>中华人民共和国防治陆源污染物污染损害海洋环境管理条例</modifiedWord>
      <trackRevisions>false</trackRevisions>
    </reviewItem>
    <reviewItem>
      <errorID>e2c0c812-9d73-4b93-a1ae-c50aa51bd2a3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72F04281</paraID>
      <start>0</start>
      <end>2</end>
      <status>unmodified</status>
      <modifiedWord/>
      <trackRevisions>false</trackRevisions>
    </reviewItem>
    <reviewItem>
      <errorID>6cc47e32-c36d-42f1-ba1a-597833769131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E8D8DBA</paraID>
      <start>0</start>
      <end>2</end>
      <status>unmodified</status>
      <modifiedWord/>
      <trackRevisions>false</trackRevisions>
    </reviewItem>
    <reviewItem>
      <errorID>39712c08-dcdb-4da6-9643-d4b26e583ff0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1843C02F</paraID>
      <start>0</start>
      <end>2</end>
      <status>unmodified</status>
      <modifiedWord/>
      <trackRevisions>false</trackRevisions>
    </reviewItem>
    <reviewItem>
      <errorID>8333510a-1efd-425c-ac1d-c8563fe51c08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7A63C54E</paraID>
      <start>0</start>
      <end>2</end>
      <status>unmodified</status>
      <modifiedWord/>
      <trackRevisions>false</trackRevisions>
    </reviewItem>
    <reviewItem>
      <errorID>55971ac1-d89c-4315-a8c3-38d89162d4c5</errorID>
      <errorWord>沙</errorWord>
      <group>L1_Word</group>
      <groupName>字词问题</groupName>
      <ability>L2_Typo</ability>
      <abilityName>字词错误</abilityName>
      <candidateList>
        <item>砂</item>
      </candidateList>
      <explain>存在发音相同字词的误用。</explain>
      <paraID>7A63C54E</paraID>
      <start>180</start>
      <end>181</end>
      <status>unmodified</status>
      <modifiedWord/>
      <trackRevisions>false</trackRevisions>
    </reviewItem>
    <reviewItem>
      <errorID>84a53315-f24a-4dfc-ae00-bf86c2605c8a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5027F0B6</paraID>
      <start>0</start>
      <end>2</end>
      <status>unmodified</status>
      <modifiedWord/>
      <trackRevisions>false</trackRevisions>
    </reviewItem>
    <reviewItem>
      <errorID>bdaf83ce-1443-4fcd-a86b-ed922e5346bf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75391F39</paraID>
      <start>0</start>
      <end>2</end>
      <status>unmodified</status>
      <modifiedWord/>
      <trackRevisions>false</trackRevisions>
    </reviewItem>
    <reviewItem>
      <errorID>fe1306e0-d557-48b0-a951-1c4f4e9f807e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783E67A3</paraID>
      <start>0</start>
      <end>2</end>
      <status>unmodified</status>
      <modifiedWord/>
      <trackRevisions>false</trackRevisions>
    </reviewItem>
    <reviewItem>
      <errorID>a4b36484-fda0-4908-9c84-ef4c0c0a1d54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54C3AA3</paraID>
      <start>0</start>
      <end>2</end>
      <status>unmodified</status>
      <modifiedWord/>
      <trackRevisions>false</trackRevisions>
    </reviewItem>
    <reviewItem>
      <errorID>50a48ff0-6c68-44e2-a1e2-0b128e63c3b3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2C3CAF02</paraID>
      <start>0</start>
      <end>2</end>
      <status>unmodified</status>
      <modifiedWord/>
      <trackRevisions>false</trackRevisions>
    </reviewItem>
    <reviewItem>
      <errorID>7120db6d-3c6b-409c-a079-5d8f32e9e982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6E3E35CC</paraID>
      <start>0</start>
      <end>2</end>
      <status>unmodified</status>
      <modifiedWord/>
      <trackRevisions>false</trackRevisions>
    </reviewItem>
    <reviewItem>
      <errorID>3d3533a3-042c-4ec8-89b2-8b8ba8b490f7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65B8053A</paraID>
      <start>0</start>
      <end>2</end>
      <status>unmodified</status>
      <modifiedWord/>
      <trackRevisions>false</trackRevisions>
    </reviewItem>
    <reviewItem>
      <errorID>f1d15a2e-4dc4-429b-b6ee-ea4e00bb33f7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4E9728C1</paraID>
      <start>0</start>
      <end>2</end>
      <status>unmodified</status>
      <modifiedWord/>
      <trackRevisions>false</trackRevisions>
    </reviewItem>
    <reviewItem>
      <errorID>05c36723-c57f-4f01-b4df-5b4aa472a40e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78BFA627</paraID>
      <start>0</start>
      <end>2</end>
      <status>unmodified</status>
      <modifiedWord/>
      <trackRevisions>false</trackRevisions>
    </reviewItem>
    <reviewItem>
      <errorID>bcfbf46b-97ba-457d-9f62-7556e696260a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1A515258</paraID>
      <start>0</start>
      <end>2</end>
      <status>unmodified</status>
      <modifiedWord/>
      <trackRevisions>false</trackRevisions>
    </reviewItem>
    <reviewItem>
      <errorID>38e7db0c-1a26-4a40-9084-82ca095a605d</errorID>
      <errorWord>&lt;</errorWord>
      <group>L1_Format</group>
      <groupName>格式问题</groupName>
      <ability>L2_HalfPunc</ability>
      <abilityName>全半角检查</abilityName>
      <candidateList>
        <item>〈</item>
      </candidateList>
      <explain>文本全半角错误。</explain>
      <paraID>66984735</paraID>
      <start>15</start>
      <end>16</end>
      <status>unmodified</status>
      <modifiedWord/>
      <trackRevisions>false</trackRevisions>
    </reviewItem>
    <reviewItem>
      <errorID>fb4037dd-e139-465c-b6d2-82d7d30d62a6</errorID>
      <errorWord>&gt;》</errorWord>
      <group>L1_Punc</group>
      <groupName>标点问题</groupName>
      <ability>L2_Punc</ability>
      <abilityName>标点符号检查</abilityName>
      <candidateList>
        <item>》</item>
      </candidateList>
      <explain/>
      <paraID>66984735</paraID>
      <start>43</start>
      <end>45</end>
      <status>unmodified</status>
      <modifiedWord/>
      <trackRevisions>false</trackRevisions>
    </reviewItem>
    <reviewItem>
      <errorID>169aeea6-b68e-4a98-9460-0494e944874b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37A0176C</paraID>
      <start>0</start>
      <end>2</end>
      <status>unmodified</status>
      <modifiedWord/>
      <trackRevisions>false</trackRevisions>
    </reviewItem>
    <reviewItem>
      <errorID>6d60db76-463a-45a5-96ce-9553baeb0320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30959970</paraID>
      <start>0</start>
      <end>2</end>
      <status>unmodified</status>
      <modifiedWord/>
      <trackRevisions>false</trackRevisions>
    </reviewItem>
    <reviewItem>
      <errorID>01392d2b-aa57-474e-b1fc-7bee7cf6519a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34ACBA43</paraID>
      <start>0</start>
      <end>2</end>
      <status>unmodified</status>
      <modifiedWord/>
      <trackRevisions>false</trackRevisions>
    </reviewItem>
    <reviewItem>
      <errorID>c03f7b57-a324-4ecd-a54c-93db686acf8e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5A95F1C5</paraID>
      <start>0</start>
      <end>2</end>
      <status>unmodified</status>
      <modifiedWord/>
      <trackRevisions>false</trackRevisions>
    </reviewItem>
    <reviewItem>
      <errorID>bb90474c-6d77-490a-aaa6-f2b627bb22ec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2295F5CD</paraID>
      <start>0</start>
      <end>2</end>
      <status>unmodified</status>
      <modifiedWord/>
      <trackRevisions>false</trackRevisions>
    </reviewItem>
    <reviewItem>
      <errorID>360ad1bd-0d34-46c8-8e12-089f97ecc2da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2CDDEC47</paraID>
      <start>0</start>
      <end>2</end>
      <status>unmodified</status>
      <modifiedWord/>
      <trackRevisions>false</trackRevisions>
    </reviewItem>
    <reviewItem>
      <errorID>ad5fc3bc-a2e7-4159-8cf3-fdbc4ecbeda8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32406F21</paraID>
      <start>0</start>
      <end>2</end>
      <status>unmodified</status>
      <modifiedWord/>
      <trackRevisions>false</trackRevisions>
    </reviewItem>
    <reviewItem>
      <errorID>5828efd5-f1e8-4ecd-b34b-b566b2fa0489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1F4DA97E</paraID>
      <start>0</start>
      <end>2</end>
      <status>unmodified</status>
      <modifiedWord/>
      <trackRevisions>false</trackRevisions>
    </reviewItem>
    <reviewItem>
      <errorID>b04d9f72-9a2b-4920-b206-6191025af441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44662818</paraID>
      <start>0</start>
      <end>2</end>
      <status>unmodified</status>
      <modifiedWord/>
      <trackRevisions>false</trackRevisions>
    </reviewItem>
    <reviewItem>
      <errorID>08c23cca-9e6b-43b6-9f97-bea760a73438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5031AC15</paraID>
      <start>0</start>
      <end>3</end>
      <status>unmodified</status>
      <modifiedWord/>
      <trackRevisions>false</trackRevisions>
    </reviewItem>
    <reviewItem>
      <errorID>24d9e3dd-85e8-4f1b-b3dd-7ec7f5e3997c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5930F71B</paraID>
      <start>0</start>
      <end>3</end>
      <status>unmodified</status>
      <modifiedWord/>
      <trackRevisions>false</trackRevisions>
    </reviewItem>
    <reviewItem>
      <errorID>9fa2bbd0-7eb5-4f96-b067-76138ae8e141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1F8525B7</paraID>
      <start>0</start>
      <end>3</end>
      <status>unmodified</status>
      <modifiedWord/>
      <trackRevisions>false</trackRevisions>
    </reviewItem>
    <reviewItem>
      <errorID>d4e76c4c-34ed-4f09-b3e8-f28f8908cc0a</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12704724</paraID>
      <start>0</start>
      <end>3</end>
      <status>unmodified</status>
      <modifiedWord/>
      <trackRevisions>false</trackRevisions>
    </reviewItem>
    <reviewItem>
      <errorID>79adff5e-17fa-4b9d-94df-e90ae5be9a7d</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710BB49C</paraID>
      <start>0</start>
      <end>3</end>
      <status>unmodified</status>
      <modifiedWord/>
      <trackRevisions>false</trackRevisions>
    </reviewItem>
    <reviewItem>
      <errorID>2eec99ca-023c-48ec-8a93-e87c560c0dfc</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7E28AA55</paraID>
      <start>0</start>
      <end>3</end>
      <status>unmodified</status>
      <modifiedWord/>
      <trackRevisions>false</trackRevisions>
    </reviewItem>
    <reviewItem>
      <errorID>ab969d92-c6a1-4d75-936d-b718cf65170f</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2621A9DD</paraID>
      <start>0</start>
      <end>3</end>
      <status>unmodified</status>
      <modifiedWord/>
      <trackRevisions>false</trackRevisions>
    </reviewItem>
    <reviewItem>
      <errorID>cdc5cf88-4b5e-4777-9ef5-111f599df9ab</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2FB74CFD</paraID>
      <start>0</start>
      <end>3</end>
      <status>unmodified</status>
      <modifiedWord/>
      <trackRevisions>false</trackRevisions>
    </reviewItem>
    <reviewItem>
      <errorID>0c10f973-6554-465f-b455-08d81ab5ca9b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579EE22D</paraID>
      <start>0</start>
      <end>2</end>
      <status>unmodified</status>
      <modifiedWord/>
      <trackRevisions>false</trackRevisions>
    </reviewItem>
    <reviewItem>
      <errorID>5049ae2c-5976-4ee7-ba53-88e5a6876393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21733D11</paraID>
      <start>0</start>
      <end>2</end>
      <status>unmodified</status>
      <modifiedWord/>
      <trackRevisions>false</trackRevisions>
    </reviewItem>
    <reviewItem>
      <errorID>3dcea6f6-2455-4bdb-a337-0446466a88eb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5EB5E574</paraID>
      <start>0</start>
      <end>2</end>
      <status>unmodified</status>
      <modifiedWord/>
      <trackRevisions>false</trackRevisions>
    </reviewItem>
    <reviewItem>
      <errorID>5f17c8c6-5f48-4e37-87ef-b20b6b81b1b1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55A4E700</paraID>
      <start>0</start>
      <end>2</end>
      <status>unmodified</status>
      <modifiedWord/>
      <trackRevisions>false</trackRevisions>
    </reviewItem>
    <reviewItem>
      <errorID>372d8957-6a0d-442a-9b2c-7b4ec4acc769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A61A86C</paraID>
      <start>0</start>
      <end>2</end>
      <status>unmodified</status>
      <modifiedWord/>
      <trackRevisions>false</trackRevisions>
    </reviewItem>
    <reviewItem>
      <errorID>bf9f637a-7210-49ab-8ecb-6115c5758261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513A8202</paraID>
      <start>0</start>
      <end>2</end>
      <status>unmodified</status>
      <modifiedWord/>
      <trackRevisions>false</trackRevisions>
    </reviewItem>
    <reviewItem>
      <errorID>0b98441b-83b7-4125-8218-f40f8302c60c</errorID>
      <errorWord>，</errorWord>
      <group>L1_Word</group>
      <groupName>字词问题</groupName>
      <ability>L2_Typo</ability>
      <abilityName>字词错误</abilityName>
      <candidateList>
        <item>，在</item>
      </candidateList>
      <explain/>
      <paraID>513A8202</paraID>
      <start>21</start>
      <end>22</end>
      <status>unmodified</status>
      <modifiedWord/>
      <trackRevisions>false</trackRevisions>
    </reviewItem>
    <reviewItem>
      <errorID>00296d44-b5c6-4547-b03b-a22d181c846e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3E395E3A</paraID>
      <start>0</start>
      <end>2</end>
      <status>unmodified</status>
      <modifiedWord/>
      <trackRevisions>false</trackRevisions>
    </reviewItem>
    <reviewItem>
      <errorID>852fece0-7fbe-4c7f-b003-c08d7e2a22d3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338D0AF4</paraID>
      <start>0</start>
      <end>2</end>
      <status>unmodified</status>
      <modifiedWord/>
      <trackRevisions>false</trackRevisions>
    </reviewItem>
    <reviewItem>
      <errorID>2c7307b7-7e95-4b59-a7e6-54571d04cf92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B957A6A</paraID>
      <start>0</start>
      <end>2</end>
      <status>unmodified</status>
      <modifiedWord/>
      <trackRevisions>false</trackRevisions>
    </reviewItem>
    <reviewItem>
      <errorID>1f6da1a8-a50b-4567-8422-1f9807fe50d8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63EC9604</paraID>
      <start>0</start>
      <end>3</end>
      <status>unmodified</status>
      <modifiedWord/>
      <trackRevisions>false</trackRevisions>
    </reviewItem>
    <reviewItem>
      <errorID>841b22f5-875b-4a8b-95ad-cf9e277d023e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22B60325</paraID>
      <start>0</start>
      <end>3</end>
      <status>unmodified</status>
      <modifiedWord/>
      <trackRevisions>false</trackRevisions>
    </reviewItem>
    <reviewItem>
      <errorID>5650ead3-2ce4-4f7e-b2d5-3faa9a8c7e70</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70924C35</paraID>
      <start>0</start>
      <end>3</end>
      <status>unmodified</status>
      <modifiedWord/>
      <trackRevisions>false</trackRevisions>
    </reviewItem>
    <reviewItem>
      <errorID>a21649a3-44d3-4acb-94d3-5f74dc2ff075</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35B2CAFD</paraID>
      <start>0</start>
      <end>3</end>
      <status>unmodified</status>
      <modifiedWord/>
      <trackRevisions>false</trackRevisions>
    </reviewItem>
    <reviewItem>
      <errorID>08455c3a-c084-4ad4-b839-fffae84a2d6c</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5B3884E7</paraID>
      <start>0</start>
      <end>3</end>
      <status>unmodified</status>
      <modifiedWord/>
      <trackRevisions>false</trackRevisions>
    </reviewItem>
    <reviewItem>
      <errorID>bdfa6e48-73be-4ee0-ab22-17deb19749c4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253AE01F</paraID>
      <start>0</start>
      <end>3</end>
      <status>unmodified</status>
      <modifiedWord/>
      <trackRevisions>false</trackRevisions>
    </reviewItem>
    <reviewItem>
      <errorID>753c7e5c-91ef-4c1e-8ab3-603070835c19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B3EB4B9</paraID>
      <start>0</start>
      <end>2</end>
      <status>unmodified</status>
      <modifiedWord/>
      <trackRevisions>false</trackRevisions>
    </reviewItem>
    <reviewItem>
      <errorID>ecc9039b-ff68-4e08-8286-bba5d0735f17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30E2E99F</paraID>
      <start>0</start>
      <end>2</end>
      <status>unmodified</status>
      <modifiedWord/>
      <trackRevisions>false</trackRevisions>
    </reviewItem>
    <reviewItem>
      <errorID>b7123964-1e9d-4c5f-9cdf-688a5614a9f8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736A9187</paraID>
      <start>0</start>
      <end>2</end>
      <status>unmodified</status>
      <modifiedWord/>
      <trackRevisions>false</trackRevisions>
    </reviewItem>
    <reviewItem>
      <errorID>5a1022f2-d304-49c0-81c4-becdb891099d</errorID>
      <errorWord>用地土壤</errorWord>
      <group>L1_Knowledge</group>
      <groupName>知识性问题</groupName>
      <ability>L2_Term</ability>
      <abilityName>专业术语</abilityName>
      <candidateList>
        <item>迹地土壤</item>
      </candidateList>
      <explain/>
      <paraID>736A9187</paraID>
      <start>113</start>
      <end>117</end>
      <status>unmodified</status>
      <modifiedWord/>
      <trackRevisions>false</trackRevisions>
    </reviewItem>
    <reviewItem>
      <errorID>5c3646f1-3843-4fe4-b7c2-1fc0145a85c8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11D25EE6</paraID>
      <start>0</start>
      <end>2</end>
      <status>unmodified</status>
      <modifiedWord/>
      <trackRevisions>false</trackRevisions>
    </reviewItem>
    <reviewItem>
      <errorID>c90fc84a-b4a3-40e6-808b-5075ee8d1440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141121DE</paraID>
      <start>0</start>
      <end>2</end>
      <status>unmodified</status>
      <modifiedWord/>
      <trackRevisions>false</trackRevisions>
    </reviewItem>
    <reviewItem>
      <errorID>e04101e2-c831-4c58-8e95-05f199ab60e0</errorID>
      <errorWord>矿石</errorWord>
      <group>L1_Word</group>
      <groupName>字词问题</groupName>
      <ability>L2_Typo</ability>
      <abilityName>字词错误</abilityName>
      <candidateList>
        <item>矿山</item>
      </candidateList>
      <explain/>
      <paraID>141121DE</paraID>
      <start>17</start>
      <end>19</end>
      <status>unmodified</status>
      <modifiedWord/>
      <trackRevisions>false</trackRevisions>
    </reviewItem>
    <reviewItem>
      <errorID>99419a95-cbcd-464e-b9ec-2755de349b66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609254DE</paraID>
      <start>0</start>
      <end>2</end>
      <status>unmodified</status>
      <modifiedWord/>
      <trackRevisions>false</trackRevisions>
    </reviewItem>
    <reviewItem>
      <errorID>4e961a05-f806-4a2b-9ffe-44c97eb8d22c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5321557F</paraID>
      <start>0</start>
      <end>2</end>
      <status>unmodified</status>
      <modifiedWord/>
      <trackRevisions>false</trackRevisions>
    </reviewItem>
    <reviewItem>
      <errorID>03d9e181-bd29-458e-a1d8-dd87edad6cbb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6A7B4FFD</paraID>
      <start>0</start>
      <end>2</end>
      <status>unmodified</status>
      <modifiedWord/>
      <trackRevisions>false</trackRevisions>
    </reviewItem>
    <reviewItem>
      <errorID>70621096-d2a9-4dcb-8da6-8fe66cb386ca</errorID>
      <errorWord>区域的联防联控</errorWord>
      <group>L1_Political</group>
      <groupName>政治性问题</groupName>
      <ability>L2_Keyword</ability>
      <abilityName>固定表述</abilityName>
      <candidateList>
        <item>区域联防联控</item>
      </candidateList>
      <explain>词汇“区域联防联控”在特定场景下为固定表述形式，请确认此处的“区域的联防联控”是否存在不当。</explain>
      <paraID>6A7B4FFD</paraID>
      <start>40</start>
      <end>47</end>
      <status>unmodified</status>
      <modifiedWord/>
      <trackRevisions>false</trackRevisions>
    </reviewItem>
    <reviewItem>
      <errorID>cc63eff2-05fe-4e60-a060-2634ca502d9e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6B91464F</paraID>
      <start>0</start>
      <end>2</end>
      <status>unmodified</status>
      <modifiedWord/>
      <trackRevisions>false</trackRevisions>
    </reviewItem>
    <reviewItem>
      <errorID>a0c41901-d2c9-4b20-9f70-b577c9780c9f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52DA4F25</paraID>
      <start>0</start>
      <end>2</end>
      <status>unmodified</status>
      <modifiedWord/>
      <trackRevisions>false</trackRevisions>
    </reviewItem>
    <reviewItem>
      <errorID>3beea5e8-3302-4204-acb8-c5bf99cad383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2C7D38BF</paraID>
      <start>0</start>
      <end>2</end>
      <status>unmodified</status>
      <modifiedWord/>
      <trackRevisions>false</trackRevisions>
    </reviewItem>
    <reviewItem>
      <errorID>76114ea0-bf28-49a6-b52f-5a5a52c09ea6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50226B7B</paraID>
      <start>0</start>
      <end>2</end>
      <status>unmodified</status>
      <modifiedWord/>
      <trackRevisions>false</trackRevisions>
    </reviewItem>
    <reviewItem>
      <errorID>bc47f8aa-d0b3-48d7-97fe-3079d1ce0755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6FC91861</paraID>
      <start>0</start>
      <end>2</end>
      <status>unmodified</status>
      <modifiedWord/>
      <trackRevisions>false</trackRevisions>
    </reviewItem>
    <reviewItem>
      <errorID>ecb5e236-d471-485d-af02-d4f9c323005a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70227AAB</paraID>
      <start>0</start>
      <end>2</end>
      <status>unmodified</status>
      <modifiedWord/>
      <trackRevisions>false</trackRevisions>
    </reviewItem>
    <reviewItem>
      <errorID>ef3669a6-b9e9-4290-833d-b48e8204c31e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2EE84D7E</paraID>
      <start>0</start>
      <end>2</end>
      <status>unmodified</status>
      <modifiedWord/>
      <trackRevisions>false</trackRevisions>
    </reviewItem>
    <reviewItem>
      <errorID>56ee68dd-8cea-47d9-8e44-1690c63bfdc5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6CA7C8A9</paraID>
      <start>0</start>
      <end>2</end>
      <status>unmodified</status>
      <modifiedWord/>
      <trackRevisions>false</trackRevisions>
    </reviewItem>
    <reviewItem>
      <errorID>74c4dd54-7205-43f5-b740-bb421fab4648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427F33F2</paraID>
      <start>0</start>
      <end>2</end>
      <status>unmodified</status>
      <modifiedWord/>
      <trackRevisions>false</trackRevisions>
    </reviewItem>
    <reviewItem>
      <errorID>83878290-d903-42b6-9ecc-54a8496e037f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4E475646</paraID>
      <start>0</start>
      <end>2</end>
      <status>unmodified</status>
      <modifiedWord/>
      <trackRevisions>false</trackRevisions>
    </reviewItem>
    <reviewItem>
      <errorID>be899544-8d02-4ace-988d-cb142481eac8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57F41EF1</paraID>
      <start>0</start>
      <end>2</end>
      <status>unmodified</status>
      <modifiedWord/>
      <trackRevisions>false</trackRevisions>
    </reviewItem>
    <reviewItem>
      <errorID>57a4f01b-c89a-4e8d-b3dc-399f74fbd95d</errorID>
      <errorWord>人工鱼礁</errorWord>
      <group>L1_Knowledge</group>
      <groupName>知识性问题</groupName>
      <ability>L2_Term</ability>
      <abilityName>专业术语</abilityName>
      <candidateList>
        <item>人工渔礁</item>
      </candidateList>
      <explain/>
      <paraID>57F41EF1</paraID>
      <start>22</start>
      <end>26</end>
      <status>modified</status>
      <modifiedWord>人工渔礁</modifiedWord>
      <trackRevisions>false</trackRevisions>
    </reviewItem>
    <reviewItem>
      <errorID>85a68aff-9940-4000-b400-90f9aa40e96a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4FD16E70</paraID>
      <start>0</start>
      <end>2</end>
      <status>unmodified</status>
      <modifiedWord/>
      <trackRevisions>false</trackRevisions>
    </reviewItem>
    <reviewItem>
      <errorID>04f329ae-905e-4c93-bb74-228171b5a96b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49FB0419</paraID>
      <start>0</start>
      <end>2</end>
      <status>unmodified</status>
      <modifiedWord/>
      <trackRevisions>false</trackRevisions>
    </reviewItem>
    <reviewItem>
      <errorID>a135ed8f-5e35-43a0-b90f-75871fe45b2f</errorID>
      <errorWord>》</errorWord>
      <group>L1_Word</group>
      <groupName>字词问题</groupName>
      <ability>L2_Typo</ability>
      <abilityName>字词错误</abilityName>
      <candidateList>
        <item>》和</item>
      </candidateList>
      <explain/>
      <paraID>49FB0419</paraID>
      <start>27</start>
      <end>28</end>
      <status>unmodified</status>
      <modifiedWord/>
      <trackRevisions>false</trackRevisions>
    </reviewItem>
    <reviewItem>
      <errorID>7627033d-fbe4-4a70-aa9a-a37de71b4e60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2EFD31FF</paraID>
      <start>0</start>
      <end>2</end>
      <status>unmodified</status>
      <modifiedWord/>
      <trackRevisions>false</trackRevisions>
    </reviewItem>
    <reviewItem>
      <errorID>a94a17e2-7b43-43e2-83dc-19cbceeb6d88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142FDFE5</paraID>
      <start>0</start>
      <end>2</end>
      <status>unmodified</status>
      <modifiedWord/>
      <trackRevisions>false</trackRevisions>
    </reviewItem>
    <reviewItem>
      <errorID>86e0ec6f-3034-44a3-9e97-94886ded109a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1C708D9D</paraID>
      <start>0</start>
      <end>2</end>
      <status>unmodified</status>
      <modifiedWord/>
      <trackRevisions>false</trackRevisions>
    </reviewItem>
    <reviewItem>
      <errorID>8b08048a-8c40-4728-a8f9-a2478f1a0fd9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6655CF7A</paraID>
      <start>0</start>
      <end>2</end>
      <status>unmodified</status>
      <modifiedWord/>
      <trackRevisions>false</trackRevisions>
    </reviewItem>
    <reviewItem>
      <errorID>bd821e7b-5e76-4c4d-bb65-c9d882e1e4ae</errorID>
      <errorWord>示范岛</errorWord>
      <group>L1_Word</group>
      <groupName>字词问题</groupName>
      <ability>L2_Typo</ability>
      <abilityName>字词错误</abilityName>
      <candidateList>
        <item>示范带</item>
      </candidateList>
      <explain/>
      <paraID>4A0816A0</paraID>
      <start>49</start>
      <end>52</end>
      <status>modified</status>
      <modifiedWord>示范带</modifiedWord>
      <trackRevisions>false</trackRevisions>
    </reviewItem>
    <reviewItem>
      <errorID>7b193efa-a903-40a4-88cd-fe1509afd754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185E2E1</paraID>
      <start>0</start>
      <end>2</end>
      <status>unmodified</status>
      <modifiedWord/>
      <trackRevisions>false</trackRevisions>
    </reviewItem>
    <reviewItem>
      <errorID>6f9130f1-9bd6-444e-8f13-c799bc3d6b6f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5459221E</paraID>
      <start>0</start>
      <end>2</end>
      <status>unmodified</status>
      <modifiedWord/>
      <trackRevisions>false</trackRevisions>
    </reviewItem>
    <reviewItem>
      <errorID>34d94f7e-17dc-4bef-b589-8f84792f9a2a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512E022</paraID>
      <start>0</start>
      <end>2</end>
      <status>unmodified</status>
      <modifiedWord/>
      <trackRevisions>false</trackRevisions>
    </reviewItem>
    <reviewItem>
      <errorID>ea14d782-58b8-4b45-a074-81b0127502b6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3D830744</paraID>
      <start>21</start>
      <end>22</end>
      <status>unmodified</status>
      <modifiedWord/>
      <trackRevisions>false</trackRevisions>
    </reviewItem>
    <reviewItem>
      <errorID>85857dbe-2ad6-4e36-a6a1-e141061389c2</errorID>
      <errorWord>-</errorWord>
      <group>L1_Format</group>
      <groupName>格式问题</groupName>
      <ability>L2_HalfPunc</ability>
      <abilityName>全半角检查</abilityName>
      <candidateList>
        <item>－</item>
      </candidateList>
      <explain>文本全半角错误。</explain>
      <paraID>3D830744</paraID>
      <start>62</start>
      <end>63</end>
      <status>unmodified</status>
      <modifiedWord/>
      <trackRevisions>false</trackRevisions>
    </reviewItem>
    <reviewItem>
      <errorID>3a668379-c435-4dc9-b1d4-abfd04cb3668</errorID>
      <errorWord>(</errorWord>
      <group>L1_Format</group>
      <groupName>格式问题</groupName>
      <ability>L2_HalfPunc</ability>
      <abilityName>全半角检查</abilityName>
      <candidateList>
        <item>（</item>
      </candidateList>
      <explain>文本全半角错误。</explain>
      <paraID> 2013DB1</paraID>
      <start>56</start>
      <end>57</end>
      <status>unmodified</status>
      <modifiedWord/>
      <trackRevisions>false</trackRevisions>
    </reviewItem>
    <reviewItem>
      <errorID>a09b0bef-ded2-4936-8cd7-65af9fbd564f</errorID>
      <errorWord>)</errorWord>
      <group>L1_Format</group>
      <groupName>格式问题</groupName>
      <ability>L2_HalfPunc</ability>
      <abilityName>全半角检查</abilityName>
      <candidateList>
        <item>）</item>
      </candidateList>
      <explain>文本全半角错误。</explain>
      <paraID> 2013DB1</paraID>
      <start>65</start>
      <end>66</end>
      <status>unmodified</status>
      <modifiedWord/>
      <trackRevisions>false</trackRevisions>
    </reviewItem>
    <reviewItem>
      <errorID>7590bb0a-897f-4cfa-ad0f-45b3d937c3c8</errorID>
      <errorWord>-</errorWord>
      <group>L1_Format</group>
      <groupName>格式问题</groupName>
      <ability>L2_HalfPunc</ability>
      <abilityName>全半角检查</abilityName>
      <candidateList>
        <item>－</item>
      </candidateList>
      <explain>文本全半角错误。</explain>
      <paraID>4F617EAF</paraID>
      <start>45</start>
      <end>46</end>
      <status>unmodified</status>
      <modifiedWord/>
      <trackRevisions>false</trackRevisions>
    </reviewItem>
    <reviewItem>
      <errorID>a4503dfd-bea1-4f56-b54d-7c57c2c74d15</errorID>
      <errorWord>(</errorWord>
      <group>L1_Format</group>
      <groupName>格式问题</groupName>
      <ability>L2_HalfPunc</ability>
      <abilityName>全半角检查</abilityName>
      <candidateList>
        <item>（</item>
      </candidateList>
      <explain>文本全半角错误。</explain>
      <paraID>4F617EAF</paraID>
      <start>84</start>
      <end>85</end>
      <status>unmodified</status>
      <modifiedWord/>
      <trackRevisions>false</trackRevisions>
    </reviewItem>
    <reviewItem>
      <errorID>92ab99af-1ad2-4b49-8418-fb7f9efe7636</errorID>
      <errorWord>)</errorWord>
      <group>L1_Format</group>
      <groupName>格式问题</groupName>
      <ability>L2_HalfPunc</ability>
      <abilityName>全半角检查</abilityName>
      <candidateList>
        <item>）</item>
      </candidateList>
      <explain>文本全半角错误。</explain>
      <paraID>4F617EAF</paraID>
      <start>94</start>
      <end>95</end>
      <status>unmodified</status>
      <modifiedWord/>
      <trackRevisions>false</trackRevisions>
    </reviewItem>
    <reviewItem>
      <errorID>853e6337-5633-485c-932c-729a9497a086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74DB3802</paraID>
      <start>21</start>
      <end>22</end>
      <status>unmodified</status>
      <modifiedWord/>
      <trackRevisions>false</trackRevisions>
    </reviewItem>
    <reviewItem>
      <errorID>52cc08f0-4271-4e0a-b0e7-ee88cbabf26f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D2FB274</paraID>
      <start>17</start>
      <end>18</end>
      <status>unmodified</status>
      <modifiedWord/>
      <trackRevisions>false</trackRevisions>
    </reviewItem>
    <reviewItem>
      <errorID>f9a68486-c229-4bf0-84e5-cd3b3e9a2aad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607BA1D8</paraID>
      <start>118</start>
      <end>119</end>
      <status>unmodified</status>
      <modifiedWord/>
      <trackRevisions>false</trackRevisions>
    </reviewItem>
    <reviewItem>
      <errorID>f2b693c5-072c-4637-936f-568ed6b98eb5</errorID>
      <errorWord>、助</errorWord>
      <group>L1_Word</group>
      <groupName>字词问题</groupName>
      <ability>L2_Typo</ability>
      <abilityName>字词错误</abilityName>
      <candidateList>
        <item>、</item>
      </candidateList>
      <explain/>
      <paraID>2482C101</paraID>
      <start>212</start>
      <end>214</end>
      <status>unmodified</status>
      <modifiedWord/>
      <trackRevisions>false</trackRevisions>
    </reviewItem>
    <reviewItem>
      <errorID>d811136d-9205-4ea8-b6f5-37e5d921e648</errorID>
      <errorWord>(</errorWord>
      <group>L1_Format</group>
      <groupName>格式问题</groupName>
      <ability>L2_HalfPunc</ability>
      <abilityName>全半角检查</abilityName>
      <candidateList>
        <item>（</item>
      </candidateList>
      <explain>文本全半角错误。</explain>
      <paraID>51919DA4</paraID>
      <start>4</start>
      <end>5</end>
      <status>unmodified</status>
      <modifiedWord/>
      <trackRevisions>false</trackRevisions>
    </reviewItem>
    <reviewItem>
      <errorID>85a553e7-9896-48ab-bf10-16f3162f21f2</errorID>
      <errorWord>)</errorWord>
      <group>L1_Format</group>
      <groupName>格式问题</groupName>
      <ability>L2_HalfPunc</ability>
      <abilityName>全半角检查</abilityName>
      <candidateList>
        <item>）</item>
      </candidateList>
      <explain>文本全半角错误。</explain>
      <paraID>51919DA4</paraID>
      <start>6</start>
      <end>7</end>
      <status>unmodified</status>
      <modifiedWord/>
      <trackRevisions>false</trackRevisions>
    </reviewItem>
    <reviewItem>
      <errorID>f5ca4079-4e47-4763-96ad-4c9cb3874e61</errorID>
      <errorWord>组份均</errorWord>
      <group>L1_Word</group>
      <groupName>字词问题</groupName>
      <ability>L2_Variant</ability>
      <abilityName>异形词</abilityName>
      <candidateList>
        <item>组分均</item>
      </candidateList>
      <explain>词汇[组份均]的规范词形写作[组分均]。</explain>
      <paraID>1CAF8123</paraID>
      <start>69</start>
      <end>72</end>
      <status>unmodified</status>
      <modifiedWord/>
      <trackRevisions>false</trackRevisions>
    </reviewItem>
    <reviewItem>
      <errorID>20610313-61d6-4017-9c99-ef2529bec02c</errorID>
      <errorWord>)</errorWord>
      <group>L1_Format</group>
      <groupName>格式问题</groupName>
      <ability>L2_HalfPunc</ability>
      <abilityName>全半角检查</abilityName>
      <candidateList>
        <item>）</item>
      </candidateList>
      <explain>文本全半角错误。</explain>
      <paraID>1CAF8123</paraID>
      <start>128</start>
      <end>129</end>
      <status>unmodified</status>
      <modifiedWord/>
      <trackRevisions>false</trackRevisions>
    </reviewItem>
    <reviewItem>
      <errorID>88b87b65-7cb3-457e-b9c2-95010592b241</errorID>
      <errorWord>放靠</errorWord>
      <group>L1_Word</group>
      <groupName>字词问题</groupName>
      <ability>L2_Typo</ability>
      <abilityName>字词错误</abilityName>
      <candidateList>
        <item>放</item>
      </candidateList>
      <explain/>
      <paraID>40C8C74C</paraID>
      <start>114</start>
      <end>116</end>
      <status>unmodified</status>
      <modifiedWord/>
      <trackRevisions>false</trackRevisions>
    </reviewItem>
    <reviewItem>
      <errorID>a0e6ee33-1b65-474a-893e-4e2bb92985b9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32446929</paraID>
      <start>0</start>
      <end>2</end>
      <status>unmodified</status>
      <modifiedWord/>
      <trackRevisions>false</trackRevisions>
    </reviewItem>
    <reviewItem>
      <errorID>c4f6e59f-34ad-44db-bc06-0467305e2766</errorID>
      <errorWord>-</errorWord>
      <group>L1_Format</group>
      <groupName>格式问题</groupName>
      <ability>L2_HalfPunc</ability>
      <abilityName>全半角检查</abilityName>
      <candidateList>
        <item>－</item>
      </candidateList>
      <explain>文本全半角错误。</explain>
      <paraID>27EBBEDD</paraID>
      <start>58</start>
      <end>59</end>
      <status>unmodified</status>
      <modifiedWord/>
      <trackRevisions>false</trackRevisions>
    </reviewItem>
    <reviewItem>
      <errorID>2ebc212d-119f-4b00-a6ea-ebdd12ed70d7</errorID>
      <errorWord>-</errorWord>
      <group>L1_Format</group>
      <groupName>格式问题</groupName>
      <ability>L2_HalfPunc</ability>
      <abilityName>全半角检查</abilityName>
      <candidateList>
        <item>－</item>
      </candidateList>
      <explain>文本全半角错误。</explain>
      <paraID>27EBBEDD</paraID>
      <start>62</start>
      <end>63</end>
      <status>unmodified</status>
      <modifiedWord/>
      <trackRevisions>false</trackRevisions>
    </reviewItem>
    <reviewItem>
      <errorID>1a0e1b00-8838-489c-a01d-a2e701482a06</errorID>
      <errorWord>-</errorWord>
      <group>L1_Format</group>
      <groupName>格式问题</groupName>
      <ability>L2_HalfPunc</ability>
      <abilityName>全半角检查</abilityName>
      <candidateList>
        <item>－</item>
      </candidateList>
      <explain>文本全半角错误。</explain>
      <paraID>5AC8B3B4</paraID>
      <start>148</start>
      <end>149</end>
      <status>unmodified</status>
      <modifiedWord/>
      <trackRevisions>false</trackRevisions>
    </reviewItem>
    <reviewItem>
      <errorID>6badcfe4-7735-4c11-894f-120f7b5623b6</errorID>
      <errorWord>-</errorWord>
      <group>L1_Format</group>
      <groupName>格式问题</groupName>
      <ability>L2_HalfPunc</ability>
      <abilityName>全半角检查</abilityName>
      <candidateList>
        <item>－</item>
      </candidateList>
      <explain>文本全半角错误。</explain>
      <paraID>5AC8B3B4</paraID>
      <start>152</start>
      <end>153</end>
      <status>unmodified</status>
      <modifiedWord/>
      <trackRevisions>false</trackRevisions>
    </reviewItem>
    <reviewItem>
      <errorID>18c9cf33-f4b0-496c-ad64-a15ac68a4400</errorID>
      <errorWord>(</errorWord>
      <group>L1_Format</group>
      <groupName>格式问题</groupName>
      <ability>L2_HalfPunc</ability>
      <abilityName>全半角检查</abilityName>
      <candidateList>
        <item>（</item>
      </candidateList>
      <explain>文本全半角错误。</explain>
      <paraID>350370B0</paraID>
      <start>57</start>
      <end>58</end>
      <status>unmodified</status>
      <modifiedWord/>
      <trackRevisions>false</trackRevisions>
    </reviewItem>
    <reviewItem>
      <errorID>c7b28e83-5e71-4b7d-ab1d-ce737023bf6b</errorID>
      <errorWord>)</errorWord>
      <group>L1_Format</group>
      <groupName>格式问题</groupName>
      <ability>L2_HalfPunc</ability>
      <abilityName>全半角检查</abilityName>
      <candidateList>
        <item>）</item>
      </candidateList>
      <explain>文本全半角错误。</explain>
      <paraID>350370B0</paraID>
      <start>67</start>
      <end>68</end>
      <status>unmodified</status>
      <modifiedWord/>
      <trackRevisions>false</trackRevisions>
    </reviewItem>
    <reviewItem>
      <errorID>f37edf55-300d-4205-985e-98e752c22156</errorID>
      <errorWord>(</errorWord>
      <group>L1_Format</group>
      <groupName>格式问题</groupName>
      <ability>L2_HalfPunc</ability>
      <abilityName>全半角检查</abilityName>
      <candidateList>
        <item>（</item>
      </candidateList>
      <explain>文本全半角错误。</explain>
      <paraID>74346AD3</paraID>
      <start>38</start>
      <end>39</end>
      <status>unmodified</status>
      <modifiedWord/>
      <trackRevisions>false</trackRevisions>
    </reviewItem>
    <reviewItem>
      <errorID>24fd6c64-def6-4588-adeb-ca26bb455395</errorID>
      <errorWord>)</errorWord>
      <group>L1_Format</group>
      <groupName>格式问题</groupName>
      <ability>L2_HalfPunc</ability>
      <abilityName>全半角检查</abilityName>
      <candidateList>
        <item>）</item>
      </candidateList>
      <explain>文本全半角错误。</explain>
      <paraID>74346AD3</paraID>
      <start>50</start>
      <end>51</end>
      <status>unmodified</status>
      <modifiedWord/>
      <trackRevisions>false</trackRevisions>
    </reviewItem>
    <reviewItem>
      <errorID>2bf41959-10fa-485a-b0ef-33292726a3c6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1D80497</paraID>
      <start>0</start>
      <end>2</end>
      <status>unmodified</status>
      <modifiedWord/>
      <trackRevisions>false</trackRevisions>
    </reviewItem>
    <reviewItem>
      <errorID>778c823d-5094-4f07-9f9b-977cf12e07c6</errorID>
      <errorWord>年</errorWord>
      <group>L1_Word</group>
      <groupName>字词问题</groupName>
      <ability>L2_Typo</ability>
      <abilityName>字词错误</abilityName>
      <candidateList>
        <item>年度</item>
      </candidateList>
      <explain/>
      <paraID>2A0CC022</paraID>
      <start>0</start>
      <end>1</end>
      <status>unmodified</status>
      <modifiedWord/>
      <trackRevisions>false</trackRevisions>
    </reviewItem>
    <reviewItem>
      <errorID>e009f9c1-1faf-41db-a5a4-f4fa8d6dd9b2</errorID>
      <errorWord>容量法</errorWord>
      <group>L1_Knowledge</group>
      <groupName>知识性问题</groupName>
      <ability>L2_Term</ability>
      <abilityName>专业术语</abilityName>
      <candidateList>
        <item>滴定法</item>
      </candidateList>
      <explain>医学名词[容量法]为不规范表述或旧称，其规范书面表述为[滴定法]。</explain>
      <paraID>2E670855</paraID>
      <start>13</start>
      <end>16</end>
      <status>unmodified</status>
      <modifiedWord/>
      <trackRevisions>false</trackRevisions>
    </reviewItem>
    <reviewItem>
      <errorID>82ff4ff3-f04b-437c-b943-803cdf6cba5a</errorID>
      <errorWord>（</errorWord>
      <group>L1_Punc</group>
      <groupName>标点问题</groupName>
      <ability>L2_Punc</ability>
      <abilityName>标点符号检查</abilityName>
      <candidateList/>
      <explain>同一形式括号套用。</explain>
      <paraID>3E04D0D1</paraID>
      <start>18</start>
      <end>19</end>
      <status>unmodified</status>
      <modifiedWord/>
      <trackRevisions>false</trackRevisions>
    </reviewItem>
    <reviewItem>
      <errorID>7cca0812-faa8-43a0-a1e0-034fa3413389</errorID>
      <errorWord>）</errorWord>
      <group>L1_Punc</group>
      <groupName>标点问题</groupName>
      <ability>L2_Punc</ability>
      <abilityName>标点符号检查</abilityName>
      <candidateList/>
      <explain>同一形式括号套用。</explain>
      <paraID>3E04D0D1</paraID>
      <start>23</start>
      <end>24</end>
      <status>unmodified</status>
      <modifiedWord/>
      <trackRevisions>false</trackRevisions>
    </reviewItem>
    <reviewItem>
      <errorID>7fdf568d-55b0-42a1-a932-dd7ba48ce532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474699F7</paraID>
      <start>0</start>
      <end>2</end>
      <status>unmodified</status>
      <modifiedWord/>
      <trackRevisions>false</trackRevisions>
    </reviewItem>
    <reviewItem>
      <errorID>59d6375c-5649-4d00-8627-e9b6b279a5e5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647712E3</paraID>
      <start>0</start>
      <end>2</end>
      <status>unmodified</status>
      <modifiedWord/>
      <trackRevisions>false</trackRevisions>
    </reviewItem>
    <reviewItem>
      <errorID>3437a993-a1cb-43c2-8b28-e4f018341e76</errorID>
      <errorWord>〈</errorWord>
      <group>L1_Punc</group>
      <groupName>标点问题</groupName>
      <ability>L2_Punc</ability>
      <abilityName>标点符号检查</abilityName>
      <candidateList/>
      <explain/>
      <paraID>647712E3</paraID>
      <start>5</start>
      <end>6</end>
      <status>unmodified</status>
      <modifiedWord/>
      <trackRevisions>false</trackRevisions>
    </reviewItem>
    <reviewItem>
      <errorID>55e477bd-e906-498a-b9fb-7eeecd8b5019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59F271C0</paraID>
      <start>0</start>
      <end>2</end>
      <status>unmodified</status>
      <modifiedWord/>
      <trackRevisions>false</trackRevisions>
    </reviewItem>
    <reviewItem>
      <errorID>fc1f5db4-1536-4339-8528-b378c6329caf</errorID>
      <errorWord>“/</errorWord>
      <group>L1_Punc</group>
      <groupName>标点问题</groupName>
      <ability>L2_Punc</ability>
      <abilityName>标点符号检查</abilityName>
      <candidateList>
        <item>“</item>
      </candidateList>
      <explain/>
      <paraID>59F271C0</paraID>
      <start>4</start>
      <end>6</end>
      <status>unmodified</status>
      <modifiedWord/>
      <trackRevisions>false</trackRevisions>
    </reviewItem>
    <reviewItem>
      <errorID>ed9b80d6-245c-4511-b7cb-c180e554a8fd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7081C530</paraID>
      <start>0</start>
      <end>2</end>
      <status>unmodified</status>
      <modifiedWord/>
      <trackRevisions>false</trackRevisions>
    </reviewItem>
    <reviewItem>
      <errorID>3e1563a7-f83c-4f4c-9eb2-6593c2b92fce</errorID>
      <errorWord>“/</errorWord>
      <group>L1_Punc</group>
      <groupName>标点问题</groupName>
      <ability>L2_Punc</ability>
      <abilityName>标点符号检查</abilityName>
      <candidateList>
        <item>“</item>
      </candidateList>
      <explain/>
      <paraID>7F38C434</paraID>
      <start>6</start>
      <end>8</end>
      <status>unmodified</status>
      <modifiedWord/>
      <trackRevisions>false</trackRevisions>
    </reviewItem>
    <reviewItem>
      <errorID>1fc6ee40-9f2a-4b6b-b1de-a6e23e63d80c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3E393803</paraID>
      <start>0</start>
      <end>2</end>
      <status>unmodified</status>
      <modifiedWord/>
      <trackRevisions>false</trackRevisions>
    </reviewItem>
    <reviewItem>
      <errorID>76be267a-0190-4899-b8d2-ea997f8c5837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7412058A</paraID>
      <start>0</start>
      <end>2</end>
      <status>unmodified</status>
      <modifiedWord/>
      <trackRevisions>false</trackRevisions>
    </reviewItem>
    <reviewItem>
      <errorID>90f40c63-f8a2-491c-81ce-7601720d2aea</errorID>
      <errorWord>水质调查</errorWord>
      <group>L1_Knowledge</group>
      <groupName>知识性问题</groupName>
      <ability>L2_Term</ability>
      <abilityName>专业术语</abilityName>
      <candidateList>
        <item>地质调查</item>
      </candidateList>
      <explain/>
      <paraID> 4C3EDE6</paraID>
      <start>6</start>
      <end>10</end>
      <status>unmodified</status>
      <modifiedWord/>
      <trackRevisions>false</trackRevisions>
    </reviewItem>
    <reviewItem>
      <errorID>18a25589-6146-4f18-bfd5-23aca504786f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5E2E2C80</paraID>
      <start>0</start>
      <end>2</end>
      <status>unmodified</status>
      <modifiedWord/>
      <trackRevisions>false</trackRevisions>
    </reviewItem>
    <reviewItem>
      <errorID>39a512a8-585a-4026-819c-5f9fb12a7f98</errorID>
      <errorWord>〈</errorWord>
      <group>L1_Punc</group>
      <groupName>标点问题</groupName>
      <ability>L2_Punc</ability>
      <abilityName>标点符号检查</abilityName>
      <candidateList/>
      <explain/>
      <paraID>5E2E2C80</paraID>
      <start>5</start>
      <end>6</end>
      <status>unmodified</status>
      <modifiedWord/>
      <trackRevisions>false</trackRevisions>
    </reviewItem>
    <reviewItem>
      <errorID>53f761d2-00b9-4f93-96f4-af61ad5976ff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504A7C92</paraID>
      <start>0</start>
      <end>2</end>
      <status>unmodified</status>
      <modifiedWord/>
      <trackRevisions>false</trackRevisions>
    </reviewItem>
    <reviewItem>
      <errorID>1ea6b7ce-2a04-4d98-b5c1-a863e101a91b</errorID>
      <errorWord>监测站位</errorWord>
      <group>L1_Knowledge</group>
      <groupName>知识性问题</groupName>
      <ability>L2_Term</ability>
      <abilityName>专业术语</abilityName>
      <candidateList>
        <item>监测点位</item>
      </candidateList>
      <explain/>
      <paraID>24E34156</paraID>
      <start>10</start>
      <end>14</end>
      <status>modified</status>
      <modifiedWord>监测点位</modifiedWord>
      <trackRevisions>false</trackRevisions>
    </reviewItem>
    <reviewItem>
      <errorID>2228581d-1e70-4891-a629-a4ab77f4065c</errorID>
      <errorWord>）</errorWord>
      <group>L1_Format</group>
      <groupName>格式问题</groupName>
      <ability>L2_HalfPunc</ability>
      <abilityName>全半角检查</abilityName>
      <candidateList>
        <item>)</item>
      </candidateList>
      <explain>文本全半角错误。</explain>
      <paraID>4A09B90C</paraID>
      <start>11</start>
      <end>12</end>
      <status>unmodified</status>
      <modifiedWord/>
      <trackRevisions>false</trackRevisions>
    </reviewItem>
    <reviewItem>
      <errorID>9d13c64a-9100-4203-9313-3d319a591d10</errorID>
      <errorWord>）</errorWord>
      <group>L1_Format</group>
      <groupName>格式问题</groupName>
      <ability>L2_HalfPunc</ability>
      <abilityName>全半角检查</abilityName>
      <candidateList>
        <item>)</item>
      </candidateList>
      <explain>文本全半角错误。</explain>
      <paraID>642FA7A4</paraID>
      <start>10</start>
      <end>11</end>
      <status>unmodified</status>
      <modifiedWord/>
      <trackRevisions>false</trackRevisions>
    </reviewItem>
    <reviewItem>
      <errorID>297c11f1-cccb-4d8d-8a20-b836a14e6af0</errorID>
      <errorWord>）</errorWord>
      <group>L1_Format</group>
      <groupName>格式问题</groupName>
      <ability>L2_HalfPunc</ability>
      <abilityName>全半角检查</abilityName>
      <candidateList>
        <item>)</item>
      </candidateList>
      <explain>文本全半角错误。</explain>
      <paraID>  C47D3B</paraID>
      <start>10</start>
      <end>11</end>
      <status>unmodified</status>
      <modifiedWord/>
      <trackRevisions>false</trackRevisions>
    </reviewItem>
    <reviewItem>
      <errorID>2deb552d-bb08-480a-b90b-5c1aa0ed8179</errorID>
      <errorWord>）</errorWord>
      <group>L1_Format</group>
      <groupName>格式问题</groupName>
      <ability>L2_HalfPunc</ability>
      <abilityName>全半角检查</abilityName>
      <candidateList>
        <item>)</item>
      </candidateList>
      <explain>文本全半角错误。</explain>
      <paraID> 2ADFBB7</paraID>
      <start>10</start>
      <end>11</end>
      <status>unmodified</status>
      <modifiedWord/>
      <trackRevisions>false</trackRevisions>
    </reviewItem>
    <reviewItem>
      <errorID>c148a650-7c99-4e88-ac91-1efed74dacd0</errorID>
      <errorWord>）</errorWord>
      <group>L1_Format</group>
      <groupName>格式问题</groupName>
      <ability>L2_HalfPunc</ability>
      <abilityName>全半角检查</abilityName>
      <candidateList>
        <item>)</item>
      </candidateList>
      <explain>文本全半角错误。</explain>
      <paraID>7EDE2F24</paraID>
      <start>11</start>
      <end>12</end>
      <status>unmodified</status>
      <modifiedWord/>
      <trackRevisions>false</trackRevisions>
    </reviewItem>
    <reviewItem>
      <errorID>6153a104-3cc2-4fd8-a383-fe253b1b011e</errorID>
      <errorWord>）</errorWord>
      <group>L1_Format</group>
      <groupName>格式问题</groupName>
      <ability>L2_HalfPunc</ability>
      <abilityName>全半角检查</abilityName>
      <candidateList>
        <item>)</item>
      </candidateList>
      <explain>文本全半角错误。</explain>
      <paraID>739CC9DE</paraID>
      <start>10</start>
      <end>11</end>
      <status>unmodified</status>
      <modifiedWord/>
      <trackRevisions>false</trackRevisions>
    </reviewItem>
    <reviewItem>
      <errorID>073d098e-a941-4265-98b7-c95214c40c77</errorID>
      <errorWord>）</errorWord>
      <group>L1_Format</group>
      <groupName>格式问题</groupName>
      <ability>L2_HalfPunc</ability>
      <abilityName>全半角检查</abilityName>
      <candidateList>
        <item>)</item>
      </candidateList>
      <explain>文本全半角错误。</explain>
      <paraID>4804DBA7</paraID>
      <start>12</start>
      <end>13</end>
      <status>unmodified</status>
      <modifiedWord/>
      <trackRevisions>false</trackRevisions>
    </reviewItem>
    <reviewItem>
      <errorID>41799528-6669-4fc2-a830-efb6df64c00a</errorID>
      <errorWord>容量法</errorWord>
      <group>L1_Knowledge</group>
      <groupName>知识性问题</groupName>
      <ability>L2_Term</ability>
      <abilityName>专业术语</abilityName>
      <candidateList>
        <item>滴定法</item>
      </candidateList>
      <explain>医学名词[容量法]为不规范表述或旧称，其规范书面表述为[滴定法]。</explain>
      <paraID>14523B07</paraID>
      <start>13</start>
      <end>16</end>
      <status>unmodified</status>
      <modifiedWord/>
      <trackRevisions>false</trackRevisions>
    </reviewItem>
    <reviewItem>
      <errorID>a7443754-661e-4277-a81d-8b31a6f0b02d</errorID>
      <errorWord>）</errorWord>
      <group>L1_Format</group>
      <groupName>格式问题</groupName>
      <ability>L2_HalfPunc</ability>
      <abilityName>全半角检查</abilityName>
      <candidateList>
        <item>)</item>
      </candidateList>
      <explain>文本全半角错误。</explain>
      <paraID>11F5C1DC</paraID>
      <start>10</start>
      <end>11</end>
      <status>unmodified</status>
      <modifiedWord/>
      <trackRevisions>false</trackRevisions>
    </reviewItem>
    <reviewItem>
      <errorID>e77e0519-6b88-49ad-a86d-5ed18d987c11</errorID>
      <errorWord>）</errorWord>
      <group>L1_Format</group>
      <groupName>格式问题</groupName>
      <ability>L2_HalfPunc</ability>
      <abilityName>全半角检查</abilityName>
      <candidateList>
        <item>)</item>
      </candidateList>
      <explain>文本全半角错误。</explain>
      <paraID>6C76EA19</paraID>
      <start>10</start>
      <end>11</end>
      <status>unmodified</status>
      <modifiedWord/>
      <trackRevisions>false</trackRevisions>
    </reviewItem>
    <reviewItem>
      <errorID>ed470bcb-e61f-4345-9f0e-8c1d6b7e00d3</errorID>
      <errorWord>)</errorWord>
      <group>L1_Format</group>
      <groupName>格式问题</groupName>
      <ability>L2_HalfPunc</ability>
      <abilityName>全半角检查</abilityName>
      <candidateList>
        <item>）</item>
      </candidateList>
      <explain>文本全半角错误。</explain>
      <paraID>3C42631A</paraID>
      <start>18</start>
      <end>19</end>
      <status>unmodified</status>
      <modifiedWord/>
      <trackRevisions>false</trackRevisions>
    </reviewItem>
    <reviewItem>
      <errorID>07660d93-be46-4745-a92b-0c70fdfc16e4</errorID>
      <errorWord>*</errorWord>
      <group>L1_Punc</group>
      <groupName>标点问题</groupName>
      <ability>L2_Punc</ability>
      <abilityName>标点符号检查</abilityName>
      <candidateList/>
      <explain/>
      <paraID> B9816E5</paraID>
      <start>0</start>
      <end>1</end>
      <status>unmodified</status>
      <modifiedWord/>
      <trackRevisions>false</trackRevisions>
    </reviewItem>
    <reviewItem>
      <errorID>453f7b29-d191-4449-bfbb-71147187530c</errorID>
      <errorWord>&lt;</errorWord>
      <group>L1_Format</group>
      <groupName>格式问题</groupName>
      <ability>L2_HalfPunc</ability>
      <abilityName>全半角检查</abilityName>
      <candidateList>
        <item>〈</item>
      </candidateList>
      <explain>文本全半角错误。</explain>
      <paraID> B9816E5</paraID>
      <start>15</start>
      <end>16</end>
      <status>unmodified</status>
      <modifiedWord/>
      <trackRevisions>false</trackRevisions>
    </reviewItem>
    <reviewItem>
      <errorID>de422c57-4412-4dcd-b483-99f90fcd6f12</errorID>
      <errorWord>）</errorWord>
      <group>L1_Format</group>
      <groupName>格式问题</groupName>
      <ability>L2_HalfPunc</ability>
      <abilityName>全半角检查</abilityName>
      <candidateList>
        <item>)</item>
      </candidateList>
      <explain>文本全半角错误。</explain>
      <paraID>1D1D4904</paraID>
      <start>5</start>
      <end>6</end>
      <status>unmodified</status>
      <modifiedWord/>
      <trackRevisions>false</trackRevisions>
    </reviewItem>
    <reviewItem>
      <errorID>7ccb0881-cb92-4152-9017-30f42173663b</errorID>
      <errorWord>（</errorWord>
      <group>L1_Punc</group>
      <groupName>标点问题</groupName>
      <ability>L2_Punc</ability>
      <abilityName>标点符号检查</abilityName>
      <candidateList/>
      <explain/>
      <paraID>5EA6F844</paraID>
      <start>0</start>
      <end>1</end>
      <status>unmodified</status>
      <modifiedWord/>
      <trackRevisions>false</trackRevisions>
    </reviewItem>
    <reviewItem>
      <errorID>ddbec228-35c7-4d7f-ba96-f80b49dabf9d</errorID>
      <errorWord>，</errorWord>
      <group>L1_Format</group>
      <groupName>格式问题</groupName>
      <ability>L2_HalfPunc</ability>
      <abilityName>全半角检查</abilityName>
      <candidateList>
        <item>,</item>
      </candidateList>
      <explain>文本全半角错误。</explain>
      <paraID>5EA6F844</paraID>
      <start>6</start>
      <end>7</end>
      <status>unmodified</status>
      <modifiedWord/>
      <trackRevisions>false</trackRevisions>
    </reviewItem>
    <reviewItem>
      <errorID>95fa98b1-ed6b-4a6d-bf09-acedf8a003fd</errorID>
      <errorWord>]</errorWord>
      <group>L1_Punc</group>
      <groupName>标点问题</groupName>
      <ability>L2_Punc</ability>
      <abilityName>标点符号检查</abilityName>
      <candidateList/>
      <explain/>
      <paraID>5EA6F844</paraID>
      <start>10</start>
      <end>11</end>
      <status>unmodified</status>
      <modifiedWord/>
      <trackRevisions>false</trackRevisions>
    </reviewItem>
    <reviewItem>
      <errorID>f9568c35-9fc0-4bac-80bd-ed2124de8d80</errorID>
      <errorWord>（</errorWord>
      <group>L1_Punc</group>
      <groupName>标点问题</groupName>
      <ability>L2_Punc</ability>
      <abilityName>标点符号检查</abilityName>
      <candidateList/>
      <explain/>
      <paraID>6B855658</paraID>
      <start>0</start>
      <end>1</end>
      <status>unmodified</status>
      <modifiedWord/>
      <trackRevisions>false</trackRevisions>
    </reviewItem>
    <reviewItem>
      <errorID>6bdaa08a-54a4-4f14-8263-8a33268a917f</errorID>
      <errorWord>，</errorWord>
      <group>L1_Format</group>
      <groupName>格式问题</groupName>
      <ability>L2_HalfPunc</ability>
      <abilityName>全半角检查</abilityName>
      <candidateList>
        <item>,</item>
      </candidateList>
      <explain>文本全半角错误。</explain>
      <paraID>6B855658</paraID>
      <start>5</start>
      <end>6</end>
      <status>unmodified</status>
      <modifiedWord/>
      <trackRevisions>false</trackRevisions>
    </reviewItem>
    <reviewItem>
      <errorID>f913db32-f447-4e04-ba04-41406aa01b86</errorID>
      <errorWord>]</errorWord>
      <group>L1_Punc</group>
      <groupName>标点问题</groupName>
      <ability>L2_Punc</ability>
      <abilityName>标点符号检查</abilityName>
      <candidateList/>
      <explain/>
      <paraID>6B855658</paraID>
      <start>10</start>
      <end>11</end>
      <status>unmodified</status>
      <modifiedWord/>
      <trackRevisions>false</trackRevisions>
    </reviewItem>
    <reviewItem>
      <errorID>32cf6d1b-f5eb-4600-b02c-5d66dd6eda3e</errorID>
      <errorWord>（</errorWord>
      <group>L1_Punc</group>
      <groupName>标点问题</groupName>
      <ability>L2_Punc</ability>
      <abilityName>标点符号检查</abilityName>
      <candidateList/>
      <explain/>
      <paraID>2C01366A</paraID>
      <start>0</start>
      <end>1</end>
      <status>unmodified</status>
      <modifiedWord/>
      <trackRevisions>false</trackRevisions>
    </reviewItem>
    <reviewItem>
      <errorID>ae12682f-b545-44ef-ab6a-0bbcfb46cbf5</errorID>
      <errorWord>，</errorWord>
      <group>L1_Format</group>
      <groupName>格式问题</groupName>
      <ability>L2_HalfPunc</ability>
      <abilityName>全半角检查</abilityName>
      <candidateList>
        <item>,</item>
      </candidateList>
      <explain>文本全半角错误。</explain>
      <paraID>2C01366A</paraID>
      <start>5</start>
      <end>6</end>
      <status>unmodified</status>
      <modifiedWord/>
      <trackRevisions>false</trackRevisions>
    </reviewItem>
    <reviewItem>
      <errorID>743b4193-6f4f-44ec-afde-91e751ce9878</errorID>
      <errorWord>]</errorWord>
      <group>L1_Punc</group>
      <groupName>标点问题</groupName>
      <ability>L2_Punc</ability>
      <abilityName>标点符号检查</abilityName>
      <candidateList/>
      <explain/>
      <paraID>2C01366A</paraID>
      <start>9</start>
      <end>10</end>
      <status>unmodified</status>
      <modifiedWord/>
      <trackRevisions>false</trackRevisions>
    </reviewItem>
    <reviewItem>
      <errorID>42b891d4-496c-415c-951e-494533c1403f</errorID>
      <errorWord>*</errorWord>
      <group>L1_Punc</group>
      <groupName>标点问题</groupName>
      <ability>L2_Punc</ability>
      <abilityName>标点符号检查</abilityName>
      <candidateList/>
      <explain/>
      <paraID>17579262</paraID>
      <start>0</start>
      <end>1</end>
      <status>unmodified</status>
      <modifiedWord/>
      <trackRevisions>false</trackRevisions>
    </reviewItem>
    <reviewItem>
      <errorID>b3431784-c97a-4f8c-b5e0-3fa94bd4ceaa</errorID>
      <errorWord>(</errorWord>
      <group>L1_Format</group>
      <groupName>格式问题</groupName>
      <ability>L2_HalfPunc</ability>
      <abilityName>全半角检查</abilityName>
      <candidateList>
        <item>（</item>
      </candidateList>
      <explain>文本全半角错误。</explain>
      <paraID> EB9386B</paraID>
      <start>5</start>
      <end>6</end>
      <status>unmodified</status>
      <modifiedWord/>
      <trackRevisions>false</trackRevisions>
    </reviewItem>
    <reviewItem>
      <errorID>faae1713-97ed-4858-a293-32ef80ac25e9</errorID>
      <errorWord>(</errorWord>
      <group>L1_Format</group>
      <groupName>格式问题</groupName>
      <ability>L2_HalfPunc</ability>
      <abilityName>全半角检查</abilityName>
      <candidateList>
        <item>（</item>
      </candidateList>
      <explain>文本全半角错误。</explain>
      <paraID>4596E2A9</paraID>
      <start>5</start>
      <end>6</end>
      <status>unmodified</status>
      <modifiedWord/>
      <trackRevisions>false</trackRevisions>
    </reviewItem>
    <reviewItem>
      <errorID>58a4858d-590e-4502-a481-08233c7d5a49</errorID>
      <errorWord>(</errorWord>
      <group>L1_Format</group>
      <groupName>格式问题</groupName>
      <ability>L2_HalfPunc</ability>
      <abilityName>全半角检查</abilityName>
      <candidateList>
        <item>（</item>
      </candidateList>
      <explain>文本全半角错误。</explain>
      <paraID>41B15A49</paraID>
      <start>5</start>
      <end>6</end>
      <status>unmodified</status>
      <modifiedWord/>
      <trackRevisions>false</trackRevisions>
    </reviewItem>
    <reviewItem>
      <errorID>d2ed6f77-be34-4a9e-96ee-cc0abbcd1fda</errorID>
      <errorWord>(</errorWord>
      <group>L1_Format</group>
      <groupName>格式问题</groupName>
      <ability>L2_HalfPunc</ability>
      <abilityName>全半角检查</abilityName>
      <candidateList>
        <item>（</item>
      </candidateList>
      <explain>文本全半角错误。</explain>
      <paraID>54BA85AD</paraID>
      <start>5</start>
      <end>6</end>
      <status>unmodified</status>
      <modifiedWord/>
      <trackRevisions>false</trackRevisions>
    </reviewItem>
    <reviewItem>
      <errorID>4cf4c51a-2d3d-42f0-b3e9-91bbbac24d70</errorID>
      <errorWord>)</errorWord>
      <group>L1_Format</group>
      <groupName>格式问题</groupName>
      <ability>L2_HalfPunc</ability>
      <abilityName>全半角检查</abilityName>
      <candidateList>
        <item>）</item>
      </candidateList>
      <explain>文本全半角错误。</explain>
      <paraID>54BA85AD</paraID>
      <start>8</start>
      <end>9</end>
      <status>unmodified</status>
      <modifiedWord/>
      <trackRevisions>false</trackRevisions>
    </reviewItem>
    <reviewItem>
      <errorID>eb73e5cb-cb6b-4cee-9de6-b9b805f6ec2a</errorID>
      <errorWord>(</errorWord>
      <group>L1_Format</group>
      <groupName>格式问题</groupName>
      <ability>L2_HalfPunc</ability>
      <abilityName>全半角检查</abilityName>
      <candidateList>
        <item>（</item>
      </candidateList>
      <explain>文本全半角错误。</explain>
      <paraID>2AE98A52</paraID>
      <start>5</start>
      <end>6</end>
      <status>unmodified</status>
      <modifiedWord/>
      <trackRevisions>false</trackRevisions>
    </reviewItem>
    <reviewItem>
      <errorID>9400687d-83d1-4b5a-89e9-d6ddb7052942</errorID>
      <errorWord>)</errorWord>
      <group>L1_Format</group>
      <groupName>格式问题</groupName>
      <ability>L2_HalfPunc</ability>
      <abilityName>全半角检查</abilityName>
      <candidateList>
        <item>）</item>
      </candidateList>
      <explain>文本全半角错误。</explain>
      <paraID>2AE98A52</paraID>
      <start>8</start>
      <end>9</end>
      <status>unmodified</status>
      <modifiedWord/>
      <trackRevisions>false</trackRevisions>
    </reviewItem>
    <reviewItem>
      <errorID>f382e07c-b17b-4672-9c14-d42b1bd55601</errorID>
      <errorWord>(</errorWord>
      <group>L1_Format</group>
      <groupName>格式问题</groupName>
      <ability>L2_HalfPunc</ability>
      <abilityName>全半角检查</abilityName>
      <candidateList>
        <item>（</item>
      </candidateList>
      <explain>文本全半角错误。</explain>
      <paraID>7B8239AE</paraID>
      <start>5</start>
      <end>6</end>
      <status>unmodified</status>
      <modifiedWord/>
      <trackRevisions>false</trackRevisions>
    </reviewItem>
    <reviewItem>
      <errorID>e33e5fdd-2300-4619-b959-047fcb824b36</errorID>
      <errorWord>)</errorWord>
      <group>L1_Format</group>
      <groupName>格式问题</groupName>
      <ability>L2_HalfPunc</ability>
      <abilityName>全半角检查</abilityName>
      <candidateList>
        <item>）</item>
      </candidateList>
      <explain>文本全半角错误。</explain>
      <paraID>7B8239AE</paraID>
      <start>8</start>
      <end>9</end>
      <status>unmodified</status>
      <modifiedWord/>
      <trackRevisions>false</trackRevisions>
    </reviewItem>
    <reviewItem>
      <errorID>06eb94ce-6893-4324-851c-21122e09caa6</errorID>
      <errorWord>根据检测结果表明</errorWord>
      <group>L1_Word</group>
      <groupName>字词问题</groupName>
      <ability>L2_Typo</ability>
      <abilityName>字词错误</abilityName>
      <candidateList>
        <item>根据检测</item>
      </candidateList>
      <explain/>
      <paraID>57E2B59E</paraID>
      <start>0</start>
      <end>8</end>
      <status>unmodified</status>
      <modifiedWord/>
      <trackRevisions>false</trackRevisions>
    </reviewItem>
    <reviewItem>
      <errorID>7ccf6b6a-b725-4b80-856f-dc4399061686</errorID>
      <errorWord>组份均</errorWord>
      <group>L1_Word</group>
      <groupName>字词问题</groupName>
      <ability>L2_Variant</ability>
      <abilityName>异形词</abilityName>
      <candidateList>
        <item>组分均</item>
      </candidateList>
      <explain>词汇[组份均]的规范词形写作[组分均]。</explain>
      <paraID>57E2B59E</paraID>
      <start>56</start>
      <end>59</end>
      <status>unmodified</status>
      <modifiedWord/>
      <trackRevisions>false</trackRevisions>
    </reviewItem>
    <reviewItem>
      <errorID>f0e3e893-6b4a-4c22-9396-762d3d455cc2</errorID>
      <errorWord>)</errorWord>
      <group>L1_Format</group>
      <groupName>格式问题</groupName>
      <ability>L2_HalfPunc</ability>
      <abilityName>全半角检查</abilityName>
      <candidateList>
        <item>）</item>
      </candidateList>
      <explain>文本全半角错误。</explain>
      <paraID>57E2B59E</paraID>
      <start>115</start>
      <end>116</end>
      <status>unmodified</status>
      <modifiedWord/>
      <trackRevisions>false</trackRevisions>
    </reviewItem>
    <reviewItem>
      <errorID>341f42fd-0735-4f2a-9445-d4ed4c0086b7</errorID>
      <errorWord>(</errorWord>
      <group>L1_Format</group>
      <groupName>格式问题</groupName>
      <ability>L2_HalfPunc</ability>
      <abilityName>全半角检查</abilityName>
      <candidateList>
        <item>（</item>
      </candidateList>
      <explain>文本全半角错误。</explain>
      <paraID>73FD0216</paraID>
      <start>32</start>
      <end>33</end>
      <status>unmodified</status>
      <modifiedWord/>
      <trackRevisions>false</trackRevisions>
    </reviewItem>
    <reviewItem>
      <errorID>77a79467-73e5-4183-8b6d-29717c511d7a</errorID>
      <errorWord>)</errorWord>
      <group>L1_Format</group>
      <groupName>格式问题</groupName>
      <ability>L2_HalfPunc</ability>
      <abilityName>全半角检查</abilityName>
      <candidateList>
        <item>）</item>
      </candidateList>
      <explain>文本全半角错误。</explain>
      <paraID>73FD0216</paraID>
      <start>42</start>
      <end>43</end>
      <status>unmodified</status>
      <modifiedWord/>
      <trackRevisions>false</trackRevisions>
    </reviewItem>
    <reviewItem>
      <errorID>e768541a-a0b6-41b3-84f7-8e73eb0f4809</errorID>
      <errorWord>-</errorWord>
      <group>L1_Format</group>
      <groupName>格式问题</groupName>
      <ability>L2_HalfPunc</ability>
      <abilityName>全半角检查</abilityName>
      <candidateList>
        <item>－</item>
      </candidateList>
      <explain>文本全半角错误。</explain>
      <paraID>77BA8EB7</paraID>
      <start>64</start>
      <end>65</end>
      <status>unmodified</status>
      <modifiedWord/>
      <trackRevisions>false</trackRevisions>
    </reviewItem>
    <reviewItem>
      <errorID>7d7d0ab0-b22c-4cd7-aebb-330a893cb8a3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3EA88922</paraID>
      <start>0</start>
      <end>2</end>
      <status>unmodified</status>
      <modifiedWord/>
      <trackRevisions>false</trackRevisions>
    </reviewItem>
    <reviewItem>
      <errorID>fd524965-0fa7-434a-828b-d9b68f4f22ed</errorID>
      <errorWord>IV</errorWord>
      <group>L1_Knowledge</group>
      <groupName>知识性问题</groupName>
      <ability>L2_Knowledge</ability>
      <abilityName>其他知识</abilityName>
      <candidateList>
        <item>Ⅳ</item>
      </candidateList>
      <explain/>
      <paraID>59D587CC</paraID>
      <start>66</start>
      <end>68</end>
      <status>unmodified</status>
      <modifiedWord/>
      <trackRevisions>false</trackRevisions>
    </reviewItem>
    <reviewItem>
      <errorID>89c44a8e-e83e-4d18-8b3e-78b2800d4a5e</errorID>
      <errorWord>七十二泾</errorWord>
      <group>L1_Knowledge</group>
      <groupName>知识性问题</groupName>
      <ability>L2_Term</ability>
      <abilityName>专业术语</abilityName>
      <candidateList>
        <item>七十二候</item>
      </candidateList>
      <explain/>
      <paraID>3D32A89A</paraID>
      <start>33</start>
      <end>37</end>
      <status>unmodified</status>
      <modifiedWord/>
      <trackRevisions>false</trackRevisions>
    </reviewItem>
    <reviewItem>
      <errorID>c70fa4c2-92c5-4fa2-9234-1b2e3e91b6a0</errorID>
      <errorWord>七十二泾</errorWord>
      <group>L1_Knowledge</group>
      <groupName>知识性问题</groupName>
      <ability>L2_Term</ability>
      <abilityName>专业术语</abilityName>
      <candidateList>
        <item>七十二候</item>
      </candidateList>
      <explain/>
      <paraID> 17FF923</paraID>
      <start>26</start>
      <end>30</end>
      <status>unmodified</status>
      <modifiedWord/>
      <trackRevisions>false</trackRevisions>
    </reviewItem>
    <reviewItem>
      <errorID>5bbe954b-a3c3-4893-8a8f-bca0ce219c4d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17FF923</paraID>
      <start>71</start>
      <end>72</end>
      <status>unmodified</status>
      <modifiedWord/>
      <trackRevisions>false</trackRevisions>
    </reviewItem>
    <reviewItem>
      <errorID>ad334ec8-3b4f-47df-b3f5-659b1d1a51ae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77D9CE1E</paraID>
      <start>0</start>
      <end>2</end>
      <status>unmodified</status>
      <modifiedWord/>
      <trackRevisions>false</trackRevisions>
    </reviewItem>
    <reviewItem>
      <errorID>46b957ef-3035-4553-8500-c7aa40de4bff</errorID>
      <errorWord>(</errorWord>
      <group>L1_Format</group>
      <groupName>格式问题</groupName>
      <ability>L2_HalfPunc</ability>
      <abilityName>全半角检查</abilityName>
      <candidateList>
        <item>（</item>
      </candidateList>
      <explain>文本全半角错误。</explain>
      <paraID>14C94CB9</paraID>
      <start>10</start>
      <end>11</end>
      <status>unmodified</status>
      <modifiedWord/>
      <trackRevisions>false</trackRevisions>
    </reviewItem>
    <reviewItem>
      <errorID>eae62f41-45dd-4e98-aaa4-b449cf548203</errorID>
      <errorWord>)</errorWord>
      <group>L1_Format</group>
      <groupName>格式问题</groupName>
      <ability>L2_HalfPunc</ability>
      <abilityName>全半角检查</abilityName>
      <candidateList>
        <item>）</item>
      </candidateList>
      <explain>文本全半角错误。</explain>
      <paraID>14C94CB9</paraID>
      <start>22</start>
      <end>23</end>
      <status>unmodified</status>
      <modifiedWord/>
      <trackRevisions>false</trackRevisions>
    </reviewItem>
    <reviewItem>
      <errorID>af882076-cbde-4fb9-a9c7-a55349b5820b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63C3C895</paraID>
      <start>0</start>
      <end>2</end>
      <status>unmodified</status>
      <modifiedWord/>
      <trackRevisions>false</trackRevisions>
    </reviewItem>
    <reviewItem>
      <errorID>d3e8f757-3aa0-4cb8-b0a9-194e208cd729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61C83EAD</paraID>
      <start>22</start>
      <end>23</end>
      <status>unmodified</status>
      <modifiedWord/>
      <trackRevisions>false</trackRevisions>
    </reviewItem>
    <reviewItem>
      <errorID>a6f18c95-0480-4d97-a6ba-ff3209a1a69b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622AF6D3</paraID>
      <start>0</start>
      <end>2</end>
      <status>unmodified</status>
      <modifiedWord/>
      <trackRevisions>false</trackRevisions>
    </reviewItem>
    <reviewItem>
      <errorID>86321774-3c09-4158-b9a5-015e25d82418</errorID>
      <errorWord>(</errorWord>
      <group>L1_Format</group>
      <groupName>格式问题</groupName>
      <ability>L2_HalfPunc</ability>
      <abilityName>全半角检查</abilityName>
      <candidateList>
        <item>（</item>
      </candidateList>
      <explain>文本全半角错误。</explain>
      <paraID>3AAD4660</paraID>
      <start>57</start>
      <end>58</end>
      <status>unmodified</status>
      <modifiedWord/>
      <trackRevisions>false</trackRevisions>
    </reviewItem>
    <reviewItem>
      <errorID>215eff31-ae03-4bf7-8275-8c03ecfec301</errorID>
      <errorWord>)</errorWord>
      <group>L1_Format</group>
      <groupName>格式问题</groupName>
      <ability>L2_HalfPunc</ability>
      <abilityName>全半角检查</abilityName>
      <candidateList>
        <item>）</item>
      </candidateList>
      <explain>文本全半角错误。</explain>
      <paraID>3AAD4660</paraID>
      <start>67</start>
      <end>68</end>
      <status>unmodified</status>
      <modifiedWord/>
      <trackRevisions>false</trackRevisions>
    </reviewItem>
    <reviewItem>
      <errorID>20447c76-c81b-45c7-bd50-a46f37dc87a7</errorID>
      <errorWord>)</errorWord>
      <group>L1_Format</group>
      <groupName>格式问题</groupName>
      <ability>L2_HalfPunc</ability>
      <abilityName>全半角检查</abilityName>
      <candidateList>
        <item>）</item>
      </candidateList>
      <explain>文本全半角错误。</explain>
      <paraID>7A30E03A</paraID>
      <start>28</start>
      <end>29</end>
      <status>unmodified</status>
      <modifiedWord/>
      <trackRevisions>false</trackRevisions>
    </reviewItem>
    <reviewItem>
      <errorID>d7119fa6-4e45-4613-9b45-2bd322b700fe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73EE1352</paraID>
      <start>0</start>
      <end>2</end>
      <status>unmodified</status>
      <modifiedWord/>
      <trackRevisions>false</trackRevisions>
    </reviewItem>
    <reviewItem>
      <errorID>55fc70ad-4cfb-4541-893a-3b4c1512e480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2A7DD934</paraID>
      <start>21</start>
      <end>22</end>
      <status>unmodified</status>
      <modifiedWord/>
      <trackRevisions>false</trackRevisions>
    </reviewItem>
    <reviewItem>
      <errorID>d70cb168-9381-49db-a2bf-01092edb00e2</errorID>
      <errorWord>-</errorWord>
      <group>L1_Format</group>
      <groupName>格式问题</groupName>
      <ability>L2_HalfPunc</ability>
      <abilityName>全半角检查</abilityName>
      <candidateList>
        <item>－</item>
      </candidateList>
      <explain>文本全半角错误。</explain>
      <paraID>2A7DD934</paraID>
      <start>58</start>
      <end>59</end>
      <status>unmodified</status>
      <modifiedWord/>
      <trackRevisions>false</trackRevisions>
    </reviewItem>
    <reviewItem>
      <errorID>fdb9b9cb-fd23-426c-b5aa-ca49f948c159</errorID>
      <errorWord>-</errorWord>
      <group>L1_Format</group>
      <groupName>格式问题</groupName>
      <ability>L2_HalfPunc</ability>
      <abilityName>全半角检查</abilityName>
      <candidateList>
        <item>－</item>
      </candidateList>
      <explain>文本全半角错误。</explain>
      <paraID>2A7DD934</paraID>
      <start>62</start>
      <end>63</end>
      <status>unmodified</status>
      <modifiedWord/>
      <trackRevisions>false</trackRevisions>
    </reviewItem>
    <reviewItem>
      <errorID>b008ead0-217b-4c3a-8fb8-e3db3befb698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BD693A3</paraID>
      <start>0</start>
      <end>2</end>
      <status>unmodified</status>
      <modifiedWord/>
      <trackRevisions>false</trackRevisions>
    </reviewItem>
    <reviewItem>
      <errorID>79f806b8-0ff2-4f16-9d57-b0ace035d375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6017F0DA</paraID>
      <start>21</start>
      <end>22</end>
      <status>unmodified</status>
      <modifiedWord/>
      <trackRevisions>false</trackRevisions>
    </reviewItem>
    <reviewItem>
      <errorID>34de8623-9dce-4a6e-ab43-fc1b1d739e98</errorID>
      <errorWord>-</errorWord>
      <group>L1_Format</group>
      <groupName>格式问题</groupName>
      <ability>L2_HalfPunc</ability>
      <abilityName>全半角检查</abilityName>
      <candidateList>
        <item>－</item>
      </candidateList>
      <explain>文本全半角错误。</explain>
      <paraID>6017F0DA</paraID>
      <start>58</start>
      <end>59</end>
      <status>unmodified</status>
      <modifiedWord/>
      <trackRevisions>false</trackRevisions>
    </reviewItem>
    <reviewItem>
      <errorID>b504ebc3-9f4c-4140-a07f-4c87dda5a2bd</errorID>
      <errorWord>-</errorWord>
      <group>L1_Format</group>
      <groupName>格式问题</groupName>
      <ability>L2_HalfPunc</ability>
      <abilityName>全半角检查</abilityName>
      <candidateList>
        <item>－</item>
      </candidateList>
      <explain>文本全半角错误。</explain>
      <paraID>6017F0DA</paraID>
      <start>62</start>
      <end>63</end>
      <status>unmodified</status>
      <modifiedWord/>
      <trackRevisions>false</trackRevisions>
    </reviewItem>
    <reviewItem>
      <errorID>d74c25e9-ce3a-4756-bf8c-a83aa31231c7</errorID>
      <errorWord>（</errorWord>
      <group>L1_Punc</group>
      <groupName>标点问题</groupName>
      <ability>L2_Punc</ability>
      <abilityName>标点符号检查</abilityName>
      <candidateList/>
      <explain>同一形式括号套用。</explain>
      <paraID>6017F0DA</paraID>
      <start>115</start>
      <end>116</end>
      <status>unmodified</status>
      <modifiedWord/>
      <trackRevisions>false</trackRevisions>
    </reviewItem>
    <reviewItem>
      <errorID>f439a52c-65df-4da1-b77c-73302e89feab</errorID>
      <errorWord>）</errorWord>
      <group>L1_Punc</group>
      <groupName>标点问题</groupName>
      <ability>L2_Punc</ability>
      <abilityName>标点符号检查</abilityName>
      <candidateList/>
      <explain>同一形式括号套用。</explain>
      <paraID>6017F0DA</paraID>
      <start>121</start>
      <end>122</end>
      <status>unmodified</status>
      <modifiedWord/>
      <trackRevisions>false</trackRevisions>
    </reviewItem>
    <reviewItem>
      <errorID>1760eb65-0707-429d-a251-1bb724aaa215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6B94880D</paraID>
      <start>0</start>
      <end>2</end>
      <status>unmodified</status>
      <modifiedWord/>
      <trackRevisions>false</trackRevisions>
    </reviewItem>
    <reviewItem>
      <errorID>19858306-3745-49aa-b7ad-5b532b45f489</errorID>
      <errorWord>（</errorWord>
      <group>L1_Format</group>
      <groupName>格式问题</groupName>
      <ability>L2_HalfPunc</ability>
      <abilityName>全半角检查</abilityName>
      <candidateList>
        <item>(</item>
      </candidateList>
      <explain>文本全半角错误。</explain>
      <paraID>165373D8</paraID>
      <start>0</start>
      <end>1</end>
      <status>unmodified</status>
      <modifiedWord/>
      <trackRevisions>false</trackRevisions>
    </reviewItem>
    <reviewItem>
      <errorID>528f5566-18c4-4f20-8045-c48bdef36338</errorID>
      <errorWord>）</errorWord>
      <group>L1_Format</group>
      <groupName>格式问题</groupName>
      <ability>L2_HalfPunc</ability>
      <abilityName>全半角检查</abilityName>
      <candidateList>
        <item>)</item>
      </candidateList>
      <explain>文本全半角错误。</explain>
      <paraID>165373D8</paraID>
      <start>3</start>
      <end>4</end>
      <status>unmodified</status>
      <modifiedWord/>
      <trackRevisions>false</trackRevisions>
    </reviewItem>
    <reviewItem>
      <errorID>b0899515-b1f4-4ce5-9082-e6affe408498</errorID>
      <errorWord>（</errorWord>
      <group>L1_Format</group>
      <groupName>格式问题</groupName>
      <ability>L2_HalfPunc</ability>
      <abilityName>全半角检查</abilityName>
      <candidateList>
        <item>(</item>
      </candidateList>
      <explain>文本全半角错误。</explain>
      <paraID>7986CBF6</paraID>
      <start>0</start>
      <end>1</end>
      <status>unmodified</status>
      <modifiedWord/>
      <trackRevisions>false</trackRevisions>
    </reviewItem>
    <reviewItem>
      <errorID>ce8b460b-b0cd-454a-9827-6c5c8e947983</errorID>
      <errorWord>）</errorWord>
      <group>L1_Format</group>
      <groupName>格式问题</groupName>
      <ability>L2_HalfPunc</ability>
      <abilityName>全半角检查</abilityName>
      <candidateList>
        <item>)</item>
      </candidateList>
      <explain>文本全半角错误。</explain>
      <paraID>7986CBF6</paraID>
      <start>6</start>
      <end>7</end>
      <status>unmodified</status>
      <modifiedWord/>
      <trackRevisions>false</trackRevisions>
    </reviewItem>
    <reviewItem>
      <errorID>2cdeb6ce-9d44-4060-bb29-b5e165ed75c5</errorID>
      <errorWord>（</errorWord>
      <group>L1_Format</group>
      <groupName>格式问题</groupName>
      <ability>L2_HalfPunc</ability>
      <abilityName>全半角检查</abilityName>
      <candidateList>
        <item>(</item>
      </candidateList>
      <explain>文本全半角错误。</explain>
      <paraID>48C11D83</paraID>
      <start>0</start>
      <end>1</end>
      <status>unmodified</status>
      <modifiedWord/>
      <trackRevisions>false</trackRevisions>
    </reviewItem>
    <reviewItem>
      <errorID>bb37c931-fdfa-49d7-8347-d5935bc41d03</errorID>
      <errorWord>）</errorWord>
      <group>L1_Format</group>
      <groupName>格式问题</groupName>
      <ability>L2_HalfPunc</ability>
      <abilityName>全半角检查</abilityName>
      <candidateList>
        <item>)</item>
      </candidateList>
      <explain>文本全半角错误。</explain>
      <paraID>48C11D83</paraID>
      <start>6</start>
      <end>7</end>
      <status>unmodified</status>
      <modifiedWord/>
      <trackRevisions>false</trackRevisions>
    </reviewItem>
    <reviewItem>
      <errorID>232c26dd-7038-4370-8875-ea86aa4d2356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2BD2CBF2</paraID>
      <start>0</start>
      <end>2</end>
      <status>unmodified</status>
      <modifiedWord/>
      <trackRevisions>false</trackRevisions>
    </reviewItem>
    <reviewItem>
      <errorID>fe2b49a5-5312-460b-aa95-ed12f72f5b40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4FEBF6E5</paraID>
      <start>0</start>
      <end>2</end>
      <status>unmodified</status>
      <modifiedWord/>
      <trackRevisions>false</trackRevisions>
    </reviewItem>
    <reviewItem>
      <errorID>346d7e27-a82c-4f7a-a178-744f22805b0f</errorID>
      <errorWord>（</errorWord>
      <group>L1_Punc</group>
      <groupName>标点问题</groupName>
      <ability>L2_Punc</ability>
      <abilityName>标点符号检查</abilityName>
      <candidateList>
        <item/>
      </candidateList>
      <explain>同一形式括号套用。</explain>
      <paraID>53A5CC10</paraID>
      <start>40</start>
      <end>41</end>
      <status>unmodified</status>
      <modifiedWord/>
      <trackRevisions>false</trackRevisions>
    </reviewItem>
    <reviewItem>
      <errorID>e497a845-acab-4a89-b6ba-ee2ccb595df3</errorID>
      <errorWord>(</errorWord>
      <group>L1_Punc</group>
      <groupName>标点问题</groupName>
      <ability>L2_Punc</ability>
      <abilityName>标点符号检查</abilityName>
      <candidateList/>
      <explain>同一形式括号套用。</explain>
      <paraID>53A5CC10</paraID>
      <start>48</start>
      <end>49</end>
      <status>unmodified</status>
      <modifiedWord/>
      <trackRevisions>false</trackRevisions>
    </reviewItem>
    <reviewItem>
      <errorID>35e10727-a1f4-49f7-bb3d-8ce68de76702</errorID>
      <errorWord>)</errorWord>
      <group>L1_Punc</group>
      <groupName>标点问题</groupName>
      <ability>L2_Punc</ability>
      <abilityName>标点符号检查</abilityName>
      <candidateList/>
      <explain>同一形式括号套用。</explain>
      <paraID>53A5CC10</paraID>
      <start>50</start>
      <end>51</end>
      <status>unmodified</status>
      <modifiedWord/>
      <trackRevisions>false</trackRevisions>
    </reviewItem>
    <reviewItem>
      <errorID>1e92fdd5-27f3-4656-b906-406e8137ebbb</errorID>
      <errorWord>(</errorWord>
      <group>L1_Punc</group>
      <groupName>标点问题</groupName>
      <ability>L2_Punc</ability>
      <abilityName>标点符号检查</abilityName>
      <candidateList/>
      <explain>同一形式括号套用。</explain>
      <paraID>53A5CC10</paraID>
      <start>59</start>
      <end>60</end>
      <status>unmodified</status>
      <modifiedWord/>
      <trackRevisions>false</trackRevisions>
    </reviewItem>
    <reviewItem>
      <errorID>1d73f7de-c2b9-45a3-be04-b4f200ac71d1</errorID>
      <errorWord>)</errorWord>
      <group>L1_Punc</group>
      <groupName>标点问题</groupName>
      <ability>L2_Punc</ability>
      <abilityName>标点符号检查</abilityName>
      <candidateList/>
      <explain>同一形式括号套用。</explain>
      <paraID>53A5CC10</paraID>
      <start>61</start>
      <end>62</end>
      <status>unmodified</status>
      <modifiedWord/>
      <trackRevisions>false</trackRevisions>
    </reviewItem>
    <reviewItem>
      <errorID>929adec9-9103-44a7-b4ce-d8f8c95c1b32</errorID>
      <errorWord>）</errorWord>
      <group>L1_Punc</group>
      <groupName>标点问题</groupName>
      <ability>L2_Punc</ability>
      <abilityName>标点符号检查</abilityName>
      <candidateList/>
      <explain>同一形式括号套用。</explain>
      <paraID>53A5CC10</paraID>
      <start>62</start>
      <end>63</end>
      <status>unmodified</status>
      <modifiedWord/>
      <trackRevisions>false</trackRevisions>
    </reviewItem>
    <reviewItem>
      <errorID>0af7a911-3468-45d3-8259-117190b118ec</errorID>
      <errorWord>;</errorWord>
      <group>L1_Format</group>
      <groupName>格式问题</groupName>
      <ability>L2_HalfPunc</ability>
      <abilityName>全半角检查</abilityName>
      <candidateList>
        <item>；</item>
      </candidateList>
      <explain>文本全半角错误。</explain>
      <paraID>53A5CC10</paraID>
      <start>142</start>
      <end>143</end>
      <status>unmodified</status>
      <modifiedWord/>
      <trackRevisions>false</trackRevisions>
    </reviewItem>
    <reviewItem>
      <errorID>ed7cae4b-4b73-4e9b-ac8e-a07d57ad2cf7</errorID>
      <errorWord>该</errorWord>
      <group>L1_Word</group>
      <groupName>字词问题</groupName>
      <ability>L2_Typo</ability>
      <abilityName>字词错误</abilityName>
      <candidateList>
        <item>该在</item>
      </candidateList>
      <explain/>
      <paraID>53A5CC10</paraID>
      <start>161</start>
      <end>162</end>
      <status>unmodified</status>
      <modifiedWord/>
      <trackRevisions>false</trackRevisions>
    </reviewItem>
    <reviewItem>
      <errorID>d91dff8b-9151-41fe-bb72-8391a6c0a90a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45AECB5A</paraID>
      <start>0</start>
      <end>2</end>
      <status>unmodified</status>
      <modifiedWord/>
      <trackRevisions>false</trackRevisions>
    </reviewItem>
    <reviewItem>
      <errorID>bfe4dbb3-10ce-4e06-9374-ffc99cae34e5</errorID>
      <errorWord>:</errorWord>
      <group>L1_Format</group>
      <groupName>格式问题</groupName>
      <ability>L2_HalfPunc</ability>
      <abilityName>全半角检查</abilityName>
      <candidateList>
        <item>：</item>
      </candidateList>
      <explain>文本全半角错误。</explain>
      <paraID>28D9BBA7</paraID>
      <start>63</start>
      <end>64</end>
      <status>unmodified</status>
      <modifiedWord/>
      <trackRevisions>false</trackRevisions>
    </reviewItem>
    <reviewItem>
      <errorID>1328661d-cd7c-4e31-8413-ee754f86e9db</errorID>
      <errorWord>项</errorWord>
      <group>L1_Knowledge</group>
      <groupName>知识性问题</groupName>
      <ability>L2_Knowledge</ability>
      <abilityName>其他知识</abilityName>
      <candidateList>
        <item>批</item>
      </candidateList>
      <explain/>
      <paraID>28D9BBA7</paraID>
      <start>132</start>
      <end>133</end>
      <status>unmodified</status>
      <modifiedWord/>
      <trackRevisions>false</trackRevisions>
    </reviewItem>
    <reviewItem>
      <errorID>1cbacc58-dc65-49a8-88e7-1932ca100dc8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1C6A9ED0</paraID>
      <start>0</start>
      <end>2</end>
      <status>unmodified</status>
      <modifiedWord/>
      <trackRevisions>false</trackRevisions>
    </reviewItem>
    <reviewItem>
      <errorID>aee7952b-c1b3-474e-b786-3fd65492c3f8</errorID>
      <errorWord>~</errorWord>
      <group>L1_Format</group>
      <groupName>格式问题</groupName>
      <ability>L2_HalfPunc</ability>
      <abilityName>全半角检查</abilityName>
      <candidateList>
        <item>～</item>
      </candidateList>
      <explain>文本全半角错误。</explain>
      <paraID>46493602</paraID>
      <start>188</start>
      <end>189</end>
      <status>unmodified</status>
      <modifiedWord/>
      <trackRevisions>false</trackRevisions>
    </reviewItem>
    <reviewItem>
      <errorID>7b1e3e92-f993-4144-aa84-4124ba41d02c</errorID>
      <errorWord>~</errorWord>
      <group>L1_Format</group>
      <groupName>格式问题</groupName>
      <ability>L2_HalfPunc</ability>
      <abilityName>全半角检查</abilityName>
      <candidateList>
        <item>～</item>
      </candidateList>
      <explain>文本全半角错误。</explain>
      <paraID>46493602</paraID>
      <start>235</start>
      <end>236</end>
      <status>unmodified</status>
      <modifiedWord/>
      <trackRevisions>false</trackRevisions>
    </reviewItem>
    <reviewItem>
      <errorID>f08330a1-e2c2-4b06-a555-e66188f2b929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30AB14E2</paraID>
      <start>124</start>
      <end>125</end>
      <status>unmodified</status>
      <modifiedWord/>
      <trackRevisions>false</trackRevisions>
    </reviewItem>
    <reviewItem>
      <errorID>d18ab721-fcf4-450f-932c-87febf52577a</errorID>
      <errorWord>潮位开</errorWord>
      <group>L1_Word</group>
      <groupName>字词问题</groupName>
      <ability>L2_Typo</ability>
      <abilityName>字词错误</abilityName>
      <candidateList>
        <item>潮位</item>
      </candidateList>
      <explain/>
      <paraID>30AB14E2</paraID>
      <start>303</start>
      <end>306</end>
      <status>unmodified</status>
      <modifiedWord/>
      <trackRevisions>false</trackRevisions>
    </reviewItem>
    <reviewItem>
      <errorID>ad42aeee-d278-4217-af96-74922dbb2fa4</errorID>
      <errorWord>~</errorWord>
      <group>L1_Format</group>
      <groupName>格式问题</groupName>
      <ability>L2_HalfPunc</ability>
      <abilityName>全半角检查</abilityName>
      <candidateList>
        <item>～</item>
      </candidateList>
      <explain>文本全半角错误。</explain>
      <paraID>30AB14E2</paraID>
      <start>407</start>
      <end>408</end>
      <status>unmodified</status>
      <modifiedWord/>
      <trackRevisions>false</trackRevisions>
    </reviewItem>
    <reviewItem>
      <errorID>c77c5877-c90b-4bd9-910c-1e1519b0c554</errorID>
      <errorWord>施测</errorWord>
      <group>L1_Word</group>
      <groupName>字词问题</groupName>
      <ability>L2_Typo</ability>
      <abilityName>字词错误</abilityName>
      <candidateList>
        <item>实测</item>
      </candidateList>
      <explain/>
      <paraID>30AB14E2</paraID>
      <start>420</start>
      <end>422</end>
      <status>unmodified</status>
      <modifiedWord/>
      <trackRevisions>false</trackRevisions>
    </reviewItem>
    <reviewItem>
      <errorID>51835539-c7a6-4463-9b18-132e64db53d1</errorID>
      <errorWord>：</errorWord>
      <group>L1_Format</group>
      <groupName>格式问题</groupName>
      <ability>L2_HalfPunc</ability>
      <abilityName>全半角检查</abilityName>
      <candidateList>
        <item>:</item>
      </candidateList>
      <explain>文本全半角错误。</explain>
      <paraID> 99D1530</paraID>
      <start>69</start>
      <end>70</end>
      <status>unmodified</status>
      <modifiedWord/>
      <trackRevisions>false</trackRevisions>
    </reviewItem>
    <reviewItem>
      <errorID>a1fe7603-73f0-4792-9ba1-8d49ff7e41e0</errorID>
      <errorWord>(</errorWord>
      <group>L1_Format</group>
      <groupName>格式问题</groupName>
      <ability>L2_HalfPunc</ability>
      <abilityName>全半角检查</abilityName>
      <candidateList>
        <item>（</item>
      </candidateList>
      <explain>文本全半角错误。</explain>
      <paraID> 99D1530</paraID>
      <start>197</start>
      <end>198</end>
      <status>unmodified</status>
      <modifiedWord/>
      <trackRevisions>false</trackRevisions>
    </reviewItem>
    <reviewItem>
      <errorID>98bede78-8f10-4135-828e-74119a5eea06</errorID>
      <errorWord>)</errorWord>
      <group>L1_Format</group>
      <groupName>格式问题</groupName>
      <ability>L2_HalfPunc</ability>
      <abilityName>全半角检查</abilityName>
      <candidateList>
        <item>）</item>
      </candidateList>
      <explain>文本全半角错误。</explain>
      <paraID> 99D1530</paraID>
      <start>210</start>
      <end>211</end>
      <status>unmodified</status>
      <modifiedWord/>
      <trackRevisions>false</trackRevisions>
    </reviewItem>
    <reviewItem>
      <errorID>4f6f1009-1721-49b3-8724-02ecc3d6baf4</errorID>
      <errorWord>~</errorWord>
      <group>L1_Format</group>
      <groupName>格式问题</groupName>
      <ability>L2_HalfPunc</ability>
      <abilityName>全半角检查</abilityName>
      <candidateList>
        <item>～</item>
      </candidateList>
      <explain>文本全半角错误。</explain>
      <paraID>28451970</paraID>
      <start>49</start>
      <end>50</end>
      <status>unmodified</status>
      <modifiedWord/>
      <trackRevisions>false</trackRevisions>
    </reviewItem>
    <reviewItem>
      <errorID>d798afce-aebc-4836-8af9-aff903bcf567</errorID>
      <errorWord>作</errorWord>
      <group>L1_Word</group>
      <groupName>字词问题</groupName>
      <ability>L2_Typo</ability>
      <abilityName>字词错误</abilityName>
      <candidateList>
        <item>做</item>
      </candidateList>
      <explain>存在发音相同字词的误用。</explain>
      <paraID>28451970</paraID>
      <start>163</start>
      <end>164</end>
      <status>unmodified</status>
      <modifiedWord/>
      <trackRevisions>false</trackRevisions>
    </reviewItem>
    <reviewItem>
      <errorID>7a09aac0-0a81-46cc-a516-8eeecc567c70</errorID>
      <errorWord>(</errorWord>
      <group>L1_Format</group>
      <groupName>格式问题</groupName>
      <ability>L2_HalfPunc</ability>
      <abilityName>全半角检查</abilityName>
      <candidateList>
        <item>（</item>
      </candidateList>
      <explain>文本全半角错误。</explain>
      <paraID>28451970</paraID>
      <start>362</start>
      <end>363</end>
      <status>unmodified</status>
      <modifiedWord/>
      <trackRevisions>false</trackRevisions>
    </reviewItem>
    <reviewItem>
      <errorID>c6107553-378a-4578-921a-3387bb1bcd4c</errorID>
      <errorWord>)</errorWord>
      <group>L1_Format</group>
      <groupName>格式问题</groupName>
      <ability>L2_HalfPunc</ability>
      <abilityName>全半角检查</abilityName>
      <candidateList>
        <item>）</item>
      </candidateList>
      <explain>文本全半角错误。</explain>
      <paraID>28451970</paraID>
      <start>375</start>
      <end>376</end>
      <status>unmodified</status>
      <modifiedWord/>
      <trackRevisions>false</trackRevisions>
    </reviewItem>
    <reviewItem>
      <errorID>ad0af28d-0f5c-4fb8-8401-53ce75f78e87</errorID>
      <errorWord>较其它</errorWord>
      <group>L1_Word</group>
      <groupName>字词问题</groupName>
      <ability>L2_Alias</ability>
      <abilityName>也作/曾用词</abilityName>
      <candidateList>
        <item>较其他</item>
      </candidateList>
      <explain>词汇[较其它]为不规范表述或旧称，其规范书面表述为[较其他]。</explain>
      <paraID>254F7895</paraID>
      <start>525</start>
      <end>528</end>
      <status>unmodified</status>
      <modifiedWord/>
      <trackRevisions>false</trackRevisions>
    </reviewItem>
    <reviewItem>
      <errorID>f0cf5095-6c16-47d5-a897-a261a396daf9</errorID>
      <errorWord>.，</errorWord>
      <group>L1_Punc</group>
      <groupName>标点问题</groupName>
      <ability>L2_Punc</ability>
      <abilityName>标点符号检查</abilityName>
      <candidateList>
        <item>.</item>
      </candidateList>
      <explain/>
      <paraID>67A7F62D</paraID>
      <start>63</start>
      <end>65</end>
      <status>unmodified</status>
      <modifiedWord/>
      <trackRevisions>false</trackRevisions>
    </reviewItem>
    <reviewItem>
      <errorID>a53d2406-32c8-493b-9e8f-fb6de8363468</errorID>
      <errorWord>(</errorWord>
      <group>L1_Format</group>
      <groupName>格式问题</groupName>
      <ability>L2_HalfPunc</ability>
      <abilityName>全半角检查</abilityName>
      <candidateList>
        <item>（</item>
      </candidateList>
      <explain>文本全半角错误。</explain>
      <paraID>13A7458D</paraID>
      <start>15</start>
      <end>16</end>
      <status>unmodified</status>
      <modifiedWord/>
      <trackRevisions>false</trackRevisions>
    </reviewItem>
    <reviewItem>
      <errorID>8a9dc70e-61ec-4cfa-8f21-301f78abae0a</errorID>
      <errorWord>)</errorWord>
      <group>L1_Format</group>
      <groupName>格式问题</groupName>
      <ability>L2_HalfPunc</ability>
      <abilityName>全半角检查</abilityName>
      <candidateList>
        <item>）</item>
      </candidateList>
      <explain>文本全半角错误。</explain>
      <paraID>13A7458D</paraID>
      <start>20</start>
      <end>21</end>
      <status>unmodified</status>
      <modifiedWord/>
      <trackRevisions>false</trackRevisions>
    </reviewItem>
    <reviewItem>
      <errorID>286bc17d-a990-46d1-b86a-0bb3d450d053</errorID>
      <errorWord>(</errorWord>
      <group>L1_Format</group>
      <groupName>格式问题</groupName>
      <ability>L2_HalfPunc</ability>
      <abilityName>全半角检查</abilityName>
      <candidateList>
        <item>（</item>
      </candidateList>
      <explain>文本全半角错误。</explain>
      <paraID>78DB6F9F</paraID>
      <start>10</start>
      <end>11</end>
      <status>unmodified</status>
      <modifiedWord/>
      <trackRevisions>false</trackRevisions>
    </reviewItem>
    <reviewItem>
      <errorID>c100b166-ccea-4b74-a9d8-8f25640ec6d6</errorID>
      <errorWord>)</errorWord>
      <group>L1_Format</group>
      <groupName>格式问题</groupName>
      <ability>L2_HalfPunc</ability>
      <abilityName>全半角检查</abilityName>
      <candidateList>
        <item>）</item>
      </candidateList>
      <explain>文本全半角错误。</explain>
      <paraID>78DB6F9F</paraID>
      <start>13</start>
      <end>14</end>
      <status>unmodified</status>
      <modifiedWord/>
      <trackRevisions>false</trackRevisions>
    </reviewItem>
    <reviewItem>
      <errorID>123bf309-9735-4e9b-975e-400e54bde8db</errorID>
      <errorWord>(</errorWord>
      <group>L1_Format</group>
      <groupName>格式问题</groupName>
      <ability>L2_HalfPunc</ability>
      <abilityName>全半角检查</abilityName>
      <candidateList>
        <item>（</item>
      </candidateList>
      <explain>文本全半角错误。</explain>
      <paraID>44C1650A</paraID>
      <start>11</start>
      <end>12</end>
      <status>unmodified</status>
      <modifiedWord/>
      <trackRevisions>false</trackRevisions>
    </reviewItem>
    <reviewItem>
      <errorID>41d8a72f-45b7-4e1c-b8be-ae95c2b70511</errorID>
      <errorWord>)</errorWord>
      <group>L1_Format</group>
      <groupName>格式问题</groupName>
      <ability>L2_HalfPunc</ability>
      <abilityName>全半角检查</abilityName>
      <candidateList>
        <item>）</item>
      </candidateList>
      <explain>文本全半角错误。</explain>
      <paraID>44C1650A</paraID>
      <start>14</start>
      <end>15</end>
      <status>unmodified</status>
      <modifiedWord/>
      <trackRevisions>false</trackRevisions>
    </reviewItem>
    <reviewItem>
      <errorID>a4e647ab-38cf-491b-8b5a-9a9cb15e06aa</errorID>
      <errorWord>(</errorWord>
      <group>L1_Format</group>
      <groupName>格式问题</groupName>
      <ability>L2_HalfPunc</ability>
      <abilityName>全半角检查</abilityName>
      <candidateList>
        <item>（</item>
      </candidateList>
      <explain>文本全半角错误。</explain>
      <paraID> 87E30C1</paraID>
      <start>7</start>
      <end>8</end>
      <status>unmodified</status>
      <modifiedWord/>
      <trackRevisions>false</trackRevisions>
    </reviewItem>
    <reviewItem>
      <errorID>75e0b778-71d3-4bde-a312-f86d6ee47987</errorID>
      <errorWord>)</errorWord>
      <group>L1_Format</group>
      <groupName>格式问题</groupName>
      <ability>L2_HalfPunc</ability>
      <abilityName>全半角检查</abilityName>
      <candidateList>
        <item>）</item>
      </candidateList>
      <explain>文本全半角错误。</explain>
      <paraID> 87E30C1</paraID>
      <start>12</start>
      <end>13</end>
      <status>unmodified</status>
      <modifiedWord/>
      <trackRevisions>false</trackRevisions>
    </reviewItem>
    <reviewItem>
      <errorID>ab7e2143-8c04-4b8f-adae-6ce860028395</errorID>
      <errorWord>(</errorWord>
      <group>L1_Format</group>
      <groupName>格式问题</groupName>
      <ability>L2_HalfPunc</ability>
      <abilityName>全半角检查</abilityName>
      <candidateList>
        <item>（</item>
      </candidateList>
      <explain>文本全半角错误。</explain>
      <paraID>73389490</paraID>
      <start>11</start>
      <end>12</end>
      <status>unmodified</status>
      <modifiedWord/>
      <trackRevisions>false</trackRevisions>
    </reviewItem>
    <reviewItem>
      <errorID>69769a6f-abb0-4999-8da3-f78fea62f167</errorID>
      <errorWord>)</errorWord>
      <group>L1_Format</group>
      <groupName>格式问题</groupName>
      <ability>L2_HalfPunc</ability>
      <abilityName>全半角检查</abilityName>
      <candidateList>
        <item>）</item>
      </candidateList>
      <explain>文本全半角错误。</explain>
      <paraID>73389490</paraID>
      <start>14</start>
      <end>15</end>
      <status>unmodified</status>
      <modifiedWord/>
      <trackRevisions>false</trackRevisions>
    </reviewItem>
    <reviewItem>
      <errorID>eee5a5da-d726-4145-96d2-334f1f2a48be</errorID>
      <errorWord>(</errorWord>
      <group>L1_Format</group>
      <groupName>格式问题</groupName>
      <ability>L2_HalfPunc</ability>
      <abilityName>全半角检查</abilityName>
      <candidateList>
        <item>（</item>
      </candidateList>
      <explain>文本全半角错误。</explain>
      <paraID>76F3A074</paraID>
      <start>7</start>
      <end>8</end>
      <status>unmodified</status>
      <modifiedWord/>
      <trackRevisions>false</trackRevisions>
    </reviewItem>
    <reviewItem>
      <errorID>900cb40f-398a-42fc-825a-0c42f9ed5306</errorID>
      <errorWord>)</errorWord>
      <group>L1_Format</group>
      <groupName>格式问题</groupName>
      <ability>L2_HalfPunc</ability>
      <abilityName>全半角检查</abilityName>
      <candidateList>
        <item>）</item>
      </candidateList>
      <explain>文本全半角错误。</explain>
      <paraID>76F3A074</paraID>
      <start>12</start>
      <end>13</end>
      <status>unmodified</status>
      <modifiedWord/>
      <trackRevisions>false</trackRevisions>
    </reviewItem>
    <reviewItem>
      <errorID>6e8f6986-e900-4396-b2bb-358a28537169</errorID>
      <errorWord>(</errorWord>
      <group>L1_Format</group>
      <groupName>格式问题</groupName>
      <ability>L2_HalfPunc</ability>
      <abilityName>全半角检查</abilityName>
      <candidateList>
        <item>（</item>
      </candidateList>
      <explain>文本全半角错误。</explain>
      <paraID>77BF4421</paraID>
      <start>9</start>
      <end>10</end>
      <status>unmodified</status>
      <modifiedWord/>
      <trackRevisions>false</trackRevisions>
    </reviewItem>
    <reviewItem>
      <errorID>c5289910-68c1-4218-86e0-14bee58d10dd</errorID>
      <errorWord>)</errorWord>
      <group>L1_Format</group>
      <groupName>格式问题</groupName>
      <ability>L2_HalfPunc</ability>
      <abilityName>全半角检查</abilityName>
      <candidateList>
        <item>）</item>
      </candidateList>
      <explain>文本全半角错误。</explain>
      <paraID>77BF4421</paraID>
      <start>12</start>
      <end>13</end>
      <status>unmodified</status>
      <modifiedWord/>
      <trackRevisions>false</trackRevisions>
    </reviewItem>
    <reviewItem>
      <errorID>a7cf23dc-9940-4d8e-a788-ae9eb95f6ae2</errorID>
      <errorWord>(</errorWord>
      <group>L1_Format</group>
      <groupName>格式问题</groupName>
      <ability>L2_HalfPunc</ability>
      <abilityName>全半角检查</abilityName>
      <candidateList>
        <item>（</item>
      </candidateList>
      <explain>文本全半角错误。</explain>
      <paraID>1CF92987</paraID>
      <start>7</start>
      <end>8</end>
      <status>unmodified</status>
      <modifiedWord/>
      <trackRevisions>false</trackRevisions>
    </reviewItem>
    <reviewItem>
      <errorID>354e2d88-22e1-4fd5-a474-6d8aaf2034c4</errorID>
      <errorWord>)</errorWord>
      <group>L1_Format</group>
      <groupName>格式问题</groupName>
      <ability>L2_HalfPunc</ability>
      <abilityName>全半角检查</abilityName>
      <candidateList>
        <item>）</item>
      </candidateList>
      <explain>文本全半角错误。</explain>
      <paraID>1CF92987</paraID>
      <start>13</start>
      <end>14</end>
      <status>unmodified</status>
      <modifiedWord/>
      <trackRevisions>false</trackRevisions>
    </reviewItem>
    <reviewItem>
      <errorID>60c9e240-98ce-42bd-8ccd-5d9f4c648536</errorID>
      <errorWord>~</errorWord>
      <group>L1_Format</group>
      <groupName>格式问题</groupName>
      <ability>L2_HalfPunc</ability>
      <abilityName>全半角检查</abilityName>
      <candidateList>
        <item>～</item>
      </candidateList>
      <explain>文本全半角错误。</explain>
      <paraID>1CF92987</paraID>
      <start>37</start>
      <end>38</end>
      <status>unmodified</status>
      <modifiedWord/>
      <trackRevisions>false</trackRevisions>
    </reviewItem>
    <reviewItem>
      <errorID>43e061a3-41a6-44cc-92d9-05e0d17fc262</errorID>
      <errorWord>~</errorWord>
      <group>L1_Format</group>
      <groupName>格式问题</groupName>
      <ability>L2_HalfPunc</ability>
      <abilityName>全半角检查</abilityName>
      <candidateList>
        <item>～</item>
      </candidateList>
      <explain>文本全半角错误。</explain>
      <paraID>1CF92987</paraID>
      <start>58</start>
      <end>59</end>
      <status>unmodified</status>
      <modifiedWord/>
      <trackRevisions>false</trackRevisions>
    </reviewItem>
    <reviewItem>
      <errorID>4f5fb87e-4ac3-46b1-863d-f1be0b3d3144</errorID>
      <errorWord>(</errorWord>
      <group>L1_Format</group>
      <groupName>格式问题</groupName>
      <ability>L2_HalfPunc</ability>
      <abilityName>全半角检查</abilityName>
      <candidateList>
        <item>（</item>
      </candidateList>
      <explain>文本全半角错误。</explain>
      <paraID>59EE1599</paraID>
      <start>14</start>
      <end>15</end>
      <status>unmodified</status>
      <modifiedWord/>
      <trackRevisions>false</trackRevisions>
    </reviewItem>
    <reviewItem>
      <errorID>59c2dee2-a2d4-4ac0-9de5-0fb23739c232</errorID>
      <errorWord>)</errorWord>
      <group>L1_Format</group>
      <groupName>格式问题</groupName>
      <ability>L2_HalfPunc</ability>
      <abilityName>全半角检查</abilityName>
      <candidateList>
        <item>）</item>
      </candidateList>
      <explain>文本全半角错误。</explain>
      <paraID>59EE1599</paraID>
      <start>16</start>
      <end>17</end>
      <status>unmodified</status>
      <modifiedWord/>
      <trackRevisions>false</trackRevisions>
    </reviewItem>
    <reviewItem>
      <errorID>1543b35a-76d7-4bf1-8f69-48e272598b67</errorID>
      <errorWord>(</errorWord>
      <group>L1_Format</group>
      <groupName>格式问题</groupName>
      <ability>L2_HalfPunc</ability>
      <abilityName>全半角检查</abilityName>
      <candidateList>
        <item>（</item>
      </candidateList>
      <explain>文本全半角错误。</explain>
      <paraID>234D6444</paraID>
      <start>13</start>
      <end>14</end>
      <status>unmodified</status>
      <modifiedWord/>
      <trackRevisions>false</trackRevisions>
    </reviewItem>
    <reviewItem>
      <errorID>d793b412-bf3c-42c5-b286-e53c6c0f30d3</errorID>
      <errorWord>)</errorWord>
      <group>L1_Format</group>
      <groupName>格式问题</groupName>
      <ability>L2_HalfPunc</ability>
      <abilityName>全半角检查</abilityName>
      <candidateList>
        <item>）</item>
      </candidateList>
      <explain>文本全半角错误。</explain>
      <paraID>234D6444</paraID>
      <start>15</start>
      <end>16</end>
      <status>unmodified</status>
      <modifiedWord/>
      <trackRevisions>false</trackRevisions>
    </reviewItem>
    <reviewItem>
      <errorID>3d49436c-fb80-44e0-8469-21505eb739ed</errorID>
      <errorWord>-</errorWord>
      <group>L1_Format</group>
      <groupName>格式问题</groupName>
      <ability>L2_HalfPunc</ability>
      <abilityName>全半角检查</abilityName>
      <candidateList>
        <item>－</item>
      </candidateList>
      <explain>文本全半角错误。</explain>
      <paraID>2166A3FE</paraID>
      <start>65</start>
      <end>66</end>
      <status>unmodified</status>
      <modifiedWord/>
      <trackRevisions>false</trackRevisions>
    </reviewItem>
    <reviewItem>
      <errorID>79de8625-8b86-4bb0-8ddd-edc6fc3c9a1c</errorID>
      <errorWord>(</errorWord>
      <group>L1_Format</group>
      <groupName>格式问题</groupName>
      <ability>L2_HalfPunc</ability>
      <abilityName>全半角检查</abilityName>
      <candidateList>
        <item>（</item>
      </candidateList>
      <explain>文本全半角错误。</explain>
      <paraID>  8D53F4</paraID>
      <start>26</start>
      <end>27</end>
      <status>unmodified</status>
      <modifiedWord/>
      <trackRevisions>false</trackRevisions>
    </reviewItem>
    <reviewItem>
      <errorID>5fef0673-ce46-4fd7-937e-9aa827d27423</errorID>
      <errorWord>)</errorWord>
      <group>L1_Format</group>
      <groupName>格式问题</groupName>
      <ability>L2_HalfPunc</ability>
      <abilityName>全半角检查</abilityName>
      <candidateList>
        <item>）</item>
      </candidateList>
      <explain>文本全半角错误。</explain>
      <paraID>  8D53F4</paraID>
      <start>39</start>
      <end>40</end>
      <status>unmodified</status>
      <modifiedWord/>
      <trackRevisions>false</trackRevisions>
    </reviewItem>
    <reviewItem>
      <errorID>bb6fe27b-a6ac-44c5-9cfc-27b30c984b20</errorID>
      <errorWord>(</errorWord>
      <group>L1_Format</group>
      <groupName>格式问题</groupName>
      <ability>L2_HalfPunc</ability>
      <abilityName>全半角检查</abilityName>
      <candidateList>
        <item>（</item>
      </candidateList>
      <explain>文本全半角错误。</explain>
      <paraID>654AE92A</paraID>
      <start>25</start>
      <end>26</end>
      <status>unmodified</status>
      <modifiedWord/>
      <trackRevisions>false</trackRevisions>
    </reviewItem>
    <reviewItem>
      <errorID>61dd9b67-8897-461f-be06-d32725230903</errorID>
      <errorWord>)</errorWord>
      <group>L1_Format</group>
      <groupName>格式问题</groupName>
      <ability>L2_HalfPunc</ability>
      <abilityName>全半角检查</abilityName>
      <candidateList>
        <item>）</item>
      </candidateList>
      <explain>文本全半角错误。</explain>
      <paraID>654AE92A</paraID>
      <start>27</start>
      <end>28</end>
      <status>unmodified</status>
      <modifiedWord/>
      <trackRevisions>false</trackRevisions>
    </reviewItem>
    <reviewItem>
      <errorID>14fb1dca-e3c0-41a1-ad22-b6d10ecde712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27DFF9AF</paraID>
      <start>0</start>
      <end>2</end>
      <status>unmodified</status>
      <modifiedWord/>
      <trackRevisions>false</trackRevisions>
    </reviewItem>
    <reviewItem>
      <errorID>93f75347-55d1-4a9e-bc3e-fd310c6aea4c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33BE2A22</paraID>
      <start>0</start>
      <end>2</end>
      <status>unmodified</status>
      <modifiedWord/>
      <trackRevisions>false</trackRevisions>
    </reviewItem>
    <reviewItem>
      <errorID>10df6461-dbb4-4da5-be21-4736fa0f10de</errorID>
      <errorWord>腮</errorWord>
      <group>L1_Word</group>
      <groupName>字词问题</groupName>
      <ability>L2_Typo</ability>
      <abilityName>字词错误</abilityName>
      <candidateList>
        <item>鳃</item>
      </candidateList>
      <explain/>
      <paraID>46A604EE</paraID>
      <start>47</start>
      <end>48</end>
      <status>unmodified</status>
      <modifiedWord/>
      <trackRevisions>false</trackRevisions>
    </reviewItem>
    <reviewItem>
      <errorID>e058748f-0742-4657-b8b8-083596ab442e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639F55D1</paraID>
      <start>199</start>
      <end>200</end>
      <status>unmodified</status>
      <modifiedWord/>
      <trackRevisions>false</trackRevisions>
    </reviewItem>
    <reviewItem>
      <errorID>26dd1be0-d4c9-4a92-a8c0-a05ffee94cb7</errorID>
      <errorWord>]</errorWord>
      <group>L1_Punc</group>
      <groupName>标点问题</groupName>
      <ability>L2_Punc</ability>
      <abilityName>标点符号检查</abilityName>
      <candidateList/>
      <explain/>
      <paraID>6CE12BD8</paraID>
      <start>29</start>
      <end>30</end>
      <status>unmodified</status>
      <modifiedWord/>
      <trackRevisions>false</trackRevisions>
    </reviewItem>
    <reviewItem>
      <errorID>a6a96f09-64f2-403d-b8b2-3258419c9eb6</errorID>
      <errorWord>（</errorWord>
      <group>L1_Punc</group>
      <groupName>标点问题</groupName>
      <ability>L2_Punc</ability>
      <abilityName>标点符号检查</abilityName>
      <candidateList/>
      <explain>同一形式括号套用。</explain>
      <paraID>268287AF</paraID>
      <start>114</start>
      <end>115</end>
      <status>unmodified</status>
      <modifiedWord/>
      <trackRevisions>false</trackRevisions>
    </reviewItem>
    <reviewItem>
      <errorID>55cb1005-45d4-498c-a292-9de27e0d221e</errorID>
      <errorWord>）</errorWord>
      <group>L1_Punc</group>
      <groupName>标点问题</groupName>
      <ability>L2_Punc</ability>
      <abilityName>标点符号检查</abilityName>
      <candidateList/>
      <explain>同一形式括号套用。</explain>
      <paraID>268287AF</paraID>
      <start>119</start>
      <end>120</end>
      <status>unmodified</status>
      <modifiedWord/>
      <trackRevisions>false</trackRevisions>
    </reviewItem>
    <reviewItem>
      <errorID>9f2bd5f3-3798-4093-b47a-17c0735238aa</errorID>
      <errorWord>~</errorWord>
      <group>L1_Format</group>
      <groupName>格式问题</groupName>
      <ability>L2_HalfPunc</ability>
      <abilityName>全半角检查</abilityName>
      <candidateList>
        <item>～</item>
      </candidateList>
      <explain>文本全半角错误。</explain>
      <paraID>5950BB54</paraID>
      <start>38</start>
      <end>39</end>
      <status>unmodified</status>
      <modifiedWord/>
      <trackRevisions>false</trackRevisions>
    </reviewItem>
    <reviewItem>
      <errorID>babab35c-9823-4c5e-8af5-544e5248c92e</errorID>
      <errorWord>~</errorWord>
      <group>L1_Format</group>
      <groupName>格式问题</groupName>
      <ability>L2_HalfPunc</ability>
      <abilityName>全半角检查</abilityName>
      <candidateList>
        <item>～</item>
      </candidateList>
      <explain>文本全半角错误。</explain>
      <paraID>77BEF69C</paraID>
      <start>39</start>
      <end>40</end>
      <status>unmodified</status>
      <modifiedWord/>
      <trackRevisions>false</trackRevisions>
    </reviewItem>
    <reviewItem>
      <errorID>1a2d5c44-7259-483b-afda-4b098a266196</errorID>
      <errorWord>(</errorWord>
      <group>L1_Format</group>
      <groupName>格式问题</groupName>
      <ability>L2_HalfPunc</ability>
      <abilityName>全半角检查</abilityName>
      <candidateList>
        <item>（</item>
      </candidateList>
      <explain>文本全半角错误。</explain>
      <paraID>6D3C1277</paraID>
      <start>2</start>
      <end>3</end>
      <status>unmodified</status>
      <modifiedWord/>
      <trackRevisions>false</trackRevisions>
    </reviewItem>
    <reviewItem>
      <errorID>3203f74f-5732-4d63-97da-8d36368acb1e</errorID>
      <errorWord>组份均</errorWord>
      <group>L1_Word</group>
      <groupName>字词问题</groupName>
      <ability>L2_Variant</ability>
      <abilityName>异形词</abilityName>
      <candidateList>
        <item>组分均</item>
      </candidateList>
      <explain>词汇[组份均]的规范词形写作[组分均]。</explain>
      <paraID>638007B7</paraID>
      <start>120</start>
      <end>123</end>
      <status>unmodified</status>
      <modifiedWord/>
      <trackRevisions>false</trackRevisions>
    </reviewItem>
    <reviewItem>
      <errorID>633dc7a2-5bbe-42a1-8009-58dab304b464</errorID>
      <errorWord>)</errorWord>
      <group>L1_Format</group>
      <groupName>格式问题</groupName>
      <ability>L2_HalfPunc</ability>
      <abilityName>全半角检查</abilityName>
      <candidateList>
        <item>）</item>
      </candidateList>
      <explain>文本全半角错误。</explain>
      <paraID>638007B7</paraID>
      <start>179</start>
      <end>180</end>
      <status>unmodified</status>
      <modifiedWord/>
      <trackRevisions>false</trackRevisions>
    </reviewItem>
    <reviewItem>
      <errorID>79c87b55-216b-4a68-95f9-0f9f522bb649</errorID>
      <errorWord>：/</errorWord>
      <group>L1_Punc</group>
      <groupName>标点问题</groupName>
      <ability>L2_Punc</ability>
      <abilityName>标点符号检查</abilityName>
      <candidateList>
        <item>：</item>
      </candidateList>
      <explain/>
      <paraID>63399634</paraID>
      <start>6</start>
      <end>8</end>
      <status>unmodified</status>
      <modifiedWord/>
      <trackRevisions>false</trackRevisions>
    </reviewItem>
    <reviewItem>
      <errorID>524593cc-17c2-4f4d-8362-f995271cbb51</errorID>
      <errorWord>：</errorWord>
      <group>L1_Format</group>
      <groupName>格式问题</groupName>
      <ability>L2_HalfPunc</ability>
      <abilityName>全半角检查</abilityName>
      <candidateList>
        <item>:</item>
      </candidateList>
      <explain>文本全半角错误。</explain>
      <paraID>16CC1DBD</paraID>
      <start>12</start>
      <end>13</end>
      <status>unmodified</status>
      <modifiedWord/>
      <trackRevisions>false</trackRevisions>
    </reviewItem>
    <reviewItem>
      <errorID>e2330945-4ce1-4e91-bb5e-f3c552ebd686</errorID>
      <errorWord>与</errorWord>
      <group>L1_Word</group>
      <groupName>字词问题</groupName>
      <ability>L2_Typo</ability>
      <abilityName>字词错误</abilityName>
      <candidateList>
        <item>遇</item>
      </candidateList>
      <explain>存在发音相同字词的误用。</explain>
      <paraID>3C0D5D76</paraID>
      <start>21</start>
      <end>22</end>
      <status>unmodified</status>
      <modifiedWord/>
      <trackRevisions>false</trackRevisions>
    </reviewItem>
    <reviewItem>
      <errorID>ed151d2c-7a7a-467c-a25c-e0af882dff84</errorID>
      <errorWord>潜势</errorWord>
      <group>L1_Word</group>
      <groupName>字词问题</groupName>
      <ability>L2_Typo</ability>
      <abilityName>字词错误</abilityName>
      <candidateList>
        <item>趋势</item>
      </candidateList>
      <explain/>
      <paraID>3E8F8AC7</paraID>
      <start>132</start>
      <end>134</end>
      <status>unmodified</status>
      <modifiedWord/>
      <trackRevisions>false</trackRevisions>
    </reviewItem>
    <reviewItem>
      <errorID>d5817594-6d22-4698-a851-1683a58479e0</errorID>
      <errorWord>(</errorWord>
      <group>L1_Format</group>
      <groupName>格式问题</groupName>
      <ability>L2_HalfPunc</ability>
      <abilityName>全半角检查</abilityName>
      <candidateList>
        <item>（</item>
      </candidateList>
      <explain>文本全半角错误。</explain>
      <paraID>40B99A5E</paraID>
      <start>14</start>
      <end>15</end>
      <status>unmodified</status>
      <modifiedWord/>
      <trackRevisions>false</trackRevisions>
    </reviewItem>
    <reviewItem>
      <errorID>39acd461-eb5c-4760-9e9c-6460266eb285</errorID>
      <errorWord>)</errorWord>
      <group>L1_Format</group>
      <groupName>格式问题</groupName>
      <ability>L2_HalfPunc</ability>
      <abilityName>全半角检查</abilityName>
      <candidateList>
        <item>）</item>
      </candidateList>
      <explain>文本全半角错误。</explain>
      <paraID>40B99A5E</paraID>
      <start>18</start>
      <end>19</end>
      <status>unmodified</status>
      <modifiedWord/>
      <trackRevisions>false</trackRevisions>
    </reviewItem>
    <reviewItem>
      <errorID>f1ab2a4a-0d20-439b-a7f5-4111c2049a38</errorID>
      <errorWord>(</errorWord>
      <group>L1_Format</group>
      <groupName>格式问题</groupName>
      <ability>L2_HalfPunc</ability>
      <abilityName>全半角检查</abilityName>
      <candidateList>
        <item>（</item>
      </candidateList>
      <explain>文本全半角错误。</explain>
      <paraID>40B99A5E</paraID>
      <start>32</start>
      <end>33</end>
      <status>unmodified</status>
      <modifiedWord/>
      <trackRevisions>false</trackRevisions>
    </reviewItem>
    <reviewItem>
      <errorID>fdac3982-cc2b-440a-b89c-0f5b1714538b</errorID>
      <errorWord>)</errorWord>
      <group>L1_Format</group>
      <groupName>格式问题</groupName>
      <ability>L2_HalfPunc</ability>
      <abilityName>全半角检查</abilityName>
      <candidateList>
        <item>）</item>
      </candidateList>
      <explain>文本全半角错误。</explain>
      <paraID>40B99A5E</paraID>
      <start>34</start>
      <end>35</end>
      <status>unmodified</status>
      <modifiedWord/>
      <trackRevisions>false</trackRevisions>
    </reviewItem>
    <reviewItem>
      <errorID>3b0d60ed-762f-4cb2-907b-1262e0f41327</errorID>
      <errorWord>，…，</errorWord>
      <group>L1_Punc</group>
      <groupName>标点问题</groupName>
      <ability>L2_Punc</ability>
      <abilityName>标点符号检查</abilityName>
      <candidateList>
        <item>，</item>
      </candidateList>
      <explain/>
      <paraID>2EAB3404</paraID>
      <start>5</start>
      <end>8</end>
      <status>unmodified</status>
      <modifiedWord/>
      <trackRevisions>false</trackRevisions>
    </reviewItem>
    <reviewItem>
      <errorID>dcfaf793-2978-4d87-a710-f1609cb90ec6</errorID>
      <errorWord>，…，</errorWord>
      <group>L1_Punc</group>
      <groupName>标点问题</groupName>
      <ability>L2_Punc</ability>
      <abilityName>标点符号检查</abilityName>
      <candidateList>
        <item>，</item>
      </candidateList>
      <explain/>
      <paraID>46ABF06F</paraID>
      <start>5</start>
      <end>8</end>
      <status>unmodified</status>
      <modifiedWord/>
      <trackRevisions>false</trackRevisions>
    </reviewItem>
    <reviewItem>
      <errorID>06ebfcce-f972-4339-8b8e-2edb87e5132b</errorID>
      <errorWord>期</errorWord>
      <group>L1_Word</group>
      <groupName>字词问题</groupName>
      <ability>L2_Typo</ability>
      <abilityName>字词错误</abilityName>
      <candidateList>
        <item>期间</item>
      </candidateList>
      <explain>〈名〉某个时期里面：农忙～｜春节～｜抗战～。</explain>
      <paraID>133AAE5F</paraID>
      <start>55</start>
      <end>56</end>
      <status>unmodified</status>
      <modifiedWord/>
      <trackRevisions>false</trackRevisions>
    </reviewItem>
    <reviewItem>
      <errorID>ea55d5be-a2bf-44da-9b4d-ce5934cfd58c</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5E697F27</paraID>
      <start>87</start>
      <end>88</end>
      <status>unmodified</status>
      <modifiedWord/>
      <trackRevisions>false</trackRevisions>
    </reviewItem>
    <reviewItem>
      <errorID>55d3f2e1-e2c7-4099-b71c-b25bb22a6ac8</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5E697F27</paraID>
      <start>94</start>
      <end>95</end>
      <status>unmodified</status>
      <modifiedWord/>
      <trackRevisions>false</trackRevisions>
    </reviewItem>
    <reviewItem>
      <errorID>8e0437ab-92b3-4a7d-8848-a9df1f4617d0</errorID>
      <errorWord>~</errorWord>
      <group>L1_Format</group>
      <groupName>格式问题</groupName>
      <ability>L2_HalfPunc</ability>
      <abilityName>全半角检查</abilityName>
      <candidateList>
        <item>～</item>
      </candidateList>
      <explain>文本全半角错误。</explain>
      <paraID>42AD70D6</paraID>
      <start>131</start>
      <end>132</end>
      <status>unmodified</status>
      <modifiedWord/>
      <trackRevisions>false</trackRevisions>
    </reviewItem>
    <reviewItem>
      <errorID>69a0329c-e52e-40ca-9b10-2696c8e7ea51</errorID>
      <errorWord>~</errorWord>
      <group>L1_Format</group>
      <groupName>格式问题</groupName>
      <ability>L2_HalfPunc</ability>
      <abilityName>全半角检查</abilityName>
      <candidateList>
        <item>～</item>
      </candidateList>
      <explain>文本全半角错误。</explain>
      <paraID>42AD70D6</paraID>
      <start>167</start>
      <end>168</end>
      <status>unmodified</status>
      <modifiedWord/>
      <trackRevisions>false</trackRevisions>
    </reviewItem>
    <reviewItem>
      <errorID>4120070c-3750-4e00-a4d9-9b223537a59f</errorID>
      <errorWord>~</errorWord>
      <group>L1_Format</group>
      <groupName>格式问题</groupName>
      <ability>L2_HalfPunc</ability>
      <abilityName>全半角检查</abilityName>
      <candidateList>
        <item>～</item>
      </candidateList>
      <explain>文本全半角错误。</explain>
      <paraID> E90B9C1</paraID>
      <start>250</start>
      <end>251</end>
      <status>unmodified</status>
      <modifiedWord/>
      <trackRevisions>false</trackRevisions>
    </reviewItem>
    <reviewItem>
      <errorID>e77d1c8a-0a37-4203-8b7a-1449d4dddb91</errorID>
      <errorWord>-</errorWord>
      <group>L1_Format</group>
      <groupName>格式问题</groupName>
      <ability>L2_HalfPunc</ability>
      <abilityName>全半角检查</abilityName>
      <candidateList>
        <item>－</item>
      </candidateList>
      <explain>文本全半角错误。</explain>
      <paraID>1B68F475</paraID>
      <start>79</start>
      <end>80</end>
      <status>unmodified</status>
      <modifiedWord/>
      <trackRevisions>false</trackRevisions>
    </reviewItem>
    <reviewItem>
      <errorID>128a66fc-d1a2-4df9-9510-2f095c4ae8ab</errorID>
      <errorWord>项目项目建设</errorWord>
      <group>L1_Word</group>
      <groupName>字词问题</groupName>
      <ability>L2_Typo</ability>
      <abilityName>字词错误</abilityName>
      <candidateList>
        <item>项目建设</item>
      </candidateList>
      <explain/>
      <paraID> 4F97D24</paraID>
      <start>92</start>
      <end>98</end>
      <status>unmodified</status>
      <modifiedWord/>
      <trackRevisions>false</trackRevisions>
    </reviewItem>
    <reviewItem>
      <errorID>5056b3d8-c871-4dd3-9a11-b209f1713f35</errorID>
      <errorWord>后续本</errorWord>
      <group>L1_Word</group>
      <groupName>字词问题</groupName>
      <ability>L2_Typo</ability>
      <abilityName>字词错误</abilityName>
      <candidateList>
        <item>后续</item>
      </candidateList>
      <explain/>
      <paraID>3584AA00</paraID>
      <start>181</start>
      <end>184</end>
      <status>unmodified</status>
      <modifiedWord/>
      <trackRevisions>false</trackRevisions>
    </reviewItem>
    <reviewItem>
      <errorID>9866c2a4-349a-4f6a-96d6-1e2e061023f5</errorID>
      <errorWord>也</errorWord>
      <group>L1_Word</group>
      <groupName>字词问题</groupName>
      <ability>L2_Typo</ability>
      <abilityName>字词错误</abilityName>
      <candidateList>
        <item>也有</item>
      </candidateList>
      <explain/>
      <paraID>3584AA00</paraID>
      <start>194</start>
      <end>195</end>
      <status>unmodified</status>
      <modifiedWord/>
      <trackRevisions>false</trackRevisions>
    </reviewItem>
    <reviewItem>
      <errorID>715382c4-e1f7-45ef-bfc3-e344a1fc19d6</errorID>
      <errorWord>-</errorWord>
      <group>L1_Format</group>
      <groupName>格式问题</groupName>
      <ability>L2_HalfPunc</ability>
      <abilityName>全半角检查</abilityName>
      <candidateList>
        <item>－</item>
      </candidateList>
      <explain>文本全半角错误。</explain>
      <paraID>1D777532</paraID>
      <start>15</start>
      <end>16</end>
      <status>unmodified</status>
      <modifiedWord/>
      <trackRevisions>false</trackRevisions>
    </reviewItem>
    <reviewItem>
      <errorID>9d258f47-654d-4151-8a72-6f29724b9493</errorID>
      <errorWord>-</errorWord>
      <group>L1_Format</group>
      <groupName>格式问题</groupName>
      <ability>L2_HalfPunc</ability>
      <abilityName>全半角检查</abilityName>
      <candidateList>
        <item>－</item>
      </candidateList>
      <explain>文本全半角错误。</explain>
      <paraID>1D777532</paraID>
      <start>19</start>
      <end>20</end>
      <status>unmodified</status>
      <modifiedWord/>
      <trackRevisions>false</trackRevisions>
    </reviewItem>
    <reviewItem>
      <errorID>653cfb56-36ac-44d2-9c2a-a17372222b4c</errorID>
      <errorWord>侧</errorWord>
      <group>L1_Word</group>
      <groupName>字词问题</groupName>
      <ability>L2_Typo</ability>
      <abilityName>字词错误</abilityName>
      <candidateList>
        <item>侧为</item>
      </candidateList>
      <explain/>
      <paraID>4443AA6F</paraID>
      <start>22</start>
      <end>23</end>
      <status>unmodified</status>
      <modifiedWord/>
      <trackRevisions>false</trackRevisions>
    </reviewItem>
    <reviewItem>
      <errorID>8f7f116c-09bc-49c5-a270-0e332ec7bd81</errorID>
      <errorWord>期</errorWord>
      <group>L1_Word</group>
      <groupName>字词问题</groupName>
      <ability>L2_Typo</ability>
      <abilityName>字词错误</abilityName>
      <candidateList>
        <item>期间</item>
      </candidateList>
      <explain>〈名〉某个时期里面：农忙～｜春节～｜抗战～。</explain>
      <paraID>4443AA6F</paraID>
      <start>63</start>
      <end>64</end>
      <status>unmodified</status>
      <modifiedWord/>
      <trackRevisions>false</trackRevisions>
    </reviewItem>
    <reviewItem>
      <errorID>efaf85ea-0e54-4ebd-8d94-96ca9b5a8904</errorID>
      <errorWord>源</errorWord>
      <group>L1_Word</group>
      <groupName>字词问题</groupName>
      <ability>L2_Typo</ability>
      <abilityName>字词错误</abilityName>
      <candidateList>
        <item>源和</item>
      </candidateList>
      <explain/>
      <paraID>4443AA6F</paraID>
      <start>127</start>
      <end>128</end>
      <status>unmodified</status>
      <modifiedWord/>
      <trackRevisions>false</trackRevisions>
    </reviewItem>
    <reviewItem>
      <errorID>d0cdfbdc-5db1-4ec1-abe1-62873643a25e</errorID>
      <errorWord>中国人民共和国</errorWord>
      <group>L1_Political</group>
      <groupName>政治性问题</groupName>
      <ability>L2_Unpolitical</ability>
      <abilityName>政治敏感错误</abilityName>
      <candidateList>
        <item>中华人民共和国</item>
      </candidateList>
      <explain/>
      <paraID>7DA4AEA0</paraID>
      <start>10</start>
      <end>17</end>
      <status>unmodified</status>
      <modifiedWord/>
      <trackRevisions>false</trackRevisions>
    </reviewItem>
    <reviewItem>
      <errorID>aff7a660-798b-47ed-8d55-4bcd5f928bc8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3D67F6D5</paraID>
      <start>0</start>
      <end>2</end>
      <status>unmodified</status>
      <modifiedWord/>
      <trackRevisions>false</trackRevisions>
    </reviewItem>
    <reviewItem>
      <errorID>c2aaed56-7634-4f4c-830e-697abe8c43e3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414F7746</paraID>
      <start>0</start>
      <end>2</end>
      <status>unmodified</status>
      <modifiedWord/>
      <trackRevisions>false</trackRevisions>
    </reviewItem>
    <reviewItem>
      <errorID>1a288f38-fe32-4dc2-864f-4cce3a440b38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12E5C2C5</paraID>
      <start>0</start>
      <end>2</end>
      <status>unmodified</status>
      <modifiedWord/>
      <trackRevisions>false</trackRevisions>
    </reviewItem>
    <reviewItem>
      <errorID>4d976c63-2864-4d22-822d-cec030c79564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4EECB58</paraID>
      <start>0</start>
      <end>2</end>
      <status>unmodified</status>
      <modifiedWord/>
      <trackRevisions>false</trackRevisions>
    </reviewItem>
    <reviewItem>
      <errorID>263922e4-badf-4f20-8c87-24c941f06787</errorID>
      <errorWord>有限电话</errorWord>
      <group>L1_Word</group>
      <groupName>字词问题</groupName>
      <ability>L2_Typo</ability>
      <abilityName>字词错误</abilityName>
      <candidateList>
        <item>有线电话</item>
      </candidateList>
      <explain/>
      <paraID> 396F155</paraID>
      <start>14</start>
      <end>18</end>
      <status>modified</status>
      <modifiedWord>有线电话</modifiedWord>
      <trackRevisions>false</trackRevisions>
    </reviewItem>
    <reviewItem>
      <errorID>28ebb41f-9991-47fc-aa64-eb02059539fd</errorID>
      <errorWord>防治</errorWord>
      <group>L1_Word</group>
      <groupName>字词问题</groupName>
      <ability>L2_Typo</ability>
      <abilityName>字词错误</abilityName>
      <candidateList>
        <item>防止</item>
      </candidateList>
      <explain>〈动〉预先设法制止（坏事发生）：～煤气中毒｜～交通事故。</explain>
      <paraID> 396F155</paraID>
      <start>194</start>
      <end>196</end>
      <status>modified</status>
      <modifiedWord>防止</modifiedWord>
      <trackRevisions>false</trackRevisions>
    </reviewItem>
    <reviewItem>
      <errorID>1b3f5e3a-789c-4b9d-8daf-85bc998ee677</errorID>
      <errorWord>起动</errorWord>
      <group>L1_Word</group>
      <groupName>字词问题</groupName>
      <ability>L2_Typo</ability>
      <abilityName>字词错误</abilityName>
      <candidateList>
        <item>启动</item>
      </candidateList>
      <explain>〈动〉❶（机器、仪表、电气设备等）开始工作：～电流｜～继电器｜车轮～。❷（法令、规划、方案等）开始实施或进行：扶贫工程已正式～。❸开拓；发动：～农村市场｜大力～消费需求。</explain>
      <paraID> 396F155</paraID>
      <start>284</start>
      <end>286</end>
      <status>modified</status>
      <modifiedWord>启动</modifiedWord>
      <trackRevisions>false</trackRevisions>
    </reviewItem>
    <reviewItem>
      <errorID>d68304ff-50df-4df9-814a-9d5f31229c3e</errorID>
      <errorWord>监测站位</errorWord>
      <group>L1_Knowledge</group>
      <groupName>知识性问题</groupName>
      <ability>L2_Term</ability>
      <abilityName>专业术语</abilityName>
      <candidateList>
        <item>监测点位</item>
      </candidateList>
      <explain/>
      <paraID>65CF230E</paraID>
      <start>60</start>
      <end>64</end>
      <status>modified</status>
      <modifiedWord>监测点位</modifiedWord>
      <trackRevisions>false</trackRevisions>
    </reviewItem>
    <reviewItem>
      <errorID>b251aa81-f984-4aec-80d1-1627d4f269c5</errorID>
      <errorWord>(</errorWord>
      <group>L1_Format</group>
      <groupName>格式问题</groupName>
      <ability>L2_HalfPunc</ability>
      <abilityName>全半角检查</abilityName>
      <candidateList>
        <item>（</item>
      </candidateList>
      <explain>文本全半角错误。</explain>
      <paraID>52CD4CE8</paraID>
      <start>26</start>
      <end>27</end>
      <status>unmodified</status>
      <modifiedWord/>
      <trackRevisions>false</trackRevisions>
    </reviewItem>
    <reviewItem>
      <errorID>b05277f1-2534-4ab7-80de-a8244d9e0963</errorID>
      <errorWord>)</errorWord>
      <group>L1_Format</group>
      <groupName>格式问题</groupName>
      <ability>L2_HalfPunc</ability>
      <abilityName>全半角检查</abilityName>
      <candidateList>
        <item>）</item>
      </candidateList>
      <explain>文本全半角错误。</explain>
      <paraID>52CD4CE8</paraID>
      <start>29</start>
      <end>30</end>
      <status>unmodified</status>
      <modifiedWord/>
      <trackRevisions>false</trackRevisions>
    </reviewItem>
    <reviewItem>
      <errorID>6c51f7ce-afe9-4d27-ac71-ad8ac78b9a82</errorID>
      <errorWord>(</errorWord>
      <group>L1_Format</group>
      <groupName>格式问题</groupName>
      <ability>L2_HalfPunc</ability>
      <abilityName>全半角检查</abilityName>
      <candidateList>
        <item>（</item>
      </candidateList>
      <explain>文本全半角错误。</explain>
      <paraID>52CD4CE8</paraID>
      <start>36</start>
      <end>37</end>
      <status>unmodified</status>
      <modifiedWord/>
      <trackRevisions>false</trackRevisions>
    </reviewItem>
    <reviewItem>
      <errorID>18f5c739-d84b-4016-b51f-1d1cc635ff01</errorID>
      <errorWord>)</errorWord>
      <group>L1_Format</group>
      <groupName>格式问题</groupName>
      <ability>L2_HalfPunc</ability>
      <abilityName>全半角检查</abilityName>
      <candidateList>
        <item>）</item>
      </candidateList>
      <explain>文本全半角错误。</explain>
      <paraID>52CD4CE8</paraID>
      <start>40</start>
      <end>41</end>
      <status>unmodified</status>
      <modifiedWord/>
      <trackRevisions>false</trackRevisions>
    </reviewItem>
    <reviewItem>
      <errorID>556f402f-c754-416f-8e83-92f9f310db8a</errorID>
      <errorWord>(</errorWord>
      <group>L1_Format</group>
      <groupName>格式问题</groupName>
      <ability>L2_HalfPunc</ability>
      <abilityName>全半角检查</abilityName>
      <candidateList>
        <item>（</item>
      </candidateList>
      <explain>文本全半角错误。</explain>
      <paraID>52CD4CE8</paraID>
      <start>84</start>
      <end>85</end>
      <status>unmodified</status>
      <modifiedWord/>
      <trackRevisions>false</trackRevisions>
    </reviewItem>
    <reviewItem>
      <errorID>3187fb04-4381-4e9f-94b0-38ae3dcb0b15</errorID>
      <errorWord>)</errorWord>
      <group>L1_Format</group>
      <groupName>格式问题</groupName>
      <ability>L2_HalfPunc</ability>
      <abilityName>全半角检查</abilityName>
      <candidateList>
        <item>）</item>
      </candidateList>
      <explain>文本全半角错误。</explain>
      <paraID>52CD4CE8</paraID>
      <start>87</start>
      <end>88</end>
      <status>unmodified</status>
      <modifiedWord/>
      <trackRevisions>false</trackRevisions>
    </reviewItem>
    <reviewItem>
      <errorID>a0c8c5e0-6c8b-4557-86f3-0f3c4470f82d</errorID>
      <errorWord>(</errorWord>
      <group>L1_Format</group>
      <groupName>格式问题</groupName>
      <ability>L2_HalfPunc</ability>
      <abilityName>全半角检查</abilityName>
      <candidateList>
        <item>（</item>
      </candidateList>
      <explain>文本全半角错误。</explain>
      <paraID>52CD4CE8</paraID>
      <start>90</start>
      <end>91</end>
      <status>unmodified</status>
      <modifiedWord/>
      <trackRevisions>false</trackRevisions>
    </reviewItem>
    <reviewItem>
      <errorID>68128341-149d-4c3c-aff3-9b8afc1f1726</errorID>
      <errorWord>)</errorWord>
      <group>L1_Format</group>
      <groupName>格式问题</groupName>
      <ability>L2_HalfPunc</ability>
      <abilityName>全半角检查</abilityName>
      <candidateList>
        <item>）</item>
      </candidateList>
      <explain>文本全半角错误。</explain>
      <paraID>52CD4CE8</paraID>
      <start>93</start>
      <end>94</end>
      <status>unmodified</status>
      <modifiedWord/>
      <trackRevisions>false</trackRevisions>
    </reviewItem>
    <reviewItem>
      <errorID>7e2d692c-e649-4ad7-86c6-9b90b38d3164</errorID>
      <errorWord>(</errorWord>
      <group>L1_Format</group>
      <groupName>格式问题</groupName>
      <ability>L2_HalfPunc</ability>
      <abilityName>全半角检查</abilityName>
      <candidateList>
        <item>（</item>
      </candidateList>
      <explain>文本全半角错误。</explain>
      <paraID>52CD4CE8</paraID>
      <start>96</start>
      <end>97</end>
      <status>unmodified</status>
      <modifiedWord/>
      <trackRevisions>false</trackRevisions>
    </reviewItem>
    <reviewItem>
      <errorID>643de865-e083-4acd-95f6-59a312d41f5e</errorID>
      <errorWord>)</errorWord>
      <group>L1_Format</group>
      <groupName>格式问题</groupName>
      <ability>L2_HalfPunc</ability>
      <abilityName>全半角检查</abilityName>
      <candidateList>
        <item>）</item>
      </candidateList>
      <explain>文本全半角错误。</explain>
      <paraID>52CD4CE8</paraID>
      <start>99</start>
      <end>100</end>
      <status>unmodified</status>
      <modifiedWord/>
      <trackRevisions>false</trackRevisions>
    </reviewItem>
    <reviewItem>
      <errorID>21f52989-e3a9-4fea-b309-643c3fa9223d</errorID>
      <errorWord>(</errorWord>
      <group>L1_Format</group>
      <groupName>格式问题</groupName>
      <ability>L2_HalfPunc</ability>
      <abilityName>全半角检查</abilityName>
      <candidateList>
        <item>（</item>
      </candidateList>
      <explain>文本全半角错误。</explain>
      <paraID>52CD4CE8</paraID>
      <start>102</start>
      <end>103</end>
      <status>unmodified</status>
      <modifiedWord/>
      <trackRevisions>false</trackRevisions>
    </reviewItem>
    <reviewItem>
      <errorID>d2697fcc-329c-47c1-8316-f4179848fba1</errorID>
      <errorWord>)</errorWord>
      <group>L1_Format</group>
      <groupName>格式问题</groupName>
      <ability>L2_HalfPunc</ability>
      <abilityName>全半角检查</abilityName>
      <candidateList>
        <item>）</item>
      </candidateList>
      <explain>文本全半角错误。</explain>
      <paraID>52CD4CE8</paraID>
      <start>105</start>
      <end>106</end>
      <status>unmodified</status>
      <modifiedWord/>
      <trackRevisions>false</trackRevisions>
    </reviewItem>
    <reviewItem>
      <errorID>73df4f1d-ebd7-4700-a3f6-55df5d935589</errorID>
      <errorWord>(</errorWord>
      <group>L1_Format</group>
      <groupName>格式问题</groupName>
      <ability>L2_HalfPunc</ability>
      <abilityName>全半角检查</abilityName>
      <candidateList>
        <item>（</item>
      </candidateList>
      <explain>文本全半角错误。</explain>
      <paraID>52CD4CE8</paraID>
      <start>109</start>
      <end>110</end>
      <status>unmodified</status>
      <modifiedWord/>
      <trackRevisions>false</trackRevisions>
    </reviewItem>
    <reviewItem>
      <errorID>ef21a6ad-3988-4eed-be6a-f19e0874c92e</errorID>
      <errorWord>)</errorWord>
      <group>L1_Format</group>
      <groupName>格式问题</groupName>
      <ability>L2_HalfPunc</ability>
      <abilityName>全半角检查</abilityName>
      <candidateList>
        <item>）</item>
      </candidateList>
      <explain>文本全半角错误。</explain>
      <paraID>52CD4CE8</paraID>
      <start>112</start>
      <end>113</end>
      <status>unmodified</status>
      <modifiedWord/>
      <trackRevisions>false</trackRevisions>
    </reviewItem>
    <reviewItem>
      <errorID>f83d083c-8a5c-4a86-b463-1b986cc60f54</errorID>
      <errorWord>(</errorWord>
      <group>L1_Format</group>
      <groupName>格式问题</groupName>
      <ability>L2_HalfPunc</ability>
      <abilityName>全半角检查</abilityName>
      <candidateList>
        <item>（</item>
      </candidateList>
      <explain>文本全半角错误。</explain>
      <paraID>52CD4CE8</paraID>
      <start>115</start>
      <end>116</end>
      <status>unmodified</status>
      <modifiedWord/>
      <trackRevisions>false</trackRevisions>
    </reviewItem>
    <reviewItem>
      <errorID>14e97d38-4973-4e6f-b975-5ab912c7c3dd</errorID>
      <errorWord>)</errorWord>
      <group>L1_Format</group>
      <groupName>格式问题</groupName>
      <ability>L2_HalfPunc</ability>
      <abilityName>全半角检查</abilityName>
      <candidateList>
        <item>）</item>
      </candidateList>
      <explain>文本全半角错误。</explain>
      <paraID>52CD4CE8</paraID>
      <start>118</start>
      <end>119</end>
      <status>unmodified</status>
      <modifiedWord/>
      <trackRevisions>false</trackRevisions>
    </reviewItem>
    <reviewItem>
      <errorID>996ec6dc-4a2e-4e38-9100-b23eceac8e3e</errorID>
      <errorWord>(</errorWord>
      <group>L1_Format</group>
      <groupName>格式问题</groupName>
      <ability>L2_HalfPunc</ability>
      <abilityName>全半角检查</abilityName>
      <candidateList>
        <item>（</item>
      </candidateList>
      <explain>文本全半角错误。</explain>
      <paraID>52CD4CE8</paraID>
      <start>121</start>
      <end>122</end>
      <status>unmodified</status>
      <modifiedWord/>
      <trackRevisions>false</trackRevisions>
    </reviewItem>
    <reviewItem>
      <errorID>cc0a2310-c553-41ca-9573-f4df83be0668</errorID>
      <errorWord>)</errorWord>
      <group>L1_Format</group>
      <groupName>格式问题</groupName>
      <ability>L2_HalfPunc</ability>
      <abilityName>全半角检查</abilityName>
      <candidateList>
        <item>）</item>
      </candidateList>
      <explain>文本全半角错误。</explain>
      <paraID>52CD4CE8</paraID>
      <start>124</start>
      <end>125</end>
      <status>unmodified</status>
      <modifiedWord/>
      <trackRevisions>false</trackRevisions>
    </reviewItem>
    <reviewItem>
      <errorID>c298590e-264a-40ac-a1ee-06d99e04d2d1</errorID>
      <errorWord>&lt;</errorWord>
      <group>L1_Format</group>
      <groupName>格式问题</groupName>
      <ability>L2_HalfPunc</ability>
      <abilityName>全半角检查</abilityName>
      <candidateList>
        <item>〈</item>
      </candidateList>
      <explain>文本全半角错误。</explain>
      <paraID>2F4095F7</paraID>
      <start>10</start>
      <end>11</end>
      <status>unmodified</status>
      <modifiedWord/>
      <trackRevisions>false</trackRevisions>
    </reviewItem>
    <reviewItem>
      <errorID>62ce9ddb-6307-4498-bf45-cb19527ff867</errorID>
      <errorWord>&gt;</errorWord>
      <group>L1_Format</group>
      <groupName>格式问题</groupName>
      <ability>L2_HalfPunc</ability>
      <abilityName>全半角检查</abilityName>
      <candidateList>
        <item>〉</item>
      </candidateList>
      <explain>文本全半角错误。</explain>
      <paraID>2F4095F7</paraID>
      <start>25</start>
      <end>26</end>
      <status>unmodified</status>
      <modifiedWord/>
      <trackRevisions>false</trackRevisions>
    </reviewItem>
    <reviewItem>
      <errorID>f9c0fc03-b2d4-4ac1-8de5-0f57bdd53293</errorID>
      <errorWord>&lt;</errorWord>
      <group>L1_Format</group>
      <groupName>格式问题</groupName>
      <ability>L2_HalfPunc</ability>
      <abilityName>全半角检查</abilityName>
      <candidateList>
        <item>〈</item>
      </candidateList>
      <explain>文本全半角错误。</explain>
      <paraID>2F4095F7</paraID>
      <start>52</start>
      <end>53</end>
      <status>unmodified</status>
      <modifiedWord/>
      <trackRevisions>false</trackRevisions>
    </reviewItem>
    <reviewItem>
      <errorID>56155f25-92f5-43f1-b3a0-e3ceee234678</errorID>
      <errorWord>&gt;</errorWord>
      <group>L1_Format</group>
      <groupName>格式问题</groupName>
      <ability>L2_HalfPunc</ability>
      <abilityName>全半角检查</abilityName>
      <candidateList>
        <item>〉</item>
      </candidateList>
      <explain>文本全半角错误。</explain>
      <paraID>2F4095F7</paraID>
      <start>69</start>
      <end>70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9f3695-cb78-44eb-acd1-40ee8d36ddd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117</Pages>
  <Words>849</Words>
  <Characters>942</Characters>
  <Lines>332</Lines>
  <Paragraphs>93</Paragraphs>
  <TotalTime>13</TotalTime>
  <ScaleCrop>false</ScaleCrop>
  <LinksUpToDate>false</LinksUpToDate>
  <CharactersWithSpaces>1055</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2024-08-01T14:31:00Z</dcterms:created>
  <dc:creator>lhj</dc:creator>
  <cp:lastModifiedBy>20314</cp:lastModifiedBy>
  <cp:lastPrinted>2020-12-29T02:43:00Z</cp:lastPrinted>
  <dcterms:modified xsi:type="dcterms:W3CDTF">2026-01-04T07:30:49Z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3DA9D9196A374E5FB1B8F53641A0DDF6_13</vt:lpwstr>
  </property>
  <property fmtid="{D5CDD505-2E9C-101B-9397-08002B2CF9AE}" pid="4" name="KSOTemplateDocerSaveRecord">
    <vt:lpwstr>eyJoZGlkIjoiNWYwYjdkYjZlZGM2NWFlNjkyM2U1MWM0ZTNmZWEwZTIiLCJ1c2VySWQiOiIxMDM3NjMxMjY0In0=</vt:lpwstr>
  </property>
</Properties>
</file>