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Times New Roman" w:hAnsi="Times New Roman" w:eastAsia="宋体"/>
          <w:color w:val="000000"/>
          <w:sz w:val="32"/>
          <w:szCs w:val="24"/>
        </w:rPr>
      </w:pPr>
      <w:r>
        <w:rPr>
          <w:rFonts w:hint="eastAsia" w:ascii="方正黑体_GBK" w:hAnsi="方正黑体_GBK" w:eastAsia="方正黑体_GBK"/>
          <w:color w:val="000000"/>
          <w:sz w:val="32"/>
          <w:szCs w:val="24"/>
        </w:rPr>
        <w:t>附件</w:t>
      </w:r>
      <w:r>
        <w:rPr>
          <w:rFonts w:hint="eastAsia" w:ascii="Times New Roman" w:hAnsi="Times New Roman" w:eastAsia="宋体"/>
          <w:color w:val="000000"/>
          <w:sz w:val="32"/>
          <w:szCs w:val="24"/>
        </w:rPr>
        <w:t>1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560" w:lineRule="exact"/>
        <w:rPr>
          <w:rFonts w:hint="default" w:ascii="Times New Roman" w:hAnsi="Times New Roman" w:eastAsia="宋体"/>
          <w:color w:val="000000"/>
          <w:sz w:val="32"/>
          <w:szCs w:val="24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  <w:r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  <w:t>钦州港片区企业全生命周期服务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/>
          <w:color w:val="000000"/>
          <w:sz w:val="44"/>
          <w:szCs w:val="24"/>
        </w:rPr>
      </w:pPr>
      <w:r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  <w:t>督办事项立项审批表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default" w:ascii="Times New Roman" w:hAnsi="Times New Roman" w:eastAsia="宋体"/>
          <w:color w:val="000000"/>
          <w:sz w:val="24"/>
          <w:szCs w:val="24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仿宋_GBK"/>
          <w:color w:val="000000"/>
          <w:sz w:val="28"/>
          <w:szCs w:val="24"/>
        </w:rPr>
      </w:pPr>
      <w:r>
        <w:rPr>
          <w:rFonts w:hint="eastAsia" w:ascii="方正仿宋_GBK" w:hAnsi="方正仿宋_GBK" w:eastAsia="方正仿宋_GBK"/>
          <w:color w:val="000000"/>
          <w:sz w:val="28"/>
          <w:szCs w:val="24"/>
        </w:rPr>
        <w:t>紧急程度：                经办人：           编号：</w:t>
      </w:r>
      <w:r>
        <w:rPr>
          <w:rFonts w:hint="default" w:ascii="Times New Roman" w:hAnsi="Times New Roman" w:eastAsia="方正仿宋_GBK"/>
          <w:color w:val="000000"/>
          <w:sz w:val="28"/>
          <w:szCs w:val="24"/>
        </w:rPr>
        <w:t>D00X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拟督办事项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拟督办事项工作要求及时限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需要督办的原因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承办部门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/>
              <w:ind w:firstLine="280" w:firstLineChars="100"/>
              <w:rPr>
                <w:rFonts w:hint="default" w:ascii="Times New Roman" w:hAnsi="Times New Roman" w:eastAsia="方正仿宋_GBK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相关附件（发文名称、文号等）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/>
              <w:ind w:firstLine="240" w:firstLineChars="100"/>
              <w:rPr>
                <w:rFonts w:hint="default" w:ascii="Times New Roman" w:hAnsi="Times New Roman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督办报送部门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/>
              <w:ind w:firstLine="240" w:firstLineChars="100"/>
              <w:rPr>
                <w:rFonts w:hint="default" w:ascii="Times New Roman" w:hAnsi="Times New Roman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□ 管委督查办    □ 管委绩效办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立项部门意见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firstLine="6000" w:firstLineChars="2500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  <w:lang w:val="en-US" w:eastAsia="zh-CN"/>
              </w:rPr>
              <w:t>立项部门（签章）：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督办部门意见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firstLine="6000" w:firstLineChars="2500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  <w:lang w:val="en-US" w:eastAsia="zh-CN"/>
              </w:rPr>
              <w:t>督办部门（签章）：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承办部门</w:t>
            </w:r>
          </w:p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分管领导批示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autoSpaceDE/>
              <w:autoSpaceDN/>
              <w:adjustRightInd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4"/>
              </w:rPr>
            </w:pPr>
          </w:p>
        </w:tc>
      </w:tr>
    </w:tbl>
    <w:p>
      <w:r>
        <w:rPr>
          <w:rFonts w:hint="eastAsia" w:ascii="方正楷体_GBK" w:hAnsi="方正楷体_GBK" w:eastAsia="方正楷体_GBK"/>
          <w:color w:val="000000"/>
          <w:sz w:val="28"/>
          <w:szCs w:val="24"/>
        </w:rPr>
        <w:t>（注：表格内容、格式可根据具体事项进行适当调整）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A669A"/>
    <w:rsid w:val="38F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hint="default"/>
      <w:sz w:val="24"/>
      <w:szCs w:val="24"/>
      <w:lang w:val="en-US" w:eastAsia="zh-CN"/>
    </w:rPr>
  </w:style>
  <w:style w:type="character" w:styleId="5">
    <w:name w:val="Strong"/>
    <w:unhideWhenUsed/>
    <w:qFormat/>
    <w:uiPriority w:val="0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2022-04-19T09:29:00Z</dcterms:created>
  <dc:creator>新新</dc:creator>
  <cp:lastModifiedBy>新新</cp:lastModifiedBy>
  <dcterms:modified xsi:type="dcterms:W3CDTF">2022-04-19T09:30:09Z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7A8EB0C0434747C4AD21E4AA0FCFACD8</vt:lpwstr>
  </property>
</Properties>
</file>