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default" w:ascii="Times New Roman" w:hAnsi="Times New Roman" w:eastAsia="方正黑体_GBK"/>
          <w:color w:val="000000"/>
          <w:sz w:val="44"/>
          <w:szCs w:val="24"/>
        </w:rPr>
      </w:pPr>
      <w:r>
        <w:rPr>
          <w:rFonts w:hint="eastAsia" w:ascii="Times New Roman" w:hAnsi="Times New Roman" w:eastAsia="方正黑体_GBK"/>
          <w:color w:val="000000"/>
          <w:sz w:val="32"/>
          <w:szCs w:val="24"/>
        </w:rPr>
        <w:t>附件5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default" w:ascii="Times New Roman" w:hAnsi="Times New Roman" w:eastAsia="宋体"/>
          <w:color w:val="000000"/>
          <w:sz w:val="44"/>
          <w:szCs w:val="24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钦州港片区企业全生命周期服务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督办事项销号审批表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</w:p>
    <w:p>
      <w:pPr>
        <w:pStyle w:val="2"/>
        <w:widowControl/>
        <w:spacing w:before="0" w:beforeAutospacing="0" w:after="0" w:afterAutospacing="0" w:line="400" w:lineRule="exact"/>
        <w:ind w:firstLine="280" w:firstLineChars="100"/>
        <w:rPr>
          <w:rFonts w:hint="default" w:ascii="Times New Roman" w:hAnsi="Times New Roman" w:eastAsia="方正仿宋_GBK"/>
          <w:color w:val="000000"/>
          <w:sz w:val="28"/>
          <w:szCs w:val="24"/>
        </w:rPr>
      </w:pPr>
      <w:r>
        <w:rPr>
          <w:rFonts w:hint="eastAsia" w:ascii="Times New Roman" w:hAnsi="Times New Roman" w:eastAsia="方正仿宋_GBK"/>
          <w:color w:val="000000"/>
          <w:sz w:val="28"/>
          <w:szCs w:val="24"/>
        </w:rPr>
        <w:t xml:space="preserve">经办人：                </w:t>
      </w:r>
      <w:r>
        <w:rPr>
          <w:rFonts w:hint="default" w:ascii="Times New Roman" w:hAnsi="Times New Roman" w:eastAsia="方正仿宋_GBK"/>
          <w:color w:val="000000"/>
          <w:sz w:val="28"/>
          <w:szCs w:val="24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4"/>
        </w:rPr>
        <w:t>编号：XH0001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督办事项编号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督办事项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督办事项工作要求及时限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销号督办事项的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原因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相关附件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（督办事项通知单、督办事项办理情况报告等）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ind w:firstLine="280" w:firstLineChars="100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抄送部门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□管委督查办     □管委绩效办    □督办部门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承办牵头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单位意见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ind w:firstLine="2800" w:firstLineChars="1000"/>
              <w:jc w:val="both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承办部门（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  <w:lang w:eastAsia="zh-CN"/>
              </w:rPr>
              <w:t>签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管委领导批示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备注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</w:p>
        </w:tc>
      </w:tr>
    </w:tbl>
    <w:p>
      <w:r>
        <w:rPr>
          <w:rFonts w:hint="eastAsia" w:ascii="方正楷体_GBK" w:hAnsi="方正楷体_GBK" w:eastAsia="方正楷体_GBK"/>
          <w:color w:val="000000"/>
          <w:sz w:val="28"/>
          <w:szCs w:val="24"/>
        </w:rPr>
        <w:t>（注：表格内容、格式可根据具体事项进行适当调整）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607E"/>
    <w:rsid w:val="659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/>
      <w:sz w:val="24"/>
      <w:szCs w:val="24"/>
      <w:lang w:val="en-US" w:eastAsia="zh-CN"/>
    </w:rPr>
  </w:style>
  <w:style w:type="character" w:styleId="5">
    <w:name w:val="Strong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2022-04-19T09:34:00Z</dcterms:created>
  <dc:creator>新新</dc:creator>
  <cp:lastModifiedBy>新新</cp:lastModifiedBy>
  <dcterms:modified xsi:type="dcterms:W3CDTF">2022-04-19T09:34:53Z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F91E7A374BC04B8AAB4A875501E42C58</vt:lpwstr>
  </property>
</Properties>
</file>